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90"/>
        <w:gridCol w:w="958"/>
        <w:gridCol w:w="958"/>
        <w:gridCol w:w="666"/>
        <w:gridCol w:w="536"/>
        <w:gridCol w:w="536"/>
        <w:gridCol w:w="536"/>
        <w:gridCol w:w="536"/>
        <w:gridCol w:w="536"/>
        <w:gridCol w:w="536"/>
        <w:gridCol w:w="536"/>
        <w:gridCol w:w="536"/>
        <w:gridCol w:w="762"/>
        <w:gridCol w:w="719"/>
        <w:gridCol w:w="764"/>
      </w:tblGrid>
      <w:tr>
        <w:trPr/>
        <w:tc>
          <w:tcPr>
            <w:tcW w:w="10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double" w:sz="6" w:space="0" w:color="000000"/>
            </w:tcBorders>
            <w:tcMar>
              <w:top w:w="0" w:type="dxa"/>
              <w:left w:w="0" w:type="dxa"/>
              <w:bottom w:w="30" w:type="dxa"/>
              <w:right w:w="0" w:type="dxa"/>
            </w:tcMar>
            <w:vAlign w:val="center"/>
          </w:tcPr>
          <w:p>
            <w:pPr>
              <w:pStyle w:val="TableContents"/>
              <w:bidi w:val="0"/>
              <w:spacing w:lineRule="auto" w:line="266" w:before="0" w:after="50"/>
              <w:jc w:val="center"/>
              <w:rPr>
                <w:rFonts w:ascii="Times New Roman;serif" w:hAnsi="Times New Roman;serif"/>
                <w:b/>
                <w:color w:val="000000"/>
                <w:sz w:val="16"/>
              </w:rPr>
            </w:pPr>
            <w:r>
              <w:rPr>
                <w:rFonts w:ascii="Times New Roman;serif" w:hAnsi="Times New Roman;serif"/>
                <w:b/>
                <w:color w:val="000000"/>
                <w:sz w:val="16"/>
              </w:rPr>
              <w:t>As filed with the Securities and Exchange Commission on February 20, 2026</w:t>
            </w:r>
          </w:p>
          <w:p>
            <w:pPr>
              <w:pStyle w:val="TableContents"/>
              <w:bidi w:val="0"/>
              <w:spacing w:lineRule="auto" w:line="266" w:before="0" w:after="50"/>
              <w:jc w:val="center"/>
              <w:rPr>
                <w:rFonts w:ascii="Times New Roman;serif" w:hAnsi="Times New Roman;serif"/>
                <w:b/>
                <w:color w:val="000000"/>
                <w:sz w:val="16"/>
              </w:rPr>
            </w:pPr>
            <w:r>
              <w:rPr>
                <w:rFonts w:ascii="Times New Roman;serif" w:hAnsi="Times New Roman;serif"/>
                <w:b/>
                <w:color w:val="000000"/>
                <w:sz w:val="16"/>
              </w:rPr>
              <w:t xml:space="preserve">Registration No. 333- </w:t>
            </w:r>
          </w:p>
        </w:tc>
      </w:tr>
      <w:tr>
        <w:trPr/>
        <w:tc>
          <w:tcPr>
            <w:tcW w:w="10205" w:type="dxa"/>
            <w:gridSpan w:val="15"/>
            <w:tcBorders>
              <w:top w:val="double" w:sz="6" w:space="0" w:color="000000"/>
            </w:tcBorders>
            <w:tcMar>
              <w:top w:w="30" w:type="dxa"/>
              <w:left w:w="0" w:type="dxa"/>
              <w:bottom w:w="0" w:type="dxa"/>
              <w:right w:w="0" w:type="dxa"/>
            </w:tcMar>
            <w:vAlign w:val="center"/>
          </w:tcPr>
          <w:p>
            <w:pPr>
              <w:pStyle w:val="TableContents"/>
              <w:bidi w:val="0"/>
              <w:spacing w:lineRule="auto" w:line="266" w:before="7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ableContents"/>
              <w:bidi w:val="0"/>
              <w:spacing w:lineRule="auto" w:line="266" w:before="70"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Washington, D.C. 20549</w:t>
            </w:r>
          </w:p>
        </w:tc>
      </w:tr>
      <w:tr>
        <w:trPr/>
        <w:tc>
          <w:tcPr>
            <w:tcW w:w="10205"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71650"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14605"/>
                          </a:xfrm>
                          <a:prstGeom prst="rect">
                            <a:avLst/>
                          </a:prstGeom>
                        </pic:spPr>
                      </pic:pic>
                    </a:graphicData>
                  </a:graphic>
                </wp:inline>
              </w:drawing>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0"/>
              </w:rPr>
            </w:pPr>
            <w:r>
              <w:rPr>
                <w:rFonts w:ascii="Times New Roman;serif" w:hAnsi="Times New Roman;serif"/>
                <w:b/>
                <w:color w:val="000000"/>
                <w:sz w:val="30"/>
              </w:rPr>
              <w:t>FORM S-8</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6"/>
              </w:rPr>
            </w:pPr>
            <w:r>
              <w:rPr>
                <w:rFonts w:ascii="Times New Roman;serif" w:hAnsi="Times New Roman;serif"/>
                <w:b/>
                <w:color w:val="000000"/>
                <w:sz w:val="26"/>
              </w:rPr>
              <w:t>REGISTRATION STATEMENT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color w:val="000000"/>
                <w:sz w:val="18"/>
              </w:rPr>
            </w:pPr>
            <w:r>
              <w:rPr>
                <w:rFonts w:ascii="Times New Roman;serif" w:hAnsi="Times New Roman;serif"/>
                <w:b/>
                <w:i/>
                <w:color w:val="000000"/>
                <w:sz w:val="18"/>
              </w:rPr>
              <w:t xml:space="preserve">UNDER </w:t>
            </w:r>
          </w:p>
          <w:p>
            <w:pPr>
              <w:pStyle w:val="TableContents"/>
              <w:bidi w:val="0"/>
              <w:spacing w:lineRule="auto" w:line="240" w:before="0" w:after="0"/>
              <w:jc w:val="center"/>
              <w:rPr>
                <w:rFonts w:ascii="Times New Roman;serif" w:hAnsi="Times New Roman;serif"/>
                <w:b/>
                <w:i/>
                <w:color w:val="000000"/>
                <w:sz w:val="18"/>
              </w:rPr>
            </w:pPr>
            <w:r>
              <w:rPr>
                <w:rFonts w:ascii="Times New Roman;serif" w:hAnsi="Times New Roman;serif"/>
                <w:b/>
                <w:i/>
                <w:color w:val="000000"/>
                <w:sz w:val="18"/>
              </w:rPr>
              <w:t>THE SECURITIES ACT OF 1933</w:t>
            </w:r>
          </w:p>
        </w:tc>
      </w:tr>
      <w:tr>
        <w:trPr/>
        <w:tc>
          <w:tcPr>
            <w:tcW w:w="10205"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71650"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71650" cy="14605"/>
                          </a:xfrm>
                          <a:prstGeom prst="rect">
                            <a:avLst/>
                          </a:prstGeom>
                        </pic:spPr>
                      </pic:pic>
                    </a:graphicData>
                  </a:graphic>
                </wp:inline>
              </w:drawing>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DROPBOX,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c>
      </w:tr>
      <w:tr>
        <w:trPr/>
        <w:tc>
          <w:tcPr>
            <w:tcW w:w="10205"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71650" cy="14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71650" cy="14605"/>
                          </a:xfrm>
                          <a:prstGeom prst="rect">
                            <a:avLst/>
                          </a:prstGeom>
                        </pic:spPr>
                      </pic:pic>
                    </a:graphicData>
                  </a:graphic>
                </wp:inline>
              </w:drawing>
            </w:r>
          </w:p>
        </w:tc>
      </w:tr>
      <w:tr>
        <w:trPr/>
        <w:tc>
          <w:tcPr>
            <w:tcW w:w="3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Nevada</w:t>
            </w:r>
          </w:p>
        </w:tc>
        <w:tc>
          <w:tcPr>
            <w:tcW w:w="49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26-0138832</w:t>
            </w:r>
          </w:p>
        </w:tc>
      </w:tr>
      <w:tr>
        <w:trPr/>
        <w:tc>
          <w:tcPr>
            <w:tcW w:w="3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49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Dropbox, Inc.</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1800 Owens Street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San Francisco, California 94158</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(415) 930-7766</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 including zip code)</w:t>
            </w:r>
          </w:p>
        </w:tc>
      </w:tr>
      <w:tr>
        <w:trPr/>
        <w:tc>
          <w:tcPr>
            <w:tcW w:w="10205"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71650" cy="146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71650" cy="14605"/>
                          </a:xfrm>
                          <a:prstGeom prst="rect">
                            <a:avLst/>
                          </a:prstGeom>
                        </pic:spPr>
                      </pic:pic>
                    </a:graphicData>
                  </a:graphic>
                </wp:inline>
              </w:drawing>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2018 Equity Incentive Plan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(Full title of the plan)</w:t>
            </w:r>
          </w:p>
        </w:tc>
      </w:tr>
      <w:tr>
        <w:trPr/>
        <w:tc>
          <w:tcPr>
            <w:tcW w:w="10205"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71650" cy="146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71650" cy="14605"/>
                          </a:xfrm>
                          <a:prstGeom prst="rect">
                            <a:avLst/>
                          </a:prstGeom>
                        </pic:spPr>
                      </pic:pic>
                    </a:graphicData>
                  </a:graphic>
                </wp:inline>
              </w:drawing>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Andrew W. Houston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Chief Executive Officer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Dropbox, Inc.</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1800 Owens Street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San Francisco, California 94158</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(415) 930-7766</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address and telephone number, including area code, of agent for service)</w:t>
            </w:r>
          </w:p>
        </w:tc>
      </w:tr>
      <w:tr>
        <w:trPr/>
        <w:tc>
          <w:tcPr>
            <w:tcW w:w="10205"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71650" cy="146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71650" cy="14605"/>
                          </a:xfrm>
                          <a:prstGeom prst="rect">
                            <a:avLst/>
                          </a:prstGeom>
                        </pic:spPr>
                      </pic:pic>
                    </a:graphicData>
                  </a:graphic>
                </wp:inline>
              </w:drawing>
            </w:r>
          </w:p>
        </w:tc>
      </w:tr>
      <w:tr>
        <w:trPr/>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Copies to:</w:t>
            </w:r>
          </w:p>
        </w:tc>
        <w:tc>
          <w:tcPr>
            <w:tcW w:w="2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Lisa L. Stimmell, Esq.</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Andrew S. Gillman, Esq.</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Wilson Sonsini Goodrich &amp; Rosati, P.C.</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650 Page Mill Road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Palo Alto, California 94304</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(650) 493-9300</w:t>
            </w:r>
          </w:p>
          <w:p>
            <w:pPr>
              <w:pStyle w:val="TableContents"/>
              <w:bidi w:val="0"/>
              <w:spacing w:before="0" w:after="0"/>
              <w:jc w:val="center"/>
              <w:rPr/>
            </w:pPr>
            <w:r>
              <w:rPr/>
            </w:r>
          </w:p>
        </w:tc>
        <w:tc>
          <w:tcPr>
            <w:tcW w:w="546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William Y. Yoon, Esq.</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Cara M. Angelmar, Esq.</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Dropbox, Inc.</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1800 Owens Street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San Francisco, California 94158</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(415) 930-7766</w:t>
            </w:r>
          </w:p>
        </w:tc>
      </w:tr>
      <w:tr>
        <w:trPr/>
        <w:tc>
          <w:tcPr>
            <w:tcW w:w="10205"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71650" cy="146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71650" cy="14605"/>
                          </a:xfrm>
                          <a:prstGeom prst="rect">
                            <a:avLst/>
                          </a:prstGeom>
                        </pic:spPr>
                      </pic:pic>
                    </a:graphicData>
                  </a:graphic>
                </wp:inline>
              </w:drawing>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6352" w:type="dxa"/>
            <w:gridSpan w:val="9"/>
            <w:tcBorders/>
            <w:tcMar>
              <w:top w:w="0" w:type="dxa"/>
              <w:left w:w="0" w:type="dxa"/>
              <w:bottom w:w="0" w:type="dxa"/>
              <w:right w:w="0" w:type="dxa"/>
            </w:tcMar>
            <w:vAlign w:val="center"/>
          </w:tcPr>
          <w:p>
            <w:pPr>
              <w:pStyle w:val="TableContents"/>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 ☒    </w:t>
              <w:br/>
              <w:t xml:space="preserve">Non-accelerated filer ☐     </w:t>
            </w:r>
          </w:p>
          <w:p>
            <w:pPr>
              <w:pStyle w:val="TableContents"/>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     </w:t>
            </w:r>
          </w:p>
        </w:tc>
        <w:tc>
          <w:tcPr>
            <w:tcW w:w="3853" w:type="dxa"/>
            <w:gridSpan w:val="6"/>
            <w:tcBorders/>
            <w:tcMar>
              <w:top w:w="0" w:type="dxa"/>
              <w:left w:w="0" w:type="dxa"/>
              <w:bottom w:w="0" w:type="dxa"/>
              <w:right w:w="0" w:type="dxa"/>
            </w:tcMar>
            <w:vAlign w:val="center"/>
          </w:tcPr>
          <w:p>
            <w:pPr>
              <w:pStyle w:val="TableContents"/>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 ☐    </w:t>
              <w:br/>
              <w:t>Smaller reporting company ☐    </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8"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This Registration Statement on Form S-8 (the “</w:t>
      </w:r>
      <w:r>
        <w:rPr>
          <w:rFonts w:ascii="Times New Roman;serif" w:hAnsi="Times New Roman;serif"/>
          <w:b/>
          <w:color w:val="000000"/>
          <w:sz w:val="20"/>
        </w:rPr>
        <w:t>Registration Statement</w:t>
      </w:r>
      <w:r>
        <w:rPr>
          <w:color w:val="000000"/>
        </w:rPr>
        <w:t>”</w:t>
      </w:r>
      <w:r>
        <w:rPr>
          <w:rFonts w:ascii="Times New Roman;serif" w:hAnsi="Times New Roman;serif"/>
          <w:b w:val="false"/>
          <w:color w:val="000000"/>
          <w:sz w:val="20"/>
        </w:rPr>
        <w:t>) registers additional shares of Class A common stock, par value $0.00001 per share (the “</w:t>
      </w:r>
      <w:r>
        <w:rPr>
          <w:rFonts w:ascii="Times New Roman;serif" w:hAnsi="Times New Roman;serif"/>
          <w:b/>
          <w:color w:val="000000"/>
          <w:sz w:val="20"/>
        </w:rPr>
        <w:t>Class A Common Stock</w:t>
      </w:r>
      <w:r>
        <w:rPr>
          <w:color w:val="000000"/>
        </w:rPr>
        <w:t>”</w:t>
      </w:r>
      <w:r>
        <w:rPr>
          <w:rFonts w:ascii="Times New Roman;serif" w:hAnsi="Times New Roman;serif"/>
          <w:b w:val="false"/>
          <w:color w:val="000000"/>
          <w:sz w:val="20"/>
        </w:rPr>
        <w:t>), of Dropbox, Inc. (the “</w:t>
      </w:r>
      <w:r>
        <w:rPr>
          <w:rFonts w:ascii="Times New Roman;serif" w:hAnsi="Times New Roman;serif"/>
          <w:b/>
          <w:color w:val="000000"/>
          <w:sz w:val="20"/>
        </w:rPr>
        <w:t>Registrant</w:t>
      </w:r>
      <w:r>
        <w:rPr>
          <w:color w:val="000000"/>
        </w:rPr>
        <w:t>”</w:t>
      </w:r>
      <w:r>
        <w:rPr>
          <w:rFonts w:ascii="Times New Roman;serif" w:hAnsi="Times New Roman;serif"/>
          <w:b w:val="false"/>
          <w:color w:val="000000"/>
          <w:sz w:val="20"/>
        </w:rPr>
        <w:t>) reserved for issuance under the Registrant’s 2018 Equity Incentive Plan (the “</w:t>
      </w:r>
      <w:r>
        <w:rPr>
          <w:rFonts w:ascii="Times New Roman;serif" w:hAnsi="Times New Roman;serif"/>
          <w:b/>
          <w:color w:val="000000"/>
          <w:sz w:val="20"/>
        </w:rPr>
        <w:t>2018 Plan</w:t>
      </w:r>
      <w:r>
        <w:rPr>
          <w:color w:val="000000"/>
        </w:rPr>
        <w:t>”</w:t>
      </w:r>
      <w:r>
        <w:rPr>
          <w:rFonts w:ascii="Times New Roman;serif" w:hAnsi="Times New Roman;serif"/>
          <w:b w:val="false"/>
          <w:color w:val="000000"/>
          <w:sz w:val="20"/>
        </w:rPr>
        <w:t>). The number of shares of the Registrant’s Class A Common Stock available for grant and issuance under the 2018 Plan is subject to an annual increase on the first day of each fiscal year starting on January 1, 2019, by an amount equal to the least of (i) 41,368,326 shares of the Registrant’s Class A Common Stock, (ii) five percent (5%) of the outstanding shares of all classes of the Registrant’s common stock on the last day of the immediately preceding fiscal year or (iii) such number of shares determined by the Registrant’s board of directors.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Registration Statement registers an aggregate of 12,150,187 shares of the Registrant’s Class A Common Stock available for grant and issuance under the 2018 Plan, all of which became available for grant and issuance under the 2018 Plan on January 1,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PROSPECTUS</w:t>
      </w:r>
    </w:p>
    <w:p>
      <w:pPr>
        <w:pStyle w:val="TextBody"/>
        <w:bidi w:val="0"/>
        <w:spacing w:lineRule="auto" w:line="268" w:before="0" w:after="0"/>
        <w:ind w:left="0" w:right="0" w:firstLine="720"/>
        <w:jc w:val="both"/>
        <w:rPr/>
      </w:pPr>
      <w:r>
        <w:rPr>
          <w:rFonts w:ascii="Times New Roman;serif" w:hAnsi="Times New Roman;serif"/>
          <w:b w:val="false"/>
          <w:color w:val="000000"/>
          <w:sz w:val="20"/>
        </w:rPr>
        <w:t>The information specified in Item 1 and Item 2 of Part I of Form S-8 is omitted from this Registration Statement in accordance with the provisions of Rule 428 under the Securities Act of 1933, as amended (the “</w:t>
      </w:r>
      <w:r>
        <w:rPr>
          <w:rFonts w:ascii="Times New Roman;serif" w:hAnsi="Times New Roman;serif"/>
          <w:b/>
          <w:color w:val="000000"/>
          <w:sz w:val="20"/>
        </w:rPr>
        <w:t>Securities Act</w:t>
      </w:r>
      <w:r>
        <w:rPr>
          <w:color w:val="000000"/>
        </w:rPr>
        <w:t>”</w:t>
      </w:r>
      <w:r>
        <w:rPr>
          <w:rFonts w:ascii="Times New Roman;serif" w:hAnsi="Times New Roman;serif"/>
          <w:b w:val="false"/>
          <w:color w:val="000000"/>
          <w:sz w:val="20"/>
        </w:rPr>
        <w: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REGISTRATION STATEMENT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Registrant hereby incorporates by reference into this Registration Statement the following documents previously filed with the Securities and Exchange Commission (the “</w:t>
      </w:r>
      <w:r>
        <w:rPr>
          <w:rFonts w:ascii="Times New Roman;serif" w:hAnsi="Times New Roman;serif"/>
          <w:b/>
          <w:color w:val="000000"/>
          <w:sz w:val="20"/>
        </w:rPr>
        <w:t>Commission</w:t>
      </w:r>
      <w:r>
        <w:rPr>
          <w:color w:val="000000"/>
        </w:rPr>
        <w:t>”</w:t>
      </w:r>
      <w:r>
        <w:rPr>
          <w:rFonts w:ascii="Times New Roman;serif" w:hAnsi="Times New Roman;serif"/>
          <w:b w:val="false"/>
          <w:color w:val="000000"/>
          <w:sz w:val="20"/>
        </w:rPr>
        <w:t xml:space="preserv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Registrant’s Annual Report on Form 10-K for the fiscal year ended December 31, 2025, filed with the Commission on February 20, 2026; and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 The description of the Registrant’s Class A Common Stock filed as Exhibit 4.8 to its Annual Report on Form 10-K for the fiscal year ended December 31, 2025, filed with the Commission on February 20, 2026, and any subsequent amendment or report filed for the purpose of updating such descriptions.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All documents filed by the Registrant pursuant to Sections 13(a), 13(c), 14 and 15(d) of the Securities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xml:space="preserve">)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Description of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Interests of Named Experts and Counsel.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6. Indemnification of Directors and Officers.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Nevada Revised Statutes (“</w:t>
      </w:r>
      <w:r>
        <w:rPr>
          <w:rFonts w:ascii="Times New Roman;serif" w:hAnsi="Times New Roman;serif"/>
          <w:b/>
          <w:color w:val="000000"/>
          <w:sz w:val="20"/>
        </w:rPr>
        <w:t>NRS</w:t>
      </w:r>
      <w:r>
        <w:rPr>
          <w:color w:val="000000"/>
        </w:rPr>
        <w:t>”</w:t>
      </w:r>
      <w:r>
        <w:rPr>
          <w:rFonts w:ascii="Times New Roman;serif" w:hAnsi="Times New Roman;serif"/>
          <w:b w:val="false"/>
          <w:color w:val="000000"/>
          <w:sz w:val="20"/>
        </w:rPr>
        <w:t>) 78.7502 provides, in general, that a corporation may indemnify, pursuant to that statutory mechanism,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attorneys’ fees, judgments, fines and amounts paid in settlement actually and reasonably incurred by the person in connection with the action, suit or proceeding if the person is not liable pursuant to NRS 78.138 or acted in good faith and in a manner which he or she reasonably believed to be in or not opposed to the best interests of the corporation, and, with respect to any criminal action or proceeding, had no reasonable cause to believe the conduct was unlawful.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NRS 78.7502 also provides, in general, that a corporation may indemnify, pursuant to that statutory mechanism,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amounts paid in settlement and attorneys’ fees actually and reasonably incurred by the person in connection with the defense or settlement of the action or suit if the person is not liable pursuant to NRS 78.138 or acted in good faith and in a manner which he or she reasonably believed to be in or not opposed to the best interests of the corporation; provided, however, that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indemnification pursuant to the statutory mechanism provided under NRS 78.7502, as described above, unless ordered by a court or advanced pursuant to NRS 78.751(2), may be made by the corporation only as authorized in the specific case upon a determination that indemnification of the director, officer, employee or agent is proper in the circumstances. The determination must be made: (a) by the stockholders; (b) by the board of directors by majority vote of a quorum consisting of directors who were not parties to the action, suit or proceeding; (c) if a majority vote of a quorum consisting of directors who were not parties to the action, suit or proceeding so orders, by independent legal counsel in a written opinion; or (d) if a quorum consisting of directors who were not parties to the action, suit or proceeding cannot be obtained, by independent legal counsel in a written opinion.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NRS 78.751 further provides that indemnification pursuant to the statutory mechanism provided under NRS 78.7502 does not exclude any other rights to which a person seeking indemnification or advancement of expenses may be entitled under our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may not be made to or on behalf of any director or officer finally adjudged by a court of competent jurisdiction, after exhaustion of any appeals, to be liable for intentional misconduct, fraud or a knowing violation of law, and such misconduct, fraud or violation was material to the cause of action.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Registrant’s articles of incorporation contain provisions that limit the liability of its directors and officers for monetary damages to the fullest extent permitted by the NRS. </w:t>
      </w:r>
    </w:p>
    <w:p>
      <w:pPr>
        <w:pStyle w:val="TextBody"/>
        <w:bidi w:val="0"/>
        <w:spacing w:before="0" w:after="0"/>
        <w:ind w:left="0" w:right="0" w:firstLine="720"/>
        <w:jc w:val="both"/>
        <w:rPr/>
      </w:pPr>
      <w:r>
        <w:rPr/>
      </w:r>
    </w:p>
    <w:p>
      <w:pPr>
        <w:pStyle w:val="TextBody"/>
        <w:bidi w:val="0"/>
        <w:spacing w:lineRule="auto" w:line="26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amendment to, or repeal of, these provisions in the Registrant’s articles of incorporation will not eliminate or reduce the effect of these provisions in respect of any act, omission, or claim that occurred or arose prior to that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amendment or repeal. If the NRS is amended to provide for further limitations on the personal liability of directors of corporations, then the personal liability of the Registrant’s directors will be further limited to the greatest extent permitted by the NRS.</w:t>
      </w:r>
    </w:p>
    <w:p>
      <w:pPr>
        <w:pStyle w:val="TextBody"/>
        <w:bidi w:val="0"/>
        <w:spacing w:before="0" w:after="0"/>
        <w:jc w:val="left"/>
        <w:rPr/>
      </w:pPr>
      <w:r>
        <w:r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pursuant to the Registrant’s bylaws, the Registrant will indemnify, to the fullest extent permitted by law, any person who is or was a party or is threatened to be made a party to any action, suit, or proceeding by reason of the fact that he or she is or was one of the Registrant’s directors or officers or is or was serving at the Registrant’s request as a director or officer of another corporation, partnership, joint venture, trust, or other enterprise. The Registrant’s bylaws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bylaws also provide that the Registrant must advance expenses incurred by or on behalf of a director or officer in advance of the final disposition of any action or proceeding, subject to limited exceptions. </w:t>
      </w:r>
    </w:p>
    <w:p>
      <w:pPr>
        <w:pStyle w:val="TextBody"/>
        <w:bidi w:val="0"/>
        <w:spacing w:before="0" w:after="0"/>
        <w:ind w:left="0" w:right="0" w:firstLine="490"/>
        <w:jc w:val="both"/>
        <w:rPr/>
      </w:pPr>
      <w:r>
        <w:r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Further, the Registrant has entered into indemnification agreements with each of its directors and executive officers that may be broader than the specific indemnification provisions contained in the NRS. These indemnification agreements require the Registrant, among other things, to indemnify its directors and executive officers against liabilities that may arise by reason of their status or service. These indemnification agreements also require the Registrant to advance all expenses incurred by the directors and executive officers in investigating or defending any such action, suit, or proceeding. The Registrant believes that these agreements are necessary to attract and retain qualified individuals to serve as directors and executive officers. </w:t>
      </w:r>
    </w:p>
    <w:p>
      <w:pPr>
        <w:pStyle w:val="TextBody"/>
        <w:bidi w:val="0"/>
        <w:spacing w:before="0" w:after="0"/>
        <w:ind w:left="0" w:right="0" w:firstLine="490"/>
        <w:jc w:val="both"/>
        <w:rPr/>
      </w:pPr>
      <w:r>
        <w:r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Registrant has obtained insurance policies under which, subject to the limitations of the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 </w:t>
      </w:r>
    </w:p>
    <w:p>
      <w:pPr>
        <w:pStyle w:val="TextBody"/>
        <w:bidi w:val="0"/>
        <w:spacing w:before="0" w:after="0"/>
        <w:ind w:left="0" w:right="0" w:firstLine="720"/>
        <w:jc w:val="left"/>
        <w:rPr/>
      </w:pPr>
      <w:r>
        <w:rPr/>
      </w:r>
    </w:p>
    <w:p>
      <w:pPr>
        <w:pStyle w:val="TextBody"/>
        <w:bidi w:val="0"/>
        <w:spacing w:before="0" w:after="0"/>
        <w:ind w:left="0" w:right="0" w:firstLine="49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 Exemption from Registration Claimed.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before="0" w:after="0"/>
        <w:jc w:val="left"/>
        <w:rPr/>
      </w:pPr>
      <w:r>
        <w:rPr/>
      </w:r>
    </w:p>
    <w:tbl>
      <w:tblPr>
        <w:tblW w:w="7095" w:type="dxa"/>
        <w:jc w:val="left"/>
        <w:tblInd w:w="0" w:type="dxa"/>
        <w:tblLayout w:type="fixed"/>
        <w:tblCellMar>
          <w:top w:w="28" w:type="dxa"/>
          <w:left w:w="28" w:type="dxa"/>
          <w:bottom w:w="28" w:type="dxa"/>
          <w:right w:w="28" w:type="dxa"/>
        </w:tblCellMar>
      </w:tblPr>
      <w:tblGrid>
        <w:gridCol w:w="294"/>
        <w:gridCol w:w="258"/>
        <w:gridCol w:w="259"/>
        <w:gridCol w:w="1836"/>
        <w:gridCol w:w="1836"/>
        <w:gridCol w:w="261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80"/>
              <w:jc w:val="center"/>
              <w:rPr/>
            </w:pPr>
            <w:r>
              <w:rPr>
                <w:rFonts w:ascii="Times New Roman;serif" w:hAnsi="Times New Roman;serif"/>
                <w:b w:val="false"/>
                <w:color w:val="000000"/>
                <w:sz w:val="20"/>
              </w:rPr>
              <w:t>4.1</w:t>
            </w:r>
            <w:r>
              <w:rPr>
                <w:rFonts w:ascii="Times New Roman;serif" w:hAnsi="Times New Roman;serif"/>
                <w:b w:val="false"/>
                <w:color w:val="000000"/>
                <w:sz w:val="13"/>
              </w:rPr>
              <w:t>(1)</w:t>
            </w:r>
          </w:p>
        </w:tc>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Dropbox, Inc. 2018 Equity Incentive Plan and related form agreements.</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eb2026s-8xexhibit51.htm">
              <w:r>
                <w:rPr>
                  <w:rStyle w:val="InternetLink"/>
                  <w:rFonts w:ascii="Times New Roman;serif" w:hAnsi="Times New Roman;serif"/>
                  <w:b w:val="false"/>
                  <w:color w:val="0000FF"/>
                  <w:sz w:val="20"/>
                  <w:u w:val="single"/>
                </w:rPr>
                <w:t xml:space="preserve">Opinion of Brownstein Hyatt Farber Schreck, LLP. </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6284" w:type="dxa"/>
            <w:gridSpan w:val="3"/>
            <w:tcBorders/>
            <w:tcMar>
              <w:top w:w="0" w:type="dxa"/>
              <w:left w:w="0" w:type="dxa"/>
              <w:bottom w:w="0" w:type="dxa"/>
              <w:right w:w="0" w:type="dxa"/>
            </w:tcMar>
            <w:vAlign w:val="center"/>
          </w:tcPr>
          <w:p>
            <w:pPr>
              <w:pStyle w:val="TableContents"/>
              <w:bidi w:val="0"/>
              <w:spacing w:lineRule="auto" w:line="240" w:before="0" w:after="80"/>
              <w:jc w:val="left"/>
              <w:rPr/>
            </w:pPr>
            <w:hyperlink w:anchor="feb2026s-8xexhibit231.htm">
              <w:r>
                <w:rPr>
                  <w:rStyle w:val="InternetLink"/>
                  <w:rFonts w:ascii="Times New Roman;serif" w:hAnsi="Times New Roman;serif"/>
                  <w:b w:val="false"/>
                  <w:color w:val="0000FF"/>
                  <w:sz w:val="20"/>
                  <w:u w:val="single"/>
                </w:rPr>
                <w:t>Consent of Independent Registered Public Accounting Firm.</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eb2026s-8xexhibit51.htm">
              <w:r>
                <w:rPr>
                  <w:rStyle w:val="InternetLink"/>
                  <w:rFonts w:ascii="Times New Roman;serif" w:hAnsi="Times New Roman;serif"/>
                  <w:b w:val="false"/>
                  <w:color w:val="0000FF"/>
                  <w:sz w:val="20"/>
                  <w:u w:val="single"/>
                </w:rPr>
                <w:t>Consent of Brownstein Hyatt Farber Schreck, LLP (included in Exhibit 5.1).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af09425594c18acc45ad3b5abba94_7">
              <w:r>
                <w:rPr>
                  <w:rStyle w:val="InternetLink"/>
                  <w:rFonts w:ascii="Times New Roman;serif" w:hAnsi="Times New Roman;serif"/>
                  <w:b w:val="false"/>
                  <w:color w:val="0000FF"/>
                  <w:sz w:val="20"/>
                  <w:u w:val="single"/>
                </w:rPr>
                <w:t>Power of Attorney (contained on signature page hereto).</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Incorporated by reference to Exhibit 10.2 filed with the Registrant’s Annual Report on Form 10-K, filed with the Commission on February 21, 2025.</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 xml:space="preserve">The undersigned Registrant hereby undertakes: </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 xml:space="preserve">To file, during any period in which offers or sales are being made, a post-effective amendment to this Registration Statement: </w:t>
      </w:r>
    </w:p>
    <w:p>
      <w:pPr>
        <w:pStyle w:val="TextBody"/>
        <w:bidi w:val="0"/>
        <w:spacing w:before="0" w:after="0"/>
        <w:ind w:left="0" w:right="0" w:firstLine="720"/>
        <w:jc w:val="left"/>
        <w:rPr/>
      </w:pPr>
      <w:r>
        <w:rPr/>
      </w:r>
    </w:p>
    <w:p>
      <w:pPr>
        <w:pStyle w:val="TextBody"/>
        <w:bidi w:val="0"/>
        <w:spacing w:lineRule="auto" w:line="276" w:before="0" w:after="0"/>
        <w:ind w:left="0" w:right="0" w:firstLine="1440"/>
        <w:jc w:val="left"/>
        <w:rPr/>
      </w:pPr>
      <w:r>
        <w:rPr>
          <w:rFonts w:ascii="Times New Roman;serif" w:hAnsi="Times New Roman;serif"/>
          <w:b w:val="false"/>
          <w:color w:val="000000"/>
          <w:sz w:val="20"/>
        </w:rPr>
        <w:t>(i)</w:t>
      </w:r>
      <w:r>
        <w:rPr>
          <w:color w:val="000000"/>
        </w:rPr>
        <w:t xml:space="preserve"> </w:t>
      </w:r>
      <w:r>
        <w:rPr>
          <w:rFonts w:ascii="Times New Roman;serif" w:hAnsi="Times New Roman;serif"/>
          <w:b w:val="false"/>
          <w:color w:val="000000"/>
          <w:sz w:val="20"/>
        </w:rPr>
        <w:t xml:space="preserve">To include any prospectus required by Section 10(a)(3) of the Securities Act; </w:t>
      </w:r>
    </w:p>
    <w:p>
      <w:pPr>
        <w:pStyle w:val="TextBody"/>
        <w:bidi w:val="0"/>
        <w:spacing w:before="0" w:after="0"/>
        <w:ind w:left="0" w:right="0" w:firstLine="1440"/>
        <w:jc w:val="left"/>
        <w:rPr/>
      </w:pPr>
      <w:r>
        <w:rPr/>
      </w:r>
    </w:p>
    <w:p>
      <w:pPr>
        <w:pStyle w:val="TextBody"/>
        <w:bidi w:val="0"/>
        <w:spacing w:lineRule="auto" w:line="276" w:before="0" w:after="0"/>
        <w:ind w:left="0" w:right="0" w:firstLine="1440"/>
        <w:jc w:val="left"/>
        <w:rPr/>
      </w:pPr>
      <w:r>
        <w:rPr>
          <w:rFonts w:ascii="Times New Roman;serif" w:hAnsi="Times New Roman;serif"/>
          <w:b w:val="false"/>
          <w:color w:val="000000"/>
          <w:sz w:val="20"/>
        </w:rPr>
        <w:t>(ii)</w:t>
      </w:r>
      <w:r>
        <w:rPr>
          <w:color w:val="000000"/>
        </w:rPr>
        <w:t xml:space="preserve"> </w:t>
      </w:r>
      <w:r>
        <w:rPr>
          <w:rFonts w:ascii="Times New Roman;serif" w:hAnsi="Times New Roman;serif"/>
          <w:b w:val="false"/>
          <w:color w:val="000000"/>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pStyle w:val="TextBody"/>
        <w:bidi w:val="0"/>
        <w:spacing w:before="0" w:after="0"/>
        <w:ind w:left="0" w:right="0" w:firstLine="1440"/>
        <w:jc w:val="left"/>
        <w:rPr/>
      </w:pPr>
      <w:r>
        <w:rPr/>
      </w:r>
    </w:p>
    <w:p>
      <w:pPr>
        <w:pStyle w:val="TextBody"/>
        <w:bidi w:val="0"/>
        <w:spacing w:lineRule="auto" w:line="276" w:before="0" w:after="0"/>
        <w:ind w:left="0" w:right="0" w:firstLine="1440"/>
        <w:jc w:val="left"/>
        <w:rPr/>
      </w:pPr>
      <w:r>
        <w:rPr>
          <w:rFonts w:ascii="Times New Roman;serif" w:hAnsi="Times New Roman;serif"/>
          <w:b w:val="false"/>
          <w:color w:val="000000"/>
          <w:sz w:val="20"/>
        </w:rPr>
        <w:t>(iii)</w:t>
      </w:r>
      <w:r>
        <w:rPr>
          <w:color w:val="000000"/>
        </w:rPr>
        <w:t xml:space="preserve"> </w:t>
      </w:r>
      <w:r>
        <w:rPr>
          <w:rFonts w:ascii="Times New Roman;serif" w:hAnsi="Times New Roman;serif"/>
          <w:b w:val="false"/>
          <w:color w:val="000000"/>
          <w:sz w:val="20"/>
        </w:rPr>
        <w:t xml:space="preserve">To include any material information with respect to the plan of distribution not previously disclosed in the Registration Statement or any material change to such information in the Registration Statement. </w:t>
      </w:r>
    </w:p>
    <w:p>
      <w:pPr>
        <w:pStyle w:val="TextBody"/>
        <w:bidi w:val="0"/>
        <w:spacing w:before="0" w:after="0"/>
        <w:ind w:left="0" w:right="0" w:firstLine="1440"/>
        <w:jc w:val="left"/>
        <w:rPr/>
      </w:pPr>
      <w:r>
        <w:rPr/>
      </w:r>
    </w:p>
    <w:p>
      <w:pPr>
        <w:pStyle w:val="TextBody"/>
        <w:bidi w:val="0"/>
        <w:spacing w:lineRule="auto" w:line="268" w:before="0" w:after="0"/>
        <w:jc w:val="both"/>
        <w:rPr/>
      </w:pP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 xml:space="preserve">It will remove from registration by means of a post-effective amendment any of the securities being registered which remain unsold at the termination of the offering. </w:t>
      </w:r>
    </w:p>
    <w:p>
      <w:pPr>
        <w:pStyle w:val="TextBody"/>
        <w:bidi w:val="0"/>
        <w:spacing w:before="0" w:after="0"/>
        <w:ind w:left="0" w:right="0" w:firstLine="720"/>
        <w:jc w:val="left"/>
        <w:rPr/>
      </w:pPr>
      <w:r>
        <w:rPr/>
      </w:r>
    </w:p>
    <w:p>
      <w:pPr>
        <w:pStyle w:val="TextBody"/>
        <w:bidi w:val="0"/>
        <w:spacing w:lineRule="auto" w:line="276" w:before="0" w:after="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the 20</w:t>
      </w:r>
      <w:r>
        <w:rPr>
          <w:rFonts w:ascii="Times New Roman;serif" w:hAnsi="Times New Roman;serif"/>
          <w:b w:val="false"/>
          <w:color w:val="000000"/>
          <w:sz w:val="13"/>
        </w:rPr>
        <w:t xml:space="preserve">th </w:t>
      </w:r>
      <w:r>
        <w:rPr>
          <w:rFonts w:ascii="Times New Roman;serif" w:hAnsi="Times New Roman;serif"/>
          <w:b w:val="false"/>
          <w:color w:val="000000"/>
          <w:sz w:val="20"/>
        </w:rPr>
        <w:t>day of February, 2026.</w:t>
      </w:r>
    </w:p>
    <w:p>
      <w:pPr>
        <w:pStyle w:val="TextBody"/>
        <w:bidi w:val="0"/>
        <w:spacing w:lineRule="auto" w:line="266" w:before="240" w:after="283"/>
        <w:jc w:val="left"/>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66" w:before="240" w:after="283"/>
        <w:jc w:val="left"/>
        <w:rPr/>
      </w:pPr>
      <w:r>
        <w:rPr>
          <w:rFonts w:ascii="Times New Roman;serif" w:hAnsi="Times New Roman;serif"/>
          <w:b w:val="false"/>
          <w:color w:val="000000"/>
          <w:sz w:val="20"/>
        </w:rPr>
        <w:t>By:</w:t>
      </w:r>
      <w:r>
        <w:rPr>
          <w:rFonts w:ascii="Times New Roman;serif" w:hAnsi="Times New Roman;serif"/>
          <w:b w:val="false"/>
          <w:color w:val="000000"/>
          <w:sz w:val="20"/>
          <w:u w:val="single"/>
        </w:rPr>
        <w:t>/s/ Ross Tennenbaum    </w:t>
      </w:r>
    </w:p>
    <w:p>
      <w:pPr>
        <w:pStyle w:val="TextBody"/>
        <w:bidi w:val="0"/>
        <w:spacing w:lineRule="auto" w:line="266" w:before="0" w:after="0"/>
        <w:jc w:val="left"/>
        <w:rPr>
          <w:color w:val="000000"/>
        </w:rPr>
      </w:pPr>
      <w:r>
        <w:rPr>
          <w:color w:val="000000"/>
        </w:rPr>
        <w:t>    </w:t>
      </w:r>
      <w:r>
        <w:rPr>
          <w:rFonts w:ascii="Times New Roman;serif" w:hAnsi="Times New Roman;serif"/>
          <w:b w:val="false"/>
          <w:color w:val="000000"/>
          <w:sz w:val="20"/>
        </w:rPr>
        <w:t>Ross Tennenbaum</w:t>
      </w:r>
    </w:p>
    <w:p>
      <w:pPr>
        <w:pStyle w:val="TextBody"/>
        <w:bidi w:val="0"/>
        <w:spacing w:lineRule="auto" w:line="266" w:before="0" w:after="0"/>
        <w:jc w:val="left"/>
        <w:rPr>
          <w:color w:val="000000"/>
        </w:rPr>
      </w:pPr>
      <w:r>
        <w:rPr>
          <w:color w:val="000000"/>
        </w:rPr>
        <w:t>    </w:t>
      </w:r>
      <w:r>
        <w:rPr>
          <w:rFonts w:ascii="Times New Roman;serif" w:hAnsi="Times New Roman;serif"/>
          <w:b w:val="false"/>
          <w:color w:val="000000"/>
          <w:sz w:val="20"/>
        </w:rPr>
        <w:t xml:space="preserve">Chief Financial Officer </w:t>
      </w:r>
    </w:p>
    <w:p>
      <w:pPr>
        <w:pStyle w:val="TextBody"/>
        <w:bidi w:val="0"/>
        <w:spacing w:lineRule="auto" w:line="266" w:before="24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center"/>
        <w:rPr/>
      </w:pPr>
      <w:r>
        <w:rPr/>
      </w:r>
    </w:p>
    <w:p>
      <w:pPr>
        <w:pStyle w:val="TextBody"/>
        <w:bidi w:val="0"/>
        <w:spacing w:lineRule="auto" w:line="26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Andrew W. Houston, Ross Tennenbaum, and William Y. Yoon,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might or could do in person, hereby ratifying and confirming all that said attorney in fact, proxy and agent, or the individual’s substitute, may lawfully do or cause to be done by virtue hereof.</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on Form S-8 has been signed by the following persons in the capacities and on the dates indicated:</w:t>
      </w:r>
    </w:p>
    <w:tbl>
      <w:tblPr>
        <w:tblW w:w="8931" w:type="dxa"/>
        <w:jc w:val="left"/>
        <w:tblInd w:w="0" w:type="dxa"/>
        <w:tblLayout w:type="fixed"/>
        <w:tblCellMar>
          <w:top w:w="28" w:type="dxa"/>
          <w:left w:w="28" w:type="dxa"/>
          <w:bottom w:w="28" w:type="dxa"/>
          <w:right w:w="28" w:type="dxa"/>
        </w:tblCellMar>
      </w:tblPr>
      <w:tblGrid>
        <w:gridCol w:w="851"/>
        <w:gridCol w:w="748"/>
        <w:gridCol w:w="756"/>
        <w:gridCol w:w="288"/>
        <w:gridCol w:w="288"/>
        <w:gridCol w:w="290"/>
        <w:gridCol w:w="1065"/>
        <w:gridCol w:w="1065"/>
        <w:gridCol w:w="1079"/>
        <w:gridCol w:w="288"/>
        <w:gridCol w:w="288"/>
        <w:gridCol w:w="290"/>
        <w:gridCol w:w="475"/>
        <w:gridCol w:w="475"/>
        <w:gridCol w:w="685"/>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866"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866"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240" w:after="283"/>
              <w:ind w:left="0" w:right="0" w:firstLine="720"/>
              <w:jc w:val="left"/>
              <w:rPr/>
            </w:pPr>
            <w:r>
              <w:rPr/>
            </w:r>
          </w:p>
        </w:tc>
        <w:tc>
          <w:tcPr>
            <w:tcW w:w="1635" w:type="dxa"/>
            <w:gridSpan w:val="3"/>
            <w:tcBorders/>
            <w:tcMar>
              <w:top w:w="0" w:type="dxa"/>
              <w:left w:w="0" w:type="dxa"/>
              <w:bottom w:w="0" w:type="dxa"/>
              <w:right w:w="0" w:type="dxa"/>
            </w:tcMar>
            <w:vAlign w:val="center"/>
          </w:tcPr>
          <w:p>
            <w:pPr>
              <w:pStyle w:val="TableContents"/>
              <w:bidi w:val="0"/>
              <w:spacing w:before="240" w:after="283"/>
              <w:ind w:left="0" w:right="0" w:firstLine="720"/>
              <w:jc w:val="center"/>
              <w:rPr/>
            </w:pPr>
            <w:r>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Andrew W. Houston        </w:t>
            </w:r>
          </w:p>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Andrew W. Houston</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866"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Ross Tennenbaum        </w:t>
            </w:r>
          </w:p>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Ross Tennenbaum</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866"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Sarah Schubach        </w:t>
            </w:r>
          </w:p>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Sarah Schubach</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c>
          <w:tcPr>
            <w:tcW w:w="866"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Lisa Campbell            </w:t>
            </w:r>
          </w:p>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Lisa Campbell</w:t>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866" w:type="dxa"/>
            <w:gridSpan w:val="3"/>
            <w:tcBorders/>
            <w:tcMar>
              <w:top w:w="0" w:type="dxa"/>
              <w:left w:w="0" w:type="dxa"/>
              <w:bottom w:w="0" w:type="dxa"/>
              <w:right w:w="0" w:type="dxa"/>
            </w:tcMar>
            <w:vAlign w:val="center"/>
          </w:tcPr>
          <w:p>
            <w:pPr>
              <w:pStyle w:val="TableContents"/>
              <w:bidi w:val="0"/>
              <w:spacing w:before="240" w:after="283"/>
              <w:ind w:left="0" w:right="0" w:firstLine="720"/>
              <w:jc w:val="left"/>
              <w:rPr/>
            </w:pPr>
            <w:r>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Paul E. Jacobs            </w:t>
            </w:r>
          </w:p>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Paul E. Jacobs</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866"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Warren Jenson    </w:t>
            </w:r>
          </w:p>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Warren Jenson</w:t>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Andrew Moore     </w:t>
            </w:r>
          </w:p>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Andrew Moore</w:t>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866"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Abhay Parasnis     </w:t>
            </w:r>
          </w:p>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Abhay Parasnis</w:t>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866"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Karen Peacock        </w:t>
            </w:r>
          </w:p>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Karen Peacock</w:t>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866" w:type="dxa"/>
            <w:gridSpan w:val="3"/>
            <w:tcBorders/>
            <w:tcMar>
              <w:top w:w="0" w:type="dxa"/>
              <w:left w:w="0" w:type="dxa"/>
              <w:bottom w:w="0" w:type="dxa"/>
              <w:right w:w="0" w:type="dxa"/>
            </w:tcMar>
            <w:vAlign w:val="center"/>
          </w:tcPr>
          <w:p>
            <w:pPr>
              <w:pStyle w:val="TableContents"/>
              <w:bidi w:val="0"/>
              <w:spacing w:before="240" w:after="283"/>
              <w:ind w:left="0" w:right="0" w:firstLine="720"/>
              <w:jc w:val="left"/>
              <w:rPr/>
            </w:pPr>
            <w:r>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Michael Seibel        </w:t>
            </w:r>
          </w:p>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Michael Seibel</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866"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bl>
    <w:p>
      <w:pPr>
        <w:pStyle w:val="TextBody"/>
        <w:bidi w:val="0"/>
        <w:spacing w:before="240" w:after="283"/>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 xml:space="preserve">Exhibit 107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Calculation of Filing Fee Tables </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Form S-8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 Type) </w:t>
      </w:r>
    </w:p>
    <w:p>
      <w:pPr>
        <w:pStyle w:val="TextBody"/>
        <w:bidi w:val="0"/>
        <w:spacing w:lineRule="auto" w:line="240" w:before="24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Dropbox, Inc.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p>
      <w:pPr>
        <w:pStyle w:val="TextBody"/>
        <w:bidi w:val="0"/>
        <w:spacing w:before="0" w:after="0"/>
        <w:jc w:val="center"/>
        <w:rPr/>
      </w:pPr>
      <w:r>
        <w:rPr/>
      </w:r>
    </w:p>
    <w:tbl>
      <w:tblPr>
        <w:tblW w:w="95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27"/>
        <w:gridCol w:w="327"/>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1" w:type="dxa"/>
            <w:gridSpan w:val="84"/>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Table 1 – Newly Registered Securities</w:t>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4" w:type="dxa"/>
            <w:gridSpan w:val="81"/>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2"/>
        <w:gridCol w:w="230"/>
        <w:gridCol w:w="231"/>
        <w:gridCol w:w="153"/>
        <w:gridCol w:w="153"/>
        <w:gridCol w:w="153"/>
        <w:gridCol w:w="445"/>
        <w:gridCol w:w="445"/>
        <w:gridCol w:w="447"/>
        <w:gridCol w:w="109"/>
        <w:gridCol w:w="109"/>
        <w:gridCol w:w="109"/>
        <w:gridCol w:w="313"/>
        <w:gridCol w:w="313"/>
        <w:gridCol w:w="314"/>
        <w:gridCol w:w="109"/>
        <w:gridCol w:w="109"/>
        <w:gridCol w:w="109"/>
        <w:gridCol w:w="434"/>
        <w:gridCol w:w="296"/>
        <w:gridCol w:w="297"/>
        <w:gridCol w:w="341"/>
        <w:gridCol w:w="341"/>
        <w:gridCol w:w="342"/>
        <w:gridCol w:w="778"/>
        <w:gridCol w:w="324"/>
        <w:gridCol w:w="325"/>
        <w:gridCol w:w="196"/>
        <w:gridCol w:w="1006"/>
        <w:gridCol w:w="109"/>
        <w:gridCol w:w="207"/>
        <w:gridCol w:w="920"/>
        <w:gridCol w:w="176"/>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Security Type</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Security Class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Fee Calculation Rule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Amount Registered</w:t>
            </w:r>
            <w:r>
              <w:rPr>
                <w:color w:val="000000"/>
              </w:rPr>
              <w:t xml:space="preserve"> </w:t>
            </w:r>
            <w:r>
              <w:rPr>
                <w:rFonts w:ascii="Times New Roman;serif" w:hAnsi="Times New Roman;serif"/>
                <w:b w:val="false"/>
                <w:color w:val="000000"/>
                <w:sz w:val="10"/>
              </w:rPr>
              <w:t>(1)</w:t>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Proposed Maximum Offering Price Per Share</w:t>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Maximum Aggregate Offering Price</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Fee Rate</w:t>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 of Registration Fee</w:t>
            </w:r>
          </w:p>
        </w:tc>
      </w:tr>
      <w:tr>
        <w:trPr/>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 </w:t>
            </w:r>
          </w:p>
        </w:tc>
        <w:tc>
          <w:tcPr>
            <w:tcW w:w="1796"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$0.00001 par value per share, reserved for issuance pursuant to the 2018 Equity Incentive Plan the 2018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6"/>
              </w:rPr>
              <w:t xml:space="preserve">12,150,187 </w:t>
            </w:r>
            <w:r>
              <w:rPr>
                <w:rFonts w:ascii="Times New Roman;serif" w:hAnsi="Times New Roman;serif"/>
                <w:b w:val="false"/>
                <w:color w:val="000000"/>
                <w:sz w:val="10"/>
              </w:rPr>
              <w:t>(2)</w:t>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$ 24.17 </w:t>
            </w:r>
            <w:r>
              <w:rPr>
                <w:rFonts w:ascii="Times New Roman;serif" w:hAnsi="Times New Roman;serif"/>
                <w:b w:val="false"/>
                <w:color w:val="000000"/>
                <w:sz w:val="10"/>
              </w:rPr>
              <w:t>(3)</w:t>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$293,670,019.79</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0.00013810 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40,556.00 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Offering Amounts </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$293,670,019.79</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40,556.00 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Fee Offsets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Net Fee Due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40,556.00 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Pursuant to Rule 416(a) of the Securities Act of 1933 (the “Securities Act”), as amended, this Registration Statement covers any additional shares of the Registrant’s Class A common stock (“Class A Common Stock”) that become issuable under the Registrant’s 2018 Equity Incentive Plan (the “2018 Plan”) by reason of any stock dividend, stock split, recapitalization or other similar transaction effected without the Registrant’s receipt of consideration which results in an increase in the number of the outstanding shares of Class A Common Stock.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Represents an automatic increase of 12,150,187 shares of the Registrant’s Class A common stock reserved for issuance under, and which annual increase is provided for, in the 2018 Plan.</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 xml:space="preserve">Estimated in accordance with Rule 457(h) of the Securities Act solely for the purpose of calculating the registration fee on the basis of $24.17 per share, the average of the high and low sale prices of the Registrant’s Class A common stock as reported on the NASDAQ Global Select Stock Market on February 12,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251" w:type="dxa"/>
        <w:jc w:val="left"/>
        <w:tblInd w:w="0" w:type="dxa"/>
        <w:tblLayout w:type="fixed"/>
        <w:tblCellMar>
          <w:top w:w="28" w:type="dxa"/>
          <w:left w:w="28" w:type="dxa"/>
          <w:bottom w:w="28" w:type="dxa"/>
          <w:right w:w="28" w:type="dxa"/>
        </w:tblCellMar>
      </w:tblPr>
      <w:tblGrid>
        <w:gridCol w:w="1041"/>
        <w:gridCol w:w="915"/>
        <w:gridCol w:w="1295"/>
      </w:tblGrid>
      <w:tr>
        <w:trPr/>
        <w:tc>
          <w:tcPr>
            <w:tcW w:w="10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71675" cy="295275"/>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10"/>
                          <a:stretch>
                            <a:fillRect/>
                          </a:stretch>
                        </pic:blipFill>
                        <pic:spPr bwMode="auto">
                          <a:xfrm>
                            <a:off x="0" y="0"/>
                            <a:ext cx="1971675" cy="295275"/>
                          </a:xfrm>
                          <a:prstGeom prst="rect">
                            <a:avLst/>
                          </a:prstGeom>
                        </pic:spPr>
                      </pic:pic>
                    </a:graphicData>
                  </a:graphic>
                </wp:inline>
              </w:drawing>
            </w:r>
          </w:p>
        </w:tc>
      </w:tr>
    </w:tbl>
    <w:p>
      <w:pPr>
        <w:pStyle w:val="TextBody"/>
        <w:bidi w:val="0"/>
        <w:spacing w:lineRule="auto" w:line="288" w:before="0" w:after="0"/>
        <w:jc w:val="left"/>
        <w:rPr>
          <w:color w:val="000000"/>
        </w:rPr>
      </w:pPr>
      <w:r>
        <w:rPr>
          <w:color w:val="000000"/>
        </w:rPr>
        <w:t>                </w:t>
      </w:r>
    </w:p>
    <w:tbl>
      <w:tblPr>
        <w:tblW w:w="4979" w:type="dxa"/>
        <w:jc w:val="left"/>
        <w:tblInd w:w="0" w:type="dxa"/>
        <w:tblLayout w:type="fixed"/>
        <w:tblCellMar>
          <w:top w:w="28" w:type="dxa"/>
          <w:left w:w="28" w:type="dxa"/>
          <w:bottom w:w="28" w:type="dxa"/>
          <w:right w:w="28" w:type="dxa"/>
        </w:tblCellMar>
      </w:tblPr>
      <w:tblGrid>
        <w:gridCol w:w="1593"/>
        <w:gridCol w:w="1401"/>
        <w:gridCol w:w="1985"/>
      </w:tblGrid>
      <w:tr>
        <w:trPr/>
        <w:tc>
          <w:tcPr>
            <w:tcW w:w="159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Brownstein Hyatt Farber Schreck, LLP</w:t>
            </w:r>
          </w:p>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702.382.2101 main</w:t>
            </w:r>
          </w:p>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100 North City Parkway, Suite 1600</w:t>
            </w:r>
          </w:p>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Las Vegas, Nevada 89106</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480"/>
        <w:jc w:val="right"/>
        <w:rPr>
          <w:rFonts w:ascii="Verdana;sans-serif" w:hAnsi="Verdana;sans-serif"/>
          <w:b/>
          <w:color w:val="000000"/>
          <w:sz w:val="20"/>
        </w:rPr>
      </w:pPr>
      <w:r>
        <w:rPr>
          <w:rFonts w:ascii="Verdana;sans-serif" w:hAnsi="Verdana;sans-serif"/>
          <w:b/>
          <w:color w:val="000000"/>
          <w:sz w:val="20"/>
        </w:rPr>
        <w:t>Exhibit 5.1</w:t>
      </w:r>
    </w:p>
    <w:p>
      <w:pPr>
        <w:pStyle w:val="TextBody"/>
        <w:bidi w:val="0"/>
        <w:spacing w:lineRule="auto" w:line="240" w:before="0" w:after="0"/>
        <w:jc w:val="left"/>
        <w:rPr>
          <w:rFonts w:ascii="sans-serif" w:hAnsi="sans-serif"/>
          <w:b w:val="false"/>
          <w:color w:val="000000"/>
          <w:sz w:val="23"/>
        </w:rPr>
      </w:pPr>
      <w:r>
        <w:rPr>
          <w:rFonts w:ascii="sans-serif" w:hAnsi="sans-serif"/>
          <w:b w:val="false"/>
          <w:color w:val="000000"/>
          <w:sz w:val="23"/>
        </w:rPr>
        <w:t xml:space="preserve">February 20, 2026 </w:t>
      </w:r>
    </w:p>
    <w:p>
      <w:pPr>
        <w:pStyle w:val="TextBody"/>
        <w:bidi w:val="0"/>
        <w:spacing w:lineRule="auto" w:line="288" w:before="0" w:after="0"/>
        <w:jc w:val="left"/>
        <w:rPr>
          <w:rFonts w:ascii="sans-serif" w:hAnsi="sans-serif"/>
          <w:b w:val="false"/>
          <w:color w:val="000000"/>
          <w:sz w:val="23"/>
        </w:rPr>
      </w:pPr>
      <w:r>
        <w:rPr>
          <w:rFonts w:ascii="sans-serif" w:hAnsi="sans-serif"/>
          <w:b w:val="false"/>
          <w:color w:val="000000"/>
          <w:sz w:val="23"/>
        </w:rPr>
        <w:t>Dropbox, Inc.</w:t>
      </w:r>
    </w:p>
    <w:p>
      <w:pPr>
        <w:pStyle w:val="TextBody"/>
        <w:bidi w:val="0"/>
        <w:spacing w:lineRule="auto" w:line="288" w:before="0" w:after="0"/>
        <w:jc w:val="left"/>
        <w:rPr>
          <w:rFonts w:ascii="sans-serif" w:hAnsi="sans-serif"/>
          <w:b w:val="false"/>
          <w:color w:val="000000"/>
          <w:sz w:val="23"/>
        </w:rPr>
      </w:pPr>
      <w:r>
        <w:rPr>
          <w:rFonts w:ascii="sans-serif" w:hAnsi="sans-serif"/>
          <w:b w:val="false"/>
          <w:color w:val="000000"/>
          <w:sz w:val="23"/>
        </w:rPr>
        <w:t>1800 Owens Street</w:t>
      </w:r>
    </w:p>
    <w:p>
      <w:pPr>
        <w:pStyle w:val="TextBody"/>
        <w:bidi w:val="0"/>
        <w:spacing w:lineRule="auto" w:line="288" w:before="0" w:after="0"/>
        <w:jc w:val="left"/>
        <w:rPr>
          <w:rFonts w:ascii="sans-serif" w:hAnsi="sans-serif"/>
          <w:b w:val="false"/>
          <w:color w:val="000000"/>
          <w:sz w:val="23"/>
        </w:rPr>
      </w:pPr>
      <w:r>
        <w:rPr>
          <w:rFonts w:ascii="sans-serif" w:hAnsi="sans-serif"/>
          <w:b w:val="false"/>
          <w:color w:val="000000"/>
          <w:sz w:val="23"/>
        </w:rPr>
        <w:t>San Francisco, CA 94158</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3"/>
        </w:rPr>
      </w:pPr>
      <w:r>
        <w:rPr>
          <w:rFonts w:ascii="sans-serif" w:hAnsi="sans-serif"/>
          <w:b w:val="false"/>
          <w:color w:val="000000"/>
          <w:sz w:val="23"/>
        </w:rPr>
        <w:t>To the addressee set forth above: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sans-serif" w:hAnsi="sans-serif"/>
          <w:b w:val="false"/>
          <w:color w:val="000000"/>
          <w:sz w:val="23"/>
        </w:rPr>
        <w:t>We have acted as local Nevada counsel to Dropbox, Inc., a Nevada corporation (the “</w:t>
      </w:r>
      <w:r>
        <w:rPr>
          <w:rFonts w:ascii="sans-serif" w:hAnsi="sans-serif"/>
          <w:b w:val="false"/>
          <w:color w:val="000000"/>
          <w:sz w:val="23"/>
          <w:u w:val="single"/>
        </w:rPr>
        <w:t>Company</w:t>
      </w:r>
      <w:r>
        <w:rPr>
          <w:color w:val="000000"/>
        </w:rPr>
        <w:t>”</w:t>
      </w:r>
      <w:r>
        <w:rPr>
          <w:rFonts w:ascii="sans-serif" w:hAnsi="sans-serif"/>
          <w:b w:val="false"/>
          <w:color w:val="000000"/>
          <w:sz w:val="23"/>
        </w:rPr>
        <w:t>), in connection with the filing by the Company of a Registration Statement on Form S-8 (the “</w:t>
      </w:r>
      <w:r>
        <w:rPr>
          <w:rFonts w:ascii="sans-serif" w:hAnsi="sans-serif"/>
          <w:b w:val="false"/>
          <w:color w:val="000000"/>
          <w:sz w:val="23"/>
          <w:u w:val="single"/>
        </w:rPr>
        <w:t>Registration Statement</w:t>
      </w:r>
      <w:r>
        <w:rPr>
          <w:color w:val="000000"/>
        </w:rPr>
        <w:t>”</w:t>
      </w:r>
      <w:r>
        <w:rPr>
          <w:rFonts w:ascii="sans-serif" w:hAnsi="sans-serif"/>
          <w:b w:val="false"/>
          <w:color w:val="000000"/>
          <w:sz w:val="23"/>
        </w:rPr>
        <w:t>) with the Securities and Exchange Commission (the “</w:t>
      </w:r>
      <w:r>
        <w:rPr>
          <w:rFonts w:ascii="sans-serif" w:hAnsi="sans-serif"/>
          <w:b w:val="false"/>
          <w:color w:val="000000"/>
          <w:sz w:val="23"/>
          <w:u w:val="single"/>
        </w:rPr>
        <w:t>Commission</w:t>
      </w:r>
      <w:r>
        <w:rPr>
          <w:color w:val="000000"/>
        </w:rPr>
        <w:t>”</w:t>
      </w:r>
      <w:r>
        <w:rPr>
          <w:rFonts w:ascii="sans-serif" w:hAnsi="sans-serif"/>
          <w:b w:val="false"/>
          <w:color w:val="000000"/>
          <w:sz w:val="23"/>
        </w:rPr>
        <w:t>) under the Securities Act of 1933, as amended (the “</w:t>
      </w:r>
      <w:r>
        <w:rPr>
          <w:rFonts w:ascii="sans-serif" w:hAnsi="sans-serif"/>
          <w:b w:val="false"/>
          <w:color w:val="000000"/>
          <w:sz w:val="23"/>
          <w:u w:val="single"/>
        </w:rPr>
        <w:t>Act</w:t>
      </w:r>
      <w:r>
        <w:rPr>
          <w:color w:val="000000"/>
        </w:rPr>
        <w:t>”</w:t>
      </w:r>
      <w:r>
        <w:rPr>
          <w:rFonts w:ascii="sans-serif" w:hAnsi="sans-serif"/>
          <w:b w:val="false"/>
          <w:color w:val="000000"/>
          <w:sz w:val="23"/>
        </w:rPr>
        <w:t>), relating to the registration of 12,150,187 shares (the “</w:t>
      </w:r>
      <w:r>
        <w:rPr>
          <w:rFonts w:ascii="sans-serif" w:hAnsi="sans-serif"/>
          <w:b w:val="false"/>
          <w:color w:val="000000"/>
          <w:sz w:val="23"/>
          <w:u w:val="single"/>
        </w:rPr>
        <w:t>Shares</w:t>
      </w:r>
      <w:r>
        <w:rPr>
          <w:color w:val="000000"/>
        </w:rPr>
        <w:t>”</w:t>
      </w:r>
      <w:r>
        <w:rPr>
          <w:rFonts w:ascii="sans-serif" w:hAnsi="sans-serif"/>
          <w:b w:val="false"/>
          <w:color w:val="000000"/>
          <w:sz w:val="23"/>
        </w:rPr>
        <w:t>) of the Company’s Class A Common Stock, par value $0.00001 per share (the “</w:t>
      </w:r>
      <w:r>
        <w:rPr>
          <w:rFonts w:ascii="sans-serif" w:hAnsi="sans-serif"/>
          <w:b w:val="false"/>
          <w:color w:val="000000"/>
          <w:sz w:val="23"/>
          <w:u w:val="single"/>
        </w:rPr>
        <w:t>Class A Common Stock</w:t>
      </w:r>
      <w:r>
        <w:rPr>
          <w:color w:val="000000"/>
        </w:rPr>
        <w:t>”</w:t>
      </w:r>
      <w:r>
        <w:rPr>
          <w:rFonts w:ascii="sans-serif" w:hAnsi="sans-serif"/>
          <w:b w:val="false"/>
          <w:color w:val="000000"/>
          <w:sz w:val="23"/>
        </w:rPr>
        <w:t>), issuable under the Company’s 2018 Equity Incentive Plan (as amended to date, the “</w:t>
      </w:r>
      <w:r>
        <w:rPr>
          <w:rFonts w:ascii="sans-serif" w:hAnsi="sans-serif"/>
          <w:b w:val="false"/>
          <w:color w:val="000000"/>
          <w:sz w:val="23"/>
          <w:u w:val="single"/>
        </w:rPr>
        <w:t>Plan</w:t>
      </w:r>
      <w:r>
        <w:rPr>
          <w:color w:val="000000"/>
        </w:rPr>
        <w:t>”</w:t>
      </w:r>
      <w:r>
        <w:rPr>
          <w:rFonts w:ascii="sans-serif" w:hAnsi="sans-serif"/>
          <w:b w:val="false"/>
          <w:color w:val="000000"/>
          <w:sz w:val="23"/>
        </w:rPr>
        <w:t xml:space="preserve">). This opinion letter is being delivered at your request pursuant to the requirements of Item 601(b)(5) of Regulation S-K under the Act.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sans-serif" w:hAnsi="sans-serif"/>
          <w:b w:val="false"/>
          <w:color w:val="000000"/>
          <w:sz w:val="23"/>
        </w:rPr>
      </w:pPr>
      <w:r>
        <w:rPr>
          <w:rFonts w:ascii="sans-serif" w:hAnsi="sans-serif"/>
          <w:b w:val="false"/>
          <w:color w:val="000000"/>
          <w:sz w:val="23"/>
        </w:rPr>
        <w:t xml:space="preserve">In our capacity as such counsel, we are familiar with the proceedings taken and proposed to be taken by the Company in connection with the authorization and registration of the Shares as contemplated by the Plan and as described in the Registration Statement. For purposes of this opinion letter, and except to the extent set forth in the opinion expressed below, we have assumed that all such proceedings have been or will be timely completed in the manner contemplated by the Plan, and as presently proposed in the Registration Statement.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sans-serif" w:hAnsi="sans-serif"/>
          <w:b w:val="false"/>
          <w:color w:val="000000"/>
          <w:sz w:val="23"/>
        </w:rPr>
      </w:pPr>
      <w:r>
        <w:rPr>
          <w:rFonts w:ascii="sans-serif" w:hAnsi="sans-serif"/>
          <w:b w:val="false"/>
          <w:color w:val="000000"/>
          <w:sz w:val="23"/>
        </w:rPr>
        <w:t>For the purpose of issuing this opinion letter, we have (a) made such legal and factual examinations and inquiries, including an examination of originals or copies certified or otherwise identified to our satisfaction as being true copies of (i) the Registration Statement, (ii) the Plan, (iii) the Company’s articles of incorporation and bylaws, and (iv) such other agreements, instruments, corporate records (including resolutions of the board of directors and any committee thereof) and other documents, as we have deemed necessary or appropriate, and (b) obtained from officers and other representatives and agents of the Company and from public officials, and have relied upon, such certificates, representations, assurances and public filings as we have deemed necessary or appropriate.</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sans-serif" w:hAnsi="sans-serif"/>
          <w:b w:val="false"/>
          <w:color w:val="000000"/>
          <w:sz w:val="23"/>
        </w:rPr>
      </w:pPr>
      <w:r>
        <w:rPr>
          <w:rFonts w:ascii="sans-serif" w:hAnsi="sans-serif"/>
          <w:b w:val="false"/>
          <w:color w:val="000000"/>
          <w:sz w:val="23"/>
        </w:rPr>
        <w:t xml:space="preserve">Without limiting the generality of the foregoing, we have, with your permission, assumed without independent verification that: (i) the statements of fact and all representations and warranties set forth in the documents we have reviewed are, or at all relevant times will be, true and correct as to factual matters; (ii) each natural person executing a document at all relevant times had or will have sufficient legal capacity to do so; (iii) all documents submitted to us as originals are authentic, the signatures on all documents we reviewed are genuine and all documents submitted to us as certified, conformed, photostatic, electronic or facsimile copies conform to the original document; (iv) all corporate records made available to us by the Company, and all public records we have reviewed, are accurate and </w:t>
      </w:r>
    </w:p>
    <w:p>
      <w:pPr>
        <w:pStyle w:val="TextBody"/>
        <w:bidi w:val="0"/>
        <w:spacing w:lineRule="auto" w:line="288" w:before="0" w:after="0"/>
        <w:jc w:val="left"/>
        <w:rPr>
          <w:rFonts w:ascii="sans-serif" w:hAnsi="sans-serif"/>
          <w:b w:val="false"/>
          <w:color w:val="000000"/>
          <w:sz w:val="23"/>
        </w:rPr>
      </w:pPr>
      <w:r>
        <w:rPr>
          <w:rFonts w:ascii="sans-serif" w:hAnsi="sans-serif"/>
          <w:b w:val="false"/>
          <w:color w:val="000000"/>
          <w:sz w:val="23"/>
        </w:rPr>
        <w:t>Dropbox, Inc.</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54305"/>
                <wp:effectExtent l="0" t="0" r="0" b="0"/>
                <wp:wrapNone/>
                <wp:docPr id="17" name="Frame9"/>
                <a:graphic xmlns:a="http://schemas.openxmlformats.org/drawingml/2006/main">
                  <a:graphicData uri="http://schemas.microsoft.com/office/word/2010/wordprocessingShape">
                    <wps:wsp>
                      <wps:cNvSpPr txBox="1"/>
                      <wps:spPr>
                        <a:xfrm>
                          <a:off x="0" y="0"/>
                          <a:ext cx="6480175" cy="154305"/>
                        </a:xfrm>
                        <a:prstGeom prst="rect"/>
                        <a:solidFill>
                          <a:srgbClr val="FFFFFF"/>
                        </a:solidFill>
                      </wps:spPr>
                      <wps:txbx>
                        <w:txbxContent>
                          <w:p>
                            <w:pPr>
                              <w:pStyle w:val="TextBody"/>
                              <w:bidi w:val="0"/>
                              <w:spacing w:lineRule="auto" w:line="288" w:before="0" w:after="0"/>
                              <w:jc w:val="right"/>
                              <w:rPr>
                                <w:rFonts w:ascii="Verdana;sans-serif" w:hAnsi="Verdana;sans-serif"/>
                                <w:b/>
                                <w:color w:val="3051F2"/>
                                <w:sz w:val="20"/>
                              </w:rPr>
                            </w:pPr>
                            <w:r>
                              <w:rPr>
                                <w:rFonts w:ascii="Verdana;sans-serif" w:hAnsi="Verdana;sans-serif"/>
                                <w:b/>
                                <w:color w:val="3051F2"/>
                                <w:sz w:val="20"/>
                              </w:rPr>
                              <w:t>www.bhfs.com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Verdana;sans-serif" w:hAnsi="Verdana;sans-serif"/>
                          <w:b/>
                          <w:color w:val="3051F2"/>
                          <w:sz w:val="20"/>
                        </w:rPr>
                      </w:pPr>
                      <w:r>
                        <w:rPr>
                          <w:rFonts w:ascii="Verdana;sans-serif" w:hAnsi="Verdana;sans-serif"/>
                          <w:b/>
                          <w:color w:val="3051F2"/>
                          <w:sz w:val="20"/>
                        </w:rPr>
                        <w:t>www.bhfs.com</w:t>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3"/>
        </w:rPr>
      </w:pPr>
      <w:r>
        <w:rPr>
          <w:rFonts w:ascii="sans-serif" w:hAnsi="sans-serif"/>
          <w:b w:val="false"/>
          <w:color w:val="000000"/>
          <w:sz w:val="23"/>
        </w:rPr>
        <w:t>February 20, 2026</w:t>
      </w:r>
    </w:p>
    <w:p>
      <w:pPr>
        <w:pStyle w:val="TextBody"/>
        <w:bidi w:val="0"/>
        <w:spacing w:lineRule="auto" w:line="288" w:before="0" w:after="0"/>
        <w:jc w:val="left"/>
        <w:rPr>
          <w:rFonts w:ascii="sans-serif" w:hAnsi="sans-serif"/>
          <w:b w:val="false"/>
          <w:color w:val="000000"/>
          <w:sz w:val="23"/>
        </w:rPr>
      </w:pPr>
      <w:r>
        <w:rPr>
          <w:rFonts w:ascii="sans-serif" w:hAnsi="sans-serif"/>
          <w:b w:val="false"/>
          <w:color w:val="000000"/>
          <w:sz w:val="23"/>
        </w:rPr>
        <w:t>Page 2</w:t>
      </w:r>
    </w:p>
    <w:p>
      <w:pPr>
        <w:pStyle w:val="TextBody"/>
        <w:bidi w:val="0"/>
        <w:spacing w:lineRule="auto" w:line="288" w:before="0" w:after="0"/>
        <w:jc w:val="left"/>
        <w:rPr>
          <w:rFonts w:ascii="sans-serif" w:hAnsi="sans-serif"/>
          <w:b w:val="false"/>
          <w:color w:val="000000"/>
          <w:sz w:val="23"/>
        </w:rPr>
      </w:pPr>
      <w:r>
        <w:rPr>
          <w:rFonts w:ascii="sans-serif" w:hAnsi="sans-serif"/>
          <w:b w:val="false"/>
          <w:color w:val="000000"/>
          <w:sz w:val="23"/>
        </w:rPr>
        <w:t>complete; and (v) after any issuance of Shares, the total number of issued and outstanding shares of Class A Common Stock, together with the total number of shares of Class A Common Stock then reserved for issuance or obligated to be issued by the Company pursuant to any agreement or arrangement or otherwise, including the Plan, will not exceed the total number of shares of Class A Common Stock then authorized under the Company’s articles of incorporation.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sans-serif" w:hAnsi="sans-serif"/>
          <w:b w:val="false"/>
          <w:color w:val="000000"/>
          <w:sz w:val="23"/>
        </w:rPr>
      </w:pPr>
      <w:r>
        <w:rPr>
          <w:rFonts w:ascii="sans-serif" w:hAnsi="sans-serif"/>
          <w:b w:val="false"/>
          <w:color w:val="000000"/>
          <w:sz w:val="23"/>
        </w:rPr>
        <w:t>We are qualified to practice law in the State of Nevada. The opinion set forth herein is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any federal laws, rules or regulations, including, without limitation, any federal securities laws, rules or regulations, or any state securities or “blue sky” laws, rules or regulations.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sans-serif" w:hAnsi="sans-serif"/>
          <w:b w:val="false"/>
          <w:color w:val="000000"/>
          <w:sz w:val="23"/>
        </w:rPr>
      </w:pPr>
      <w:r>
        <w:rPr>
          <w:rFonts w:ascii="sans-serif" w:hAnsi="sans-serif"/>
          <w:b w:val="false"/>
          <w:color w:val="000000"/>
          <w:sz w:val="23"/>
        </w:rPr>
        <w:t>Based on the foregoing and in reliance thereon, and having regard to legal considerations and other information that we deem relevant, we are of the opinion that the Shares have been duly authorized by the Company and, if, when and to the extent any Shares are issued in accordance with all applicable terms and conditions set forth in the Plan and in exchange for the consideration required thereunder, and as described in the Registration Statement, such Shares will be validly issued, fully paid and nonassessable.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sans-serif" w:hAnsi="sans-serif"/>
          <w:b w:val="false"/>
          <w:color w:val="000000"/>
          <w:sz w:val="23"/>
        </w:rPr>
      </w:pPr>
      <w:r>
        <w:rPr>
          <w:rFonts w:ascii="sans-serif" w:hAnsi="sans-serif"/>
          <w:b w:val="false"/>
          <w:color w:val="000000"/>
          <w:sz w:val="23"/>
        </w:rPr>
        <w:t>The opinion expressed herein is based upon the applicable laws of the State of Nevada and the facts in existence on the date of this opinion letter. In delivering this opinion letter to you, we disclaim any obligation to update or supplement the opinion set forth herein or to apprise you of any changes in any laws or facts after the filing of this opinion letter as an exhibit to the Registration Statement. No opinion is offered or implied as to any matter, and no inference may be drawn, beyond the strict scope of the specific issues expressly addressed by the opinion set forth herein.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sans-serif" w:hAnsi="sans-serif"/>
          <w:b w:val="false"/>
          <w:color w:val="000000"/>
          <w:sz w:val="23"/>
        </w:rPr>
      </w:pPr>
      <w:r>
        <w:rPr>
          <w:rFonts w:ascii="sans-serif" w:hAnsi="sans-serif"/>
          <w:b w:val="false"/>
          <w:color w:val="000000"/>
          <w:sz w:val="23"/>
        </w:rPr>
        <w:t>We hereby consent to the filing of this opinion letter as an exhibit to the Registration Statement. In giving this consent, we do not admit that we are within the category of persons whose consent is required under Section 7 of the Act or the rules and regulations of the Commission promulgated thereunder.</w:t>
      </w:r>
    </w:p>
    <w:p>
      <w:pPr>
        <w:pStyle w:val="TextBody"/>
        <w:bidi w:val="0"/>
        <w:spacing w:before="0" w:after="0"/>
        <w:ind w:left="0" w:right="0" w:firstLine="720"/>
        <w:jc w:val="left"/>
        <w:rPr/>
      </w:pPr>
      <w:r>
        <w:rPr/>
      </w:r>
    </w:p>
    <w:p>
      <w:pPr>
        <w:pStyle w:val="TextBody"/>
        <w:bidi w:val="0"/>
        <w:spacing w:lineRule="auto" w:line="288" w:before="0" w:after="0"/>
        <w:jc w:val="left"/>
        <w:rPr>
          <w:rFonts w:ascii="sans-serif" w:hAnsi="sans-serif"/>
          <w:b w:val="false"/>
          <w:color w:val="000000"/>
          <w:sz w:val="23"/>
        </w:rPr>
      </w:pPr>
      <w:r>
        <w:rPr>
          <w:rFonts w:ascii="sans-serif" w:hAnsi="sans-serif"/>
          <w:b w:val="false"/>
          <w:color w:val="000000"/>
          <w:sz w:val="23"/>
        </w:rPr>
        <w:t xml:space="preserve">Very truly yours, </w:t>
      </w:r>
    </w:p>
    <w:p>
      <w:pPr>
        <w:pStyle w:val="TextBody"/>
        <w:bidi w:val="0"/>
        <w:spacing w:lineRule="auto" w:line="288"/>
        <w:jc w:val="left"/>
        <w:rPr>
          <w:rFonts w:ascii="sans-serif" w:hAnsi="sans-serif"/>
          <w:b w:val="false"/>
          <w:color w:val="000000"/>
          <w:sz w:val="23"/>
        </w:rPr>
      </w:pPr>
      <w:r>
        <w:rPr>
          <w:rFonts w:ascii="sans-serif" w:hAnsi="sans-serif"/>
          <w:b w:val="false"/>
          <w:color w:val="000000"/>
          <w:sz w:val="23"/>
        </w:rPr>
        <w:t>/s/ Brownstein Hyatt Farber Schreck,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23825"/>
                <wp:effectExtent l="0" t="0" r="0" b="0"/>
                <wp:wrapNone/>
                <wp:docPr id="18" name="Frame10"/>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37736279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37736279</w:t>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333333"/>
          <w:sz w:val="20"/>
        </w:rPr>
      </w:pPr>
      <w:r>
        <w:rPr>
          <w:rFonts w:ascii="Times New Roman;serif" w:hAnsi="Times New Roman;serif"/>
          <w:b/>
          <w:color w:val="333333"/>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333333"/>
          <w:sz w:val="20"/>
        </w:rPr>
      </w:pPr>
      <w:r>
        <w:rPr>
          <w:rFonts w:ascii="Times New Roman;serif" w:hAnsi="Times New Roman;serif"/>
          <w:b w:val="false"/>
          <w:color w:val="333333"/>
          <w:sz w:val="20"/>
        </w:rPr>
        <w:t>We consent to the incorporation by reference in the Registration Statement (Form S-8) pertaining to the 2018 Equity Incentive Plan of Dropbox, Inc. of our reports dated February 20, 2026, with respect to the consolidated financial statements of Dropbox, Inc. and the effectiveness of internal control over financial reporting of Dropbox, Inc. included in its Annual Report (Form 10-K) for the year ended December 31, 2025, filed with the Securities and Exchange Commission.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333333"/>
          <w:sz w:val="20"/>
        </w:rPr>
      </w:pPr>
      <w:r>
        <w:rPr>
          <w:rFonts w:ascii="Times New Roman;serif" w:hAnsi="Times New Roman;serif"/>
          <w:b w:val="false"/>
          <w:color w:val="333333"/>
          <w:sz w:val="20"/>
        </w:rPr>
        <w:t>/s/ Ernst &amp; Young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333333"/>
          <w:sz w:val="20"/>
        </w:rPr>
      </w:pPr>
      <w:r>
        <w:rPr>
          <w:rFonts w:ascii="Times New Roman;serif" w:hAnsi="Times New Roman;serif"/>
          <w:b w:val="false"/>
          <w:color w:val="333333"/>
          <w:sz w:val="20"/>
        </w:rPr>
        <w:t>San Francisco, California</w:t>
      </w:r>
    </w:p>
    <w:p>
      <w:pPr>
        <w:pStyle w:val="TextBody"/>
        <w:bidi w:val="0"/>
        <w:spacing w:lineRule="auto" w:line="268"/>
        <w:jc w:val="left"/>
        <w:rPr>
          <w:rFonts w:ascii="Times New Roman;serif" w:hAnsi="Times New Roman;serif"/>
          <w:b w:val="false"/>
          <w:color w:val="333333"/>
          <w:sz w:val="20"/>
        </w:rPr>
      </w:pPr>
      <w:r>
        <w:rPr>
          <w:rFonts w:ascii="Times New Roman;serif" w:hAnsi="Times New Roman;serif"/>
          <w:b w:val="false"/>
          <w:color w:val="333333"/>
          <w:sz w:val="20"/>
        </w:rPr>
        <w:t>February 20, 2026</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hyperlink" Target="https://www.sec.gov/Archives/edgar/data/1467623/000146762325000011/exhibit102-q424.htm" TargetMode="External"/><Relationship Id="rId10" Type="http://schemas.openxmlformats.org/officeDocument/2006/relationships/image" Target="media/image2.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4572</Words>
  <Characters>24134</Characters>
  <CharactersWithSpaces>28680</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