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Regan Timothy</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01/03/2023</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65"/>
        <w:spacing w:after="0"/>
        <w:rPr>
          <w:sz w:val="20"/>
          <w:szCs w:val="20"/>
          <w:color w:val="auto"/>
        </w:rPr>
      </w:pPr>
      <w:r>
        <w:rPr>
          <w:rFonts w:ascii="Arial" w:cs="Arial" w:eastAsia="Arial" w:hAnsi="Arial"/>
          <w:sz w:val="17"/>
          <w:szCs w:val="17"/>
          <w:color w:val="0000FF"/>
        </w:rPr>
        <w:t>Chief Financial Officer</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01/03/2023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22.56</w:t>
            </w:r>
          </w:p>
        </w:tc>
        <w:tc>
          <w:tcPr>
            <w:tcW w:w="120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468,599</w:t>
            </w:r>
            <w:r>
              <w:rPr>
                <w:rFonts w:ascii="Arial" w:cs="Arial" w:eastAsia="Arial" w:hAnsi="Arial"/>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sold pursuant to a Rule 10b5-1 trading plan entered into by the Reporting Person.</w:t>
      </w:r>
    </w:p>
    <w:p>
      <w:pPr>
        <w:spacing w:after="0" w:line="50" w:lineRule="exact"/>
        <w:rPr>
          <w:rFonts w:ascii="Arial" w:cs="Arial" w:eastAsia="Arial" w:hAnsi="Arial"/>
          <w:sz w:val="13"/>
          <w:szCs w:val="13"/>
          <w:color w:val="008000"/>
        </w:rPr>
      </w:pPr>
    </w:p>
    <w:p>
      <w:pPr>
        <w:jc w:val="both"/>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2026. In the event the Reporting Person ceases to be a Service Provider, the unvested restricted stock awards and restricted stock units will be cancelled by the Issuer.</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01/05/2023</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Bart Volkmer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Signature: /s/ Timothy Regan</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Timothy Regan</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1/25/2021</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40"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2023-01-05T15:17:27Z</dcterms:created>
  <dcterms:modified xsi:type="dcterms:W3CDTF">2023-01-05T15:17:27Z</dcterms:modified>
</cp:coreProperties>
</file>