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Young Timothy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4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08/24/2021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10,381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21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30.8035</w:t>
            </w:r>
            <w:r>
              <w:rPr>
                <w:rFonts w:ascii="Arial" w:cs="Arial" w:eastAsia="Arial" w:hAnsi="Arial"/>
                <w:sz w:val="22"/>
                <w:szCs w:val="22"/>
                <w:color w:val="008000"/>
                <w:vertAlign w:val="superscript"/>
              </w:rPr>
              <w:t>(2)</w:t>
            </w:r>
            <w:r>
              <w:rPr>
                <w:rFonts w:ascii="Arial" w:cs="Arial" w:eastAsia="Arial" w:hAnsi="Arial"/>
                <w:sz w:val="17"/>
                <w:szCs w:val="17"/>
                <w:color w:val="auto"/>
              </w:rPr>
              <w:t xml:space="preserve">    </w:t>
            </w:r>
            <w:r>
              <w:rPr>
                <w:rFonts w:ascii="Arial" w:cs="Arial" w:eastAsia="Arial" w:hAnsi="Arial"/>
                <w:sz w:val="17"/>
                <w:szCs w:val="17"/>
                <w:color w:val="0000FF"/>
              </w:rPr>
              <w:t>1,323,029</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$30.71 to $30.99.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5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the unvested restricted stock awards will be cancelled by the Issuer.</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08/26/2021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2021-08-26T18:05:19Z</dcterms:created>
  <dcterms:modified xsi:type="dcterms:W3CDTF">2021-08-26T18:05:19Z</dcterms:modified>
</cp:coreProperties>
</file>