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November 4, 2021</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5"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5"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5" w:right="239" w:bottom="1440" w:gutter="0" w:footer="0" w:header="0"/>
          <w:type w:val="continuous"/>
        </w:sectPr>
      </w:pPr>
    </w:p>
    <w:p>
      <w:pPr>
        <w:spacing w:after="0" w:line="31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2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7"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78740</wp:posOffset>
            </wp:positionV>
            <wp:extent cx="6266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42" w:lineRule="exact"/>
        <w:rPr>
          <w:sz w:val="24"/>
          <w:szCs w:val="24"/>
          <w:color w:val="auto"/>
        </w:rPr>
      </w:pPr>
    </w:p>
    <w:tbl>
      <w:tblPr>
        <w:tblLayout w:type="fixed"/>
        <w:tblInd w:w="7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6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7"/>
              </w:rPr>
              <w:t>Title of each class</w:t>
            </w:r>
          </w:p>
        </w:tc>
        <w:tc>
          <w:tcPr>
            <w:tcW w:w="26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1"/>
              </w:rPr>
              <w:t>Trading Symbol(s)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195"/>
        </w:trPr>
        <w:tc>
          <w:tcPr>
            <w:tcW w:w="4260" w:type="dxa"/>
            <w:vAlign w:val="bottom"/>
            <w:gridSpan w:val="3"/>
          </w:tcPr>
          <w:p>
            <w:pPr>
              <w:jc w:val="center"/>
              <w:ind w:right="1200"/>
              <w:spacing w:after="0"/>
              <w:rPr>
                <w:sz w:val="20"/>
                <w:szCs w:val="20"/>
                <w:color w:val="auto"/>
              </w:rPr>
            </w:pPr>
            <w:r>
              <w:rPr>
                <w:rFonts w:ascii="Arial" w:cs="Arial" w:eastAsia="Arial" w:hAnsi="Arial"/>
                <w:sz w:val="14"/>
                <w:szCs w:val="14"/>
                <w:color w:val="auto"/>
                <w:w w:val="90"/>
              </w:rPr>
              <w:t>Class A Common Stock, par value $0.00001 per share</w:t>
            </w:r>
          </w:p>
        </w:tc>
        <w:tc>
          <w:tcPr>
            <w:tcW w:w="2680" w:type="dxa"/>
            <w:vAlign w:val="bottom"/>
            <w:gridSpan w:val="2"/>
          </w:tcPr>
          <w:p>
            <w:pPr>
              <w:jc w:val="center"/>
              <w:ind w:right="1580"/>
              <w:spacing w:after="0"/>
              <w:rPr>
                <w:sz w:val="20"/>
                <w:szCs w:val="20"/>
                <w:color w:val="auto"/>
              </w:rPr>
            </w:pPr>
            <w:r>
              <w:rPr>
                <w:rFonts w:ascii="Arial" w:cs="Arial" w:eastAsia="Arial" w:hAnsi="Arial"/>
                <w:sz w:val="14"/>
                <w:szCs w:val="14"/>
                <w:color w:val="auto"/>
              </w:rPr>
              <w:t>DBX</w:t>
            </w:r>
          </w:p>
        </w:tc>
        <w:tc>
          <w:tcPr>
            <w:tcW w:w="2320" w:type="dxa"/>
            <w:vAlign w:val="bottom"/>
          </w:tcPr>
          <w:p>
            <w:pPr>
              <w:jc w:val="center"/>
              <w:spacing w:after="0"/>
              <w:rPr>
                <w:sz w:val="20"/>
                <w:szCs w:val="20"/>
                <w:color w:val="auto"/>
              </w:rPr>
            </w:pPr>
            <w:r>
              <w:rPr>
                <w:rFonts w:ascii="Arial" w:cs="Arial" w:eastAsia="Arial" w:hAnsi="Arial"/>
                <w:sz w:val="14"/>
                <w:szCs w:val="14"/>
                <w:color w:val="auto"/>
                <w:w w:val="96"/>
              </w:rPr>
              <w:t>The NASDAQ Stock Market LLC</w:t>
            </w:r>
          </w:p>
        </w:tc>
      </w:tr>
      <w:tr>
        <w:trPr>
          <w:trHeight w:val="186"/>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4"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86"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667385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November 4, 2021, Dropbox, Inc. (“Dropbox” or the "Company") issued a press release and will hold a conference call announcing its financial results for the quarter ended September 30, 2021. A copy of the press release is attached as Exhibit 99.1 to this current report on Form 8-K and is incorporated by reference herein.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November 4, 2021,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14"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9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1"/>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900" w:type="dxa"/>
            <w:vAlign w:val="bottom"/>
            <w:gridSpan w:val="4"/>
          </w:tcPr>
          <w:p>
            <w:pPr>
              <w:ind w:left="20"/>
              <w:spacing w:after="0" w:line="18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Third Quarter Fiscal 2021 Results" dated November 4, 2021</w:t>
              </w:r>
            </w:hyperlink>
          </w:p>
        </w:tc>
      </w:tr>
      <w:tr>
        <w:trPr>
          <w:trHeight w:val="1208"/>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60" w:type="dxa"/>
            <w:vAlign w:val="bottom"/>
            <w:tcBorders>
              <w:top w:val="single" w:sz="8" w:color="0000FF"/>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pacing w:after="0" w:line="34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11430</wp:posOffset>
            </wp:positionV>
            <wp:extent cx="2783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320" w:top="878" w:right="479" w:bottom="1440" w:gutter="0" w:footer="0" w:header="0"/>
        </w:sectPr>
      </w:pPr>
    </w:p>
    <w:bookmarkStart w:id="3" w:name="page4"/>
    <w:bookmarkEnd w:id="3"/>
    <w:p>
      <w:pPr>
        <w:ind w:left="3860"/>
        <w:spacing w:after="0"/>
        <w:rPr>
          <w:sz w:val="20"/>
          <w:szCs w:val="20"/>
          <w:color w:val="auto"/>
        </w:rPr>
      </w:pPr>
      <w:r>
        <w:rPr>
          <w:rFonts w:ascii="Arial" w:cs="Arial" w:eastAsia="Arial" w:hAnsi="Arial"/>
          <w:sz w:val="18"/>
          <w:szCs w:val="18"/>
          <w:b w:val="1"/>
          <w:bCs w:val="1"/>
          <w:color w:val="auto"/>
        </w:rPr>
        <w:t>Dropbox Announces Third Quarter Fiscal 2021 Results</w:t>
      </w:r>
    </w:p>
    <w:p>
      <w:pPr>
        <w:spacing w:after="0" w:line="251"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Third Quarter Revenue of $550.2 Million, Up 12.9% Year-over-year GAAP and Non-GAAP Operating Income of $77.3 Million and $161.0 Million, Up 157.7% and 43.5% Year-over-year Net Cash Provided by Operating Activities of $231.5 Million and Free Cash Flow of $221.5 Million</w:t>
      </w:r>
    </w:p>
    <w:p>
      <w:pPr>
        <w:spacing w:after="0" w:line="208" w:lineRule="exact"/>
        <w:rPr>
          <w:sz w:val="20"/>
          <w:szCs w:val="20"/>
          <w:color w:val="auto"/>
        </w:rPr>
      </w:pPr>
    </w:p>
    <w:p>
      <w:pPr>
        <w:ind w:right="980"/>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November 4, 2021 - Dropbox, Inc. (NASDAQ: DBX), today announced financial results for its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w:t>
      </w:r>
    </w:p>
    <w:p>
      <w:pPr>
        <w:spacing w:after="0" w:line="2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“Q3 was another solid quarter with record free cash flow, strong revenue growth, and great progress against our strategic objectives as we focus on delivering more value to our customers and shareholders,” said Dropbox Co-Founder and Chief Executive Officer Drew Houston. “We shipped several new product experiences to help our customers with today’s challenges of distributed and remote work, and I’m confident in our future as we work toward our vision of building one organized place for content and all the workflows around 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2021 Results</w:t>
      </w:r>
    </w:p>
    <w:p>
      <w:pPr>
        <w:spacing w:after="0" w:line="251" w:lineRule="exact"/>
        <w:rPr>
          <w:sz w:val="20"/>
          <w:szCs w:val="20"/>
          <w:color w:val="auto"/>
        </w:rPr>
      </w:pPr>
    </w:p>
    <w:p>
      <w:pPr>
        <w:ind w:left="640" w:right="20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$550.2 million, an increase of 12.9% from the same period last year. On a constant currency basis, year-over-year growth would have been 10.7%.</w:t>
      </w:r>
      <w:r>
        <w:rPr>
          <w:rFonts w:ascii="Arial" w:cs="Arial" w:eastAsia="Arial" w:hAnsi="Arial"/>
          <w:sz w:val="23"/>
          <w:szCs w:val="23"/>
          <w:color w:val="auto"/>
          <w:vertAlign w:val="superscript"/>
        </w:rPr>
        <w:t>(1)</w:t>
      </w:r>
    </w:p>
    <w:p>
      <w:pPr>
        <w:spacing w:after="0" w:line="133" w:lineRule="exact"/>
        <w:rPr>
          <w:rFonts w:ascii="Arial" w:cs="Arial" w:eastAsia="Arial" w:hAnsi="Arial"/>
          <w:sz w:val="18"/>
          <w:szCs w:val="18"/>
          <w:color w:val="auto"/>
        </w:rPr>
      </w:pPr>
    </w:p>
    <w:p>
      <w:pPr>
        <w:ind w:left="640" w:hanging="315"/>
        <w:spacing w:after="0" w:line="270"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ARR ended at $2.218 billion, an increase of $52.1 million quarter-over-quarter and an increase of 12.0% year-over-year. On a constant currency basis, year-over-year growth would have been 10.4%.</w:t>
      </w:r>
      <w:r>
        <w:rPr>
          <w:rFonts w:ascii="Arial" w:cs="Arial" w:eastAsia="Arial" w:hAnsi="Arial"/>
          <w:sz w:val="23"/>
          <w:szCs w:val="23"/>
          <w:color w:val="auto"/>
          <w:vertAlign w:val="superscript"/>
        </w:rPr>
        <w:t>(2)</w:t>
      </w:r>
    </w:p>
    <w:p>
      <w:pPr>
        <w:spacing w:after="0" w:line="133" w:lineRule="exact"/>
        <w:rPr>
          <w:rFonts w:ascii="Arial" w:cs="Arial" w:eastAsia="Arial" w:hAnsi="Arial"/>
          <w:sz w:val="18"/>
          <w:szCs w:val="18"/>
          <w:color w:val="auto"/>
        </w:rPr>
      </w:pPr>
    </w:p>
    <w:p>
      <w:pPr>
        <w:ind w:left="640" w:right="2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ended at 16.49 million, as compared to 15.25 million for the same period last year. Average revenue per paying user was $133.79, as compared to $128.03 for the same period last year.</w:t>
      </w:r>
    </w:p>
    <w:p>
      <w:pPr>
        <w:spacing w:after="0" w:line="206" w:lineRule="exact"/>
        <w:rPr>
          <w:rFonts w:ascii="Arial" w:cs="Arial" w:eastAsia="Arial" w:hAnsi="Arial"/>
          <w:sz w:val="18"/>
          <w:szCs w:val="18"/>
          <w:color w:val="auto"/>
        </w:rPr>
      </w:pPr>
    </w:p>
    <w:p>
      <w:pPr>
        <w:ind w:left="640" w:right="1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79.6%, as compared to 78.8% in the same period last year. Non-GAAP gross margin was 81.0%, as compared to 80.0% in the same period last year.</w:t>
      </w:r>
    </w:p>
    <w:p>
      <w:pPr>
        <w:spacing w:after="0" w:line="206" w:lineRule="exact"/>
        <w:rPr>
          <w:rFonts w:ascii="Arial" w:cs="Arial" w:eastAsia="Arial" w:hAnsi="Arial"/>
          <w:sz w:val="18"/>
          <w:szCs w:val="18"/>
          <w:color w:val="auto"/>
        </w:rPr>
      </w:pPr>
    </w:p>
    <w:p>
      <w:pPr>
        <w:ind w:left="640" w:right="32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14.0%, as compared to 6.2% in the same period last year. Non-GAAP operating margin was 29.3%, as compared to 23.0% in the same period last year.</w:t>
      </w:r>
    </w:p>
    <w:p>
      <w:pPr>
        <w:spacing w:after="0" w:line="206" w:lineRule="exact"/>
        <w:rPr>
          <w:rFonts w:ascii="Arial" w:cs="Arial" w:eastAsia="Arial" w:hAnsi="Arial"/>
          <w:sz w:val="18"/>
          <w:szCs w:val="18"/>
          <w:color w:val="auto"/>
        </w:rPr>
      </w:pPr>
    </w:p>
    <w:p>
      <w:pPr>
        <w:ind w:left="640" w:right="44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income was $75.6 million, as compared to $32.7 million in the same period last year. Non-GAAP net income was $147.1 million, as compared to $110.2 million in the same period last year.</w:t>
      </w:r>
    </w:p>
    <w:p>
      <w:pPr>
        <w:spacing w:after="0" w:line="206" w:lineRule="exact"/>
        <w:rPr>
          <w:rFonts w:ascii="Arial" w:cs="Arial" w:eastAsia="Arial" w:hAnsi="Arial"/>
          <w:sz w:val="18"/>
          <w:szCs w:val="18"/>
          <w:color w:val="auto"/>
        </w:rPr>
      </w:pPr>
    </w:p>
    <w:p>
      <w:pPr>
        <w:ind w:left="640" w:right="80" w:hanging="315"/>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$231.5 million, as compared to $200.9 million in the same period last year. Free cash flow was $221.5 million, as compared to $187.0 million in the same period last year.</w:t>
      </w:r>
    </w:p>
    <w:p>
      <w:pPr>
        <w:spacing w:after="0" w:line="206" w:lineRule="exact"/>
        <w:rPr>
          <w:rFonts w:ascii="Arial" w:cs="Arial" w:eastAsia="Arial" w:hAnsi="Arial"/>
          <w:sz w:val="18"/>
          <w:szCs w:val="18"/>
          <w:color w:val="auto"/>
        </w:rPr>
      </w:pPr>
    </w:p>
    <w:p>
      <w:pPr>
        <w:ind w:left="640" w:right="160" w:hanging="315"/>
        <w:spacing w:after="0" w:line="319" w:lineRule="auto"/>
        <w:tabs>
          <w:tab w:leader="none" w:pos="635" w:val="left"/>
        </w:tabs>
        <w:numPr>
          <w:ilvl w:val="1"/>
          <w:numId w:val="2"/>
        </w:numPr>
        <w:rPr>
          <w:rFonts w:ascii="Arial" w:cs="Arial" w:eastAsia="Arial" w:hAnsi="Arial"/>
          <w:sz w:val="16"/>
          <w:szCs w:val="16"/>
          <w:color w:val="auto"/>
        </w:rPr>
      </w:pPr>
      <w:r>
        <w:rPr>
          <w:rFonts w:ascii="Arial" w:cs="Arial" w:eastAsia="Arial" w:hAnsi="Arial"/>
          <w:sz w:val="16"/>
          <w:szCs w:val="16"/>
          <w:color w:val="auto"/>
        </w:rPr>
        <w:t>GAAP diluted net income per share attributable to common stockholders was $0.19, as compared to $0.08 in the same period last year. Non-GAAP diluted net income per share attributable to common stockholders was $0.37, as compared to $0.26 in the same period last year.</w:t>
      </w:r>
      <w:r>
        <w:rPr>
          <w:rFonts w:ascii="Arial" w:cs="Arial" w:eastAsia="Arial" w:hAnsi="Arial"/>
          <w:sz w:val="21"/>
          <w:szCs w:val="21"/>
          <w:color w:val="auto"/>
          <w:vertAlign w:val="superscript"/>
        </w:rPr>
        <w:t>(3)</w:t>
      </w:r>
    </w:p>
    <w:p>
      <w:pPr>
        <w:spacing w:after="0" w:line="98" w:lineRule="exact"/>
        <w:rPr>
          <w:rFonts w:ascii="Arial" w:cs="Arial" w:eastAsia="Arial" w:hAnsi="Arial"/>
          <w:sz w:val="16"/>
          <w:szCs w:val="16"/>
          <w:color w:val="auto"/>
        </w:rPr>
      </w:pPr>
    </w:p>
    <w:p>
      <w:pPr>
        <w:ind w:left="640" w:hanging="315"/>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$1.929 billion.</w:t>
      </w:r>
    </w:p>
    <w:p>
      <w:pPr>
        <w:spacing w:after="0" w:line="244" w:lineRule="exact"/>
        <w:rPr>
          <w:rFonts w:ascii="Arial" w:cs="Arial" w:eastAsia="Arial" w:hAnsi="Arial"/>
          <w:sz w:val="18"/>
          <w:szCs w:val="18"/>
          <w:color w:val="auto"/>
        </w:rPr>
      </w:pPr>
    </w:p>
    <w:p>
      <w:pPr>
        <w:ind w:left="160" w:hanging="154"/>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40" w:firstLine="6"/>
        <w:spacing w:after="0" w:line="296" w:lineRule="auto"/>
        <w:tabs>
          <w:tab w:leader="none" w:pos="147"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rate to prior period results.</w:t>
      </w:r>
    </w:p>
    <w:p>
      <w:pPr>
        <w:spacing w:after="0" w:line="187" w:lineRule="exact"/>
        <w:rPr>
          <w:rFonts w:ascii="Arial" w:cs="Arial" w:eastAsia="Arial" w:hAnsi="Arial"/>
          <w:sz w:val="17"/>
          <w:szCs w:val="17"/>
          <w:color w:val="auto"/>
          <w:vertAlign w:val="superscript"/>
        </w:rPr>
      </w:pPr>
    </w:p>
    <w:p>
      <w:pPr>
        <w:ind w:right="160" w:firstLine="6"/>
        <w:spacing w:after="0" w:line="275" w:lineRule="auto"/>
        <w:tabs>
          <w:tab w:leader="none" w:pos="163"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398.1 million and 419.9 million diluted weighted-average shares of common stock for the three months ended September 30, 2021 and 2020, respectively.</w:t>
      </w:r>
    </w:p>
    <w:p>
      <w:pPr>
        <w:sectPr>
          <w:pgSz w:w="11900" w:h="16838" w:orient="portrait"/>
          <w:cols w:equalWidth="0" w:num="1">
            <w:col w:w="11240"/>
          </w:cols>
          <w:pgMar w:left="320" w:top="87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5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Dropbox plans to host a conference call today to review its third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w:t>
      </w:r>
      <w:r>
        <w:rPr>
          <w:rFonts w:ascii="Arial" w:cs="Arial" w:eastAsia="Arial" w:hAnsi="Arial"/>
          <w:sz w:val="17"/>
          <w:szCs w:val="17"/>
          <w:u w:val="single" w:color="auto"/>
          <w:color w:val="auto"/>
        </w:rPr>
        <w:t>http://investors.dropbox.com</w:t>
      </w:r>
      <w:r>
        <w:rPr>
          <w:rFonts w:ascii="Arial" w:cs="Arial" w:eastAsia="Arial" w:hAnsi="Arial"/>
          <w:sz w:val="17"/>
          <w:szCs w:val="17"/>
          <w:color w:val="auto"/>
        </w:rPr>
        <w:t>. Following the completion of the call, a telephonic replay will be available through 7:00 PM ET on November 11, 2021 at (855) 859-2056 from the United States or (404) 537-3406 internationally with recording access code 2628759.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51" w:lineRule="exact"/>
        <w:rPr>
          <w:sz w:val="20"/>
          <w:szCs w:val="20"/>
          <w:color w:val="auto"/>
        </w:rPr>
      </w:pPr>
    </w:p>
    <w:p>
      <w:pPr>
        <w:ind w:left="640" w:right="240" w:hanging="315"/>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Timothy Young, President, will be presenting at the RBC Capital Markets Global Technology, Internet, Media and Telecom Virtual Conference on Tuesday, November 16th.</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Tim Regan, Chief Financial Officer, will be hosting meetings at the Wells Fargo 5th Annual TMT Summit on Tuesday, November 30th.</w:t>
      </w:r>
    </w:p>
    <w:p>
      <w:pPr>
        <w:spacing w:after="0" w:line="17" w:lineRule="exact"/>
        <w:rPr>
          <w:rFonts w:ascii="Arial" w:cs="Arial" w:eastAsia="Arial" w:hAnsi="Arial"/>
          <w:sz w:val="17"/>
          <w:szCs w:val="17"/>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 Regan, Chief Financial Officer, will be presenting at the 45th Nasdaq Investor Conference on Thursday, December 2nd.</w:t>
      </w:r>
    </w:p>
    <w:p>
      <w:pPr>
        <w:spacing w:after="0" w:line="233"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180 countries, we're on a mission to design a more enlightened way of working. Dropbox is headquartered in San Francisco, CA, and has offices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1"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 (i) 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the COVID-19 pandemic, and related public health measures, as well as the potential for a more permanent global shift to remote work, (iii) our ability to retain and upgrade paying users, and increase our recurring revenue; (iv) our ability to attract new users or convert registered users to paying users; (v) our future financial performance, including trends in revenue, costs of revenue, gross profit or gross margin, operating expenses, paying users, and free cash flow; (vi) our history of net losses and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w:t>
      </w:r>
    </w:p>
    <w:p>
      <w:pPr>
        <w:sectPr>
          <w:pgSz w:w="11900" w:h="16838" w:orient="portrait"/>
          <w:cols w:equalWidth="0" w:num="1">
            <w:col w:w="11240"/>
          </w:cols>
          <w:pgMar w:left="320" w:top="878" w:right="339" w:bottom="1440" w:gutter="0" w:footer="0" w:header="0"/>
        </w:sectPr>
      </w:pPr>
    </w:p>
    <w:bookmarkStart w:id="5" w:name="page6"/>
    <w:bookmarkEnd w:id="5"/>
    <w:p>
      <w:pPr>
        <w:spacing w:after="0" w:line="302" w:lineRule="auto"/>
        <w:rPr>
          <w:sz w:val="20"/>
          <w:szCs w:val="20"/>
          <w:color w:val="auto"/>
        </w:rPr>
      </w:pPr>
      <w:r>
        <w:rPr>
          <w:rFonts w:ascii="Arial" w:cs="Arial" w:eastAsia="Arial" w:hAnsi="Arial"/>
          <w:sz w:val="15"/>
          <w:szCs w:val="15"/>
          <w:color w:val="auto"/>
        </w:rPr>
        <w:t>technological changes, extend our platform, develop new features or products, or gain market acceptance for such new features or products, particularly in light of potential disruptions to the productivity of our employees that may result from our shift to a Virtual First work model; (xiii) our ability to manage our growth or plan for future growth; (xiv) our acquisition of other businesses and the potential of such acquisitions to require significant management attention, disrupt our business, or dilute stockholder value; (xv) our ability to attract and retain key personnel and highly qualified personnel; (xvi) our capital allocation plans with respect to our stock repurchase program and other investments; and (xvii)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June 30, 2021. Additional information will be made available in our quarterly report on Form 10-Q for the quarter ended September 30, 2021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00"/>
          </w:cols>
          <w:pgMar w:left="320" w:top="884" w:right="379" w:bottom="1440" w:gutter="0" w:footer="0" w:header="0"/>
        </w:sectPr>
      </w:pPr>
    </w:p>
    <w:bookmarkStart w:id="6" w:name="page7"/>
    <w:bookmarkEnd w:id="6"/>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2"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30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8"/>
                <w:szCs w:val="18"/>
                <w:b w:val="1"/>
                <w:bCs w:val="1"/>
                <w:color w:val="auto"/>
                <w:w w:val="95"/>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w w:val="79"/>
              </w:rPr>
              <w:t>2020</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Impairment related to real estate assets</w:t>
            </w:r>
          </w:p>
        </w:tc>
        <w:tc>
          <w:tcPr>
            <w:tcW w:w="1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7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line="205" w:lineRule="exact"/>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0"/>
        </w:trPr>
        <w:tc>
          <w:tcPr>
            <w:tcW w:w="3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2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ind w:right="99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0.20</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ind w:right="991"/>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1"/>
              <w:spacing w:after="0" w:line="199"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0.54</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31"/>
              <w:spacing w:after="0" w:line="199"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net income per share</w:t>
            </w: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Arial" w:cs="Arial" w:eastAsia="Arial" w:hAnsi="Arial"/>
                <w:sz w:val="18"/>
                <w:szCs w:val="18"/>
                <w:color w:val="auto"/>
                <w:w w:val="95"/>
              </w:rPr>
              <w:t>Weighted-average shares used in computing net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180"/>
              <w:spacing w:after="0" w:line="173"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198"/>
        </w:trPr>
        <w:tc>
          <w:tcPr>
            <w:tcW w:w="3720" w:type="dxa"/>
            <w:vAlign w:val="bottom"/>
          </w:tcPr>
          <w:p>
            <w:pPr>
              <w:ind w:left="180"/>
              <w:spacing w:after="0" w:line="198" w:lineRule="exact"/>
              <w:rPr>
                <w:sz w:val="20"/>
                <w:szCs w:val="20"/>
                <w:color w:val="auto"/>
              </w:rPr>
            </w:pPr>
            <w:r>
              <w:rPr>
                <w:rFonts w:ascii="Arial" w:cs="Arial" w:eastAsia="Arial" w:hAnsi="Arial"/>
                <w:sz w:val="18"/>
                <w:szCs w:val="18"/>
                <w:color w:val="auto"/>
              </w:rPr>
              <w:t>stockholders, basic</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Weighted-average shares used in computing net</w:t>
            </w: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180"/>
              <w:spacing w:after="0" w:line="173" w:lineRule="exact"/>
              <w:rPr>
                <w:sz w:val="20"/>
                <w:szCs w:val="20"/>
                <w:color w:val="auto"/>
              </w:rPr>
            </w:pPr>
            <w:r>
              <w:rPr>
                <w:rFonts w:ascii="Arial" w:cs="Arial" w:eastAsia="Arial" w:hAnsi="Arial"/>
                <w:sz w:val="18"/>
                <w:szCs w:val="18"/>
                <w:color w:val="auto"/>
              </w:rPr>
              <w:t>income per share attributable to common</w:t>
            </w: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stockholders, diluted</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174" w:hanging="174"/>
        <w:spacing w:after="0"/>
        <w:tabs>
          <w:tab w:leader="none" w:pos="174"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 (in millions):</w:t>
      </w:r>
    </w:p>
    <w:p>
      <w:pPr>
        <w:spacing w:after="0" w:line="90"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20" w:type="dxa"/>
            <w:vAlign w:val="bottom"/>
            <w:gridSpan w:val="4"/>
          </w:tcPr>
          <w:p>
            <w:pPr>
              <w:jc w:val="center"/>
              <w:ind w:left="451"/>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Nine Months Ended</w:t>
            </w:r>
          </w:p>
        </w:tc>
        <w:tc>
          <w:tcPr>
            <w:tcW w:w="1080" w:type="dxa"/>
            <w:vAlign w:val="bottom"/>
          </w:tcPr>
          <w:p>
            <w:pPr>
              <w:spacing w:after="0"/>
              <w:rPr>
                <w:sz w:val="18"/>
                <w:szCs w:val="18"/>
                <w:color w:val="auto"/>
              </w:rPr>
            </w:pPr>
          </w:p>
        </w:tc>
      </w:tr>
      <w:tr>
        <w:trPr>
          <w:trHeight w:val="226"/>
        </w:trPr>
        <w:tc>
          <w:tcPr>
            <w:tcW w:w="37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531"/>
              <w:spacing w:after="0"/>
              <w:rPr>
                <w:sz w:val="20"/>
                <w:szCs w:val="20"/>
                <w:color w:val="auto"/>
              </w:rPr>
            </w:pPr>
            <w:r>
              <w:rPr>
                <w:rFonts w:ascii="Arial" w:cs="Arial" w:eastAsia="Arial" w:hAnsi="Arial"/>
                <w:sz w:val="18"/>
                <w:szCs w:val="18"/>
                <w:b w:val="1"/>
                <w:bCs w:val="1"/>
                <w:color w:val="auto"/>
                <w:w w:val="87"/>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080" w:type="dxa"/>
            <w:vAlign w:val="bottom"/>
            <w:tcBorders>
              <w:bottom w:val="single" w:sz="8" w:color="auto"/>
            </w:tcBorders>
          </w:tcPr>
          <w:p>
            <w:pPr>
              <w:spacing w:after="0"/>
              <w:rPr>
                <w:sz w:val="19"/>
                <w:szCs w:val="19"/>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w w:val="79"/>
              </w:rPr>
              <w:t>2020</w:t>
            </w:r>
          </w:p>
        </w:tc>
      </w:tr>
      <w:tr>
        <w:trPr>
          <w:trHeight w:val="219"/>
        </w:trPr>
        <w:tc>
          <w:tcPr>
            <w:tcW w:w="37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Cost of revenue</w:t>
            </w:r>
          </w:p>
        </w:tc>
        <w:tc>
          <w:tcPr>
            <w:tcW w:w="1180" w:type="dxa"/>
            <w:vAlign w:val="bottom"/>
            <w:shd w:val="clear" w:color="auto" w:fill="CCEEFF"/>
          </w:tcPr>
          <w:p>
            <w:pPr>
              <w:jc w:val="right"/>
              <w:ind w:right="99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5"/>
        </w:trPr>
        <w:tc>
          <w:tcPr>
            <w:tcW w:w="37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2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300"/>
        </w:trPr>
        <w:tc>
          <w:tcPr>
            <w:tcW w:w="3720" w:type="dxa"/>
            <w:vAlign w:val="bottom"/>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r>
    </w:tbl>
    <w:p>
      <w:pPr>
        <w:spacing w:after="0" w:line="200" w:lineRule="exact"/>
        <w:rPr>
          <w:sz w:val="20"/>
          <w:szCs w:val="20"/>
          <w:color w:val="auto"/>
        </w:rPr>
      </w:pPr>
    </w:p>
    <w:p>
      <w:pPr>
        <w:spacing w:after="0" w:line="287" w:lineRule="exact"/>
        <w:rPr>
          <w:sz w:val="20"/>
          <w:szCs w:val="20"/>
          <w:color w:val="auto"/>
        </w:rPr>
      </w:pPr>
    </w:p>
    <w:p>
      <w:pPr>
        <w:ind w:left="-6" w:right="560" w:firstLine="6"/>
        <w:spacing w:after="0" w:line="275" w:lineRule="auto"/>
        <w:tabs>
          <w:tab w:leader="none" w:pos="157"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On March 19, 2020, one of our co-founders resigned as a member of the board and as an officer of Dropbox, resulting in the reversal of $23.8 million in stock-based compensation expense. Of the total amount reversed, $21.5 million related to expense recognized prior to December 31, 2019.</w:t>
      </w:r>
    </w:p>
    <w:p>
      <w:pPr>
        <w:sectPr>
          <w:pgSz w:w="11900" w:h="16838" w:orient="portrait"/>
          <w:cols w:equalWidth="0" w:num="1">
            <w:col w:w="11214"/>
          </w:cols>
          <w:pgMar w:left="326" w:top="882"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2021</w:t>
            </w:r>
          </w:p>
        </w:tc>
        <w:tc>
          <w:tcPr>
            <w:tcW w:w="260" w:type="dxa"/>
            <w:vAlign w:val="bottom"/>
          </w:tcPr>
          <w:p>
            <w:pPr>
              <w:spacing w:after="0"/>
              <w:rPr>
                <w:sz w:val="19"/>
                <w:szCs w:val="19"/>
                <w:color w:val="auto"/>
              </w:rPr>
            </w:pPr>
          </w:p>
        </w:tc>
        <w:tc>
          <w:tcPr>
            <w:tcW w:w="194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06"/>
        </w:trPr>
        <w:tc>
          <w:tcPr>
            <w:tcW w:w="6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1,239.8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18"/>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1,175.1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25"/>
        </w:trPr>
        <w:tc>
          <w:tcPr>
            <w:tcW w:w="6660" w:type="dxa"/>
            <w:vAlign w:val="bottom"/>
          </w:tcPr>
          <w:p>
            <w:pPr>
              <w:ind w:left="120"/>
              <w:spacing w:after="0"/>
              <w:rPr>
                <w:sz w:val="20"/>
                <w:szCs w:val="20"/>
                <w:color w:val="auto"/>
              </w:rPr>
            </w:pPr>
            <w:r>
              <w:rPr>
                <w:rFonts w:ascii="Arial" w:cs="Arial" w:eastAsia="Arial" w:hAnsi="Arial"/>
                <w:sz w:val="18"/>
                <w:szCs w:val="18"/>
                <w:color w:val="auto"/>
              </w:rPr>
              <w:t>Finance lease obligation, non-current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senior notes, net, non-current</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05"/>
        </w:trPr>
        <w:tc>
          <w:tcPr>
            <w:tcW w:w="6660" w:type="dxa"/>
            <w:vAlign w:val="bottom"/>
          </w:tcPr>
          <w:p>
            <w:pPr>
              <w:ind w:left="20"/>
              <w:spacing w:after="0" w:line="205" w:lineRule="exact"/>
              <w:rPr>
                <w:sz w:val="20"/>
                <w:szCs w:val="20"/>
                <w:color w:val="auto"/>
              </w:rPr>
            </w:pPr>
            <w:r>
              <w:rPr>
                <w:rFonts w:ascii="Arial" w:cs="Arial" w:eastAsia="Arial" w:hAnsi="Arial"/>
                <w:sz w:val="18"/>
                <w:szCs w:val="18"/>
                <w:color w:val="auto"/>
              </w:rPr>
              <w:t>Stockholders' (deficit) equity:</w:t>
            </w: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(deficit) equity</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6"/>
                <w:szCs w:val="16"/>
                <w:color w:val="auto"/>
              </w:rPr>
            </w:pPr>
          </w:p>
        </w:tc>
        <w:tc>
          <w:tcPr>
            <w:tcW w:w="202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202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September 30,</w:t>
            </w:r>
          </w:p>
        </w:tc>
      </w:tr>
      <w:tr>
        <w:trPr>
          <w:trHeight w:val="206"/>
        </w:trPr>
        <w:tc>
          <w:tcPr>
            <w:tcW w:w="6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2020</w:t>
            </w:r>
          </w:p>
        </w:tc>
      </w:tr>
      <w:tr>
        <w:trPr>
          <w:trHeight w:val="19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89.5</w:t>
            </w:r>
          </w:p>
        </w:tc>
      </w:tr>
      <w:tr>
        <w:trPr>
          <w:trHeight w:val="21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0"/>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08"/>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r>
      <w:tr>
        <w:trPr>
          <w:trHeight w:val="190"/>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r>
      <w:tr>
        <w:trPr>
          <w:trHeight w:val="210"/>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8"/>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190"/>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w w:val="99"/>
              </w:rPr>
              <w:t>Purchase of convertible note hedge in connection with issuance of convertible senior notes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10"/>
        </w:trPr>
        <w:tc>
          <w:tcPr>
            <w:tcW w:w="6620" w:type="dxa"/>
            <w:vAlign w:val="bottom"/>
          </w:tcPr>
          <w:p>
            <w:pPr>
              <w:ind w:left="220"/>
              <w:spacing w:after="0"/>
              <w:rPr>
                <w:sz w:val="20"/>
                <w:szCs w:val="20"/>
                <w:color w:val="auto"/>
              </w:rPr>
            </w:pPr>
            <w:r>
              <w:rPr>
                <w:rFonts w:ascii="Arial" w:cs="Arial" w:eastAsia="Arial" w:hAnsi="Arial"/>
                <w:sz w:val="16"/>
                <w:szCs w:val="16"/>
                <w:color w:val="auto"/>
              </w:rPr>
              <w:t>Common stock repurchases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(177.3)</w:t>
            </w:r>
          </w:p>
        </w:tc>
      </w:tr>
      <w:tr>
        <w:trPr>
          <w:trHeight w:val="215"/>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(307.9)</w:t>
            </w:r>
          </w:p>
        </w:tc>
      </w:tr>
      <w:tr>
        <w:trPr>
          <w:trHeight w:val="208"/>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3"/>
        </w:trPr>
        <w:tc>
          <w:tcPr>
            <w:tcW w:w="662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5"/>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r>
      <w:tr>
        <w:trPr>
          <w:trHeight w:val="203"/>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2"/>
        </w:trPr>
        <w:tc>
          <w:tcPr>
            <w:tcW w:w="6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30"/>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acquired under finance leases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September 30, 2021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Stock-based</w:t>
            </w:r>
          </w:p>
        </w:tc>
        <w:tc>
          <w:tcPr>
            <w:tcW w:w="200" w:type="dxa"/>
            <w:vAlign w:val="bottom"/>
          </w:tcPr>
          <w:p>
            <w:pPr>
              <w:spacing w:after="0"/>
              <w:rPr>
                <w:sz w:val="17"/>
                <w:szCs w:val="17"/>
                <w:color w:val="auto"/>
              </w:rPr>
            </w:pPr>
          </w:p>
        </w:tc>
        <w:tc>
          <w:tcPr>
            <w:tcW w:w="108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ind w:left="100"/>
              <w:spacing w:after="0" w:line="206" w:lineRule="exact"/>
              <w:rPr>
                <w:sz w:val="20"/>
                <w:szCs w:val="20"/>
                <w:color w:val="auto"/>
              </w:rPr>
            </w:pPr>
            <w:r>
              <w:rPr>
                <w:rFonts w:ascii="Arial" w:cs="Arial" w:eastAsia="Arial" w:hAnsi="Arial"/>
                <w:sz w:val="18"/>
                <w:szCs w:val="18"/>
                <w:b w:val="1"/>
                <w:bCs w:val="1"/>
                <w:color w:val="auto"/>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GAAP</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40" w:type="dxa"/>
            <w:vAlign w:val="bottom"/>
            <w:gridSpan w:val="5"/>
          </w:tcPr>
          <w:p>
            <w:pPr>
              <w:jc w:val="center"/>
              <w:ind w:right="280"/>
              <w:spacing w:after="0" w:line="173" w:lineRule="exact"/>
              <w:rPr>
                <w:sz w:val="20"/>
                <w:szCs w:val="20"/>
                <w:color w:val="auto"/>
              </w:rPr>
            </w:pPr>
            <w:r>
              <w:rPr>
                <w:rFonts w:ascii="Arial" w:cs="Arial" w:eastAsia="Arial" w:hAnsi="Arial"/>
                <w:sz w:val="18"/>
                <w:szCs w:val="18"/>
                <w:b w:val="1"/>
                <w:bCs w:val="1"/>
                <w:color w:val="auto"/>
                <w:w w:val="88"/>
              </w:rPr>
              <w:t>related and other</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ind w:left="140"/>
              <w:spacing w:after="0" w:line="173" w:lineRule="exact"/>
              <w:rPr>
                <w:sz w:val="20"/>
                <w:szCs w:val="20"/>
                <w:color w:val="auto"/>
              </w:rPr>
            </w:pPr>
            <w:r>
              <w:rPr>
                <w:rFonts w:ascii="Arial" w:cs="Arial" w:eastAsia="Arial" w:hAnsi="Arial"/>
                <w:sz w:val="18"/>
                <w:szCs w:val="18"/>
                <w:b w:val="1"/>
                <w:bCs w:val="1"/>
                <w:color w:val="auto"/>
              </w:rPr>
              <w:t>reduction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88"/>
              </w:rPr>
              <w:t>compensation</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40"/>
              <w:spacing w:after="0" w:line="225" w:lineRule="exact"/>
              <w:rPr>
                <w:sz w:val="20"/>
                <w:szCs w:val="20"/>
                <w:color w:val="auto"/>
              </w:rPr>
            </w:pPr>
            <w:r>
              <w:rPr>
                <w:rFonts w:ascii="Arial" w:cs="Arial" w:eastAsia="Arial" w:hAnsi="Arial"/>
                <w:sz w:val="18"/>
                <w:szCs w:val="18"/>
                <w:b w:val="1"/>
                <w:bCs w:val="1"/>
                <w:color w:val="auto"/>
                <w:w w:val="94"/>
              </w:rPr>
              <w:t>expense</w:t>
            </w:r>
            <w:r>
              <w:rPr>
                <w:rFonts w:ascii="Arial" w:cs="Arial" w:eastAsia="Arial" w:hAnsi="Arial"/>
                <w:sz w:val="23"/>
                <w:szCs w:val="23"/>
                <w:b w:val="1"/>
                <w:bCs w:val="1"/>
                <w:color w:val="auto"/>
                <w:w w:val="94"/>
                <w:vertAlign w:val="superscript"/>
              </w:rPr>
              <w:t>(1)</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81.0 %</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174"/>
        </w:trPr>
        <w:tc>
          <w:tcPr>
            <w:tcW w:w="24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(8.9 %)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ind w:left="76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74"/>
        </w:trPr>
        <w:tc>
          <w:tcPr>
            <w:tcW w:w="240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 %</w:t>
            </w:r>
          </w:p>
        </w:tc>
        <w:tc>
          <w:tcPr>
            <w:tcW w:w="1580" w:type="dxa"/>
            <w:vAlign w:val="bottom"/>
            <w:gridSpan w:val="4"/>
            <w:vMerge w:val="restart"/>
          </w:tcPr>
          <w:p>
            <w:pPr>
              <w:jc w:val="right"/>
              <w:ind w:right="320"/>
              <w:spacing w:after="0"/>
              <w:rPr>
                <w:sz w:val="20"/>
                <w:szCs w:val="20"/>
                <w:color w:val="auto"/>
              </w:rPr>
            </w:pPr>
            <w:r>
              <w:rPr>
                <w:rFonts w:ascii="Arial" w:cs="Arial" w:eastAsia="Arial" w:hAnsi="Arial"/>
                <w:sz w:val="18"/>
                <w:szCs w:val="18"/>
                <w:color w:val="auto"/>
              </w:rPr>
              <w:t>— %</w:t>
            </w:r>
          </w:p>
        </w:tc>
        <w:tc>
          <w:tcPr>
            <w:tcW w:w="1440" w:type="dxa"/>
            <w:vAlign w:val="bottom"/>
            <w:gridSpan w:val="4"/>
            <w:vMerge w:val="restart"/>
          </w:tcPr>
          <w:p>
            <w:pPr>
              <w:ind w:left="760"/>
              <w:spacing w:after="0"/>
              <w:rPr>
                <w:sz w:val="20"/>
                <w:szCs w:val="20"/>
                <w:color w:val="auto"/>
              </w:rPr>
            </w:pPr>
            <w:r>
              <w:rPr>
                <w:rFonts w:ascii="Arial" w:cs="Arial" w:eastAsia="Arial" w:hAnsi="Arial"/>
                <w:sz w:val="18"/>
                <w:szCs w:val="18"/>
                <w:color w:val="auto"/>
              </w:rPr>
              <w:t>— %</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440" w:type="dxa"/>
            <w:vAlign w:val="bottom"/>
            <w:gridSpan w:val="4"/>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hanging="154"/>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workforce reduction such as severance, benefits and other related items.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 Ended September 30,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54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GAAP</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line="206" w:lineRule="exact"/>
              <w:rPr>
                <w:sz w:val="20"/>
                <w:szCs w:val="20"/>
                <w:color w:val="auto"/>
              </w:rPr>
            </w:pPr>
            <w:r>
              <w:rPr>
                <w:rFonts w:ascii="Arial" w:cs="Arial" w:eastAsia="Arial" w:hAnsi="Arial"/>
                <w:sz w:val="18"/>
                <w:szCs w:val="18"/>
                <w:b w:val="1"/>
                <w:bCs w:val="1"/>
                <w:color w:val="auto"/>
              </w:rPr>
              <w:t>Stock-based</w:t>
            </w:r>
          </w:p>
        </w:tc>
        <w:tc>
          <w:tcPr>
            <w:tcW w:w="1820" w:type="dxa"/>
            <w:vAlign w:val="bottom"/>
            <w:gridSpan w:val="5"/>
          </w:tcPr>
          <w:p>
            <w:pPr>
              <w:ind w:left="40"/>
              <w:spacing w:after="0" w:line="206" w:lineRule="exact"/>
              <w:rPr>
                <w:sz w:val="20"/>
                <w:szCs w:val="20"/>
                <w:color w:val="auto"/>
              </w:rPr>
            </w:pPr>
            <w:r>
              <w:rPr>
                <w:rFonts w:ascii="Arial" w:cs="Arial" w:eastAsia="Arial" w:hAnsi="Arial"/>
                <w:sz w:val="18"/>
                <w:szCs w:val="18"/>
                <w:b w:val="1"/>
                <w:bCs w:val="1"/>
                <w:color w:val="auto"/>
              </w:rPr>
              <w:t>Acquisition-related</w:t>
            </w:r>
          </w:p>
        </w:tc>
        <w:tc>
          <w:tcPr>
            <w:tcW w:w="1120" w:type="dxa"/>
            <w:vAlign w:val="bottom"/>
          </w:tcPr>
          <w:p>
            <w:pPr>
              <w:jc w:val="right"/>
              <w:ind w:right="51"/>
              <w:spacing w:after="0" w:line="206" w:lineRule="exact"/>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98"/>
              </w:rPr>
              <w:t>Non-GAAP</w:t>
            </w:r>
          </w:p>
        </w:tc>
        <w:tc>
          <w:tcPr>
            <w:tcW w:w="0" w:type="dxa"/>
            <w:vAlign w:val="bottom"/>
          </w:tcPr>
          <w:p>
            <w:pPr>
              <w:spacing w:after="0"/>
              <w:rPr>
                <w:sz w:val="1"/>
                <w:szCs w:val="1"/>
                <w:color w:val="auto"/>
              </w:rPr>
            </w:pPr>
          </w:p>
        </w:tc>
      </w:tr>
      <w:tr>
        <w:trPr>
          <w:trHeight w:val="226"/>
        </w:trPr>
        <w:tc>
          <w:tcPr>
            <w:tcW w:w="2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6"/>
              </w:rPr>
              <w:t>and other expenses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w w:val="88"/>
              </w:rPr>
              <w:t>Research and development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174"/>
        </w:trPr>
        <w:tc>
          <w:tcPr>
            <w:tcW w:w="2500" w:type="dxa"/>
            <w:vAlign w:val="bottom"/>
          </w:tcPr>
          <w:p>
            <w:pPr>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gridSpan w:val="4"/>
            <w:vMerge w:val="restart"/>
          </w:tcPr>
          <w:p>
            <w:pPr>
              <w:jc w:val="right"/>
              <w:ind w:right="380"/>
              <w:spacing w:after="0"/>
              <w:rPr>
                <w:sz w:val="20"/>
                <w:szCs w:val="20"/>
                <w:color w:val="auto"/>
              </w:rPr>
            </w:pPr>
            <w:r>
              <w:rPr>
                <w:rFonts w:ascii="Arial" w:cs="Arial" w:eastAsia="Arial" w:hAnsi="Arial"/>
                <w:sz w:val="18"/>
                <w:szCs w:val="18"/>
                <w:color w:val="auto"/>
              </w:rPr>
              <w:t>— %</w:t>
            </w:r>
          </w:p>
        </w:tc>
        <w:tc>
          <w:tcPr>
            <w:tcW w:w="160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 %</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1600" w:type="dxa"/>
            <w:vAlign w:val="bottom"/>
            <w:gridSpan w:val="4"/>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4" w:right="339" w:bottom="1440" w:gutter="0" w:footer="0" w:header="0"/>
        </w:sectPr>
      </w:pPr>
    </w:p>
    <w:bookmarkStart w:id="10" w:name="page11"/>
    <w:bookmarkEnd w:id="10"/>
    <w:p>
      <w:pPr>
        <w:jc w:val="center"/>
        <w:ind w:right="-1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Nine Months Ended September 30, 2021</w:t>
      </w:r>
    </w:p>
    <w:p>
      <w:pPr>
        <w:spacing w:after="0" w:line="7"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tbl>
      <w:tblPr>
        <w:tblLayout w:type="fixed"/>
        <w:tblInd w:w="34" w:type="dxa"/>
        <w:tblCellMar>
          <w:top w:w="0" w:type="dxa"/>
          <w:left w:w="0" w:type="dxa"/>
          <w:bottom w:w="0" w:type="dxa"/>
          <w:right w:w="0" w:type="dxa"/>
        </w:tblCellMar>
      </w:tblPr>
      <w:tr>
        <w:trPr>
          <w:trHeight w:val="206"/>
        </w:trPr>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100" w:type="dxa"/>
            <w:vAlign w:val="bottom"/>
          </w:tcPr>
          <w:p>
            <w:pPr>
              <w:spacing w:after="0"/>
              <w:rPr>
                <w:sz w:val="17"/>
                <w:szCs w:val="17"/>
                <w:color w:val="auto"/>
              </w:rPr>
            </w:pPr>
          </w:p>
        </w:tc>
        <w:tc>
          <w:tcPr>
            <w:tcW w:w="104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4"/>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4"/>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GAAP</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7"/>
              </w:rPr>
              <w:t>related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ind w:right="400"/>
              <w:spacing w:after="0" w:line="173" w:lineRule="exact"/>
              <w:rPr>
                <w:sz w:val="20"/>
                <w:szCs w:val="20"/>
                <w:color w:val="auto"/>
              </w:rPr>
            </w:pPr>
            <w:r>
              <w:rPr>
                <w:rFonts w:ascii="Arial" w:cs="Arial" w:eastAsia="Arial" w:hAnsi="Arial"/>
                <w:sz w:val="18"/>
                <w:szCs w:val="18"/>
                <w:b w:val="1"/>
                <w:bCs w:val="1"/>
                <w:color w:val="auto"/>
                <w:w w:val="89"/>
              </w:rPr>
              <w:t>related to real</w:t>
            </w:r>
          </w:p>
        </w:tc>
        <w:tc>
          <w:tcPr>
            <w:tcW w:w="920" w:type="dxa"/>
            <w:vAlign w:val="bottom"/>
          </w:tcPr>
          <w:p>
            <w:pPr>
              <w:jc w:val="right"/>
              <w:ind w:right="11"/>
              <w:spacing w:after="0" w:line="173" w:lineRule="exact"/>
              <w:rPr>
                <w:sz w:val="20"/>
                <w:szCs w:val="20"/>
                <w:color w:val="auto"/>
              </w:rPr>
            </w:pPr>
            <w:r>
              <w:rPr>
                <w:rFonts w:ascii="Arial" w:cs="Arial" w:eastAsia="Arial" w:hAnsi="Arial"/>
                <w:sz w:val="18"/>
                <w:szCs w:val="18"/>
                <w:b w:val="1"/>
                <w:bCs w:val="1"/>
                <w:color w:val="auto"/>
                <w:w w:val="97"/>
              </w:rPr>
              <w:t>reduction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226"/>
        </w:trPr>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88"/>
              </w:rPr>
              <w:t>compensation</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4"/>
              </w:rPr>
              <w:t>other expenses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estate assets</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line="225" w:lineRule="exact"/>
              <w:rPr>
                <w:sz w:val="20"/>
                <w:szCs w:val="20"/>
                <w:color w:val="auto"/>
              </w:rPr>
            </w:pPr>
            <w:r>
              <w:rPr>
                <w:rFonts w:ascii="Arial" w:cs="Arial" w:eastAsia="Arial" w:hAnsi="Arial"/>
                <w:sz w:val="18"/>
                <w:szCs w:val="18"/>
                <w:b w:val="1"/>
                <w:bCs w:val="1"/>
                <w:color w:val="auto"/>
                <w:w w:val="88"/>
              </w:rPr>
              <w:t>expense</w:t>
            </w:r>
            <w:r>
              <w:rPr>
                <w:rFonts w:ascii="Arial" w:cs="Arial" w:eastAsia="Arial" w:hAnsi="Arial"/>
                <w:sz w:val="23"/>
                <w:szCs w:val="23"/>
                <w:b w:val="1"/>
                <w:bCs w:val="1"/>
                <w:color w:val="auto"/>
                <w:w w:val="88"/>
                <w:vertAlign w:val="superscript"/>
              </w:rPr>
              <w:t>(1)</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20.6 %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25"/>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554.0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Research and</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w w:val="99"/>
              </w:rPr>
              <w:t>development 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8"/>
              </w:rPr>
              <w:t>Sales and marketing</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20.0 %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rPr>
              <w:t>General and</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10.6 %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w w:val="94"/>
              </w:rPr>
              <w:t>administrative 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Impairment related to</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tcPr>
          <w:p>
            <w:pPr>
              <w:ind w:left="20"/>
              <w:spacing w:after="0" w:line="174" w:lineRule="exact"/>
              <w:rPr>
                <w:sz w:val="20"/>
                <w:szCs w:val="20"/>
                <w:color w:val="auto"/>
              </w:rPr>
            </w:pPr>
            <w:r>
              <w:rPr>
                <w:rFonts w:ascii="Arial" w:cs="Arial" w:eastAsia="Arial" w:hAnsi="Arial"/>
                <w:sz w:val="18"/>
                <w:szCs w:val="18"/>
                <w:i w:val="1"/>
                <w:iCs w:val="1"/>
                <w:color w:val="auto"/>
                <w:w w:val="95"/>
              </w:rPr>
              <w:t>Impairment related to</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real estate assets</w:t>
            </w: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ind w:left="8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46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 %</w:t>
            </w:r>
          </w:p>
        </w:tc>
        <w:tc>
          <w:tcPr>
            <w:tcW w:w="1420" w:type="dxa"/>
            <w:vAlign w:val="bottom"/>
            <w:gridSpan w:val="4"/>
            <w:vMerge w:val="restart"/>
          </w:tcPr>
          <w:p>
            <w:pPr>
              <w:jc w:val="right"/>
              <w:ind w:right="240"/>
              <w:spacing w:after="0"/>
              <w:rPr>
                <w:sz w:val="20"/>
                <w:szCs w:val="20"/>
                <w:color w:val="auto"/>
              </w:rPr>
            </w:pPr>
            <w:r>
              <w:rPr>
                <w:rFonts w:ascii="Arial" w:cs="Arial" w:eastAsia="Arial" w:hAnsi="Arial"/>
                <w:sz w:val="18"/>
                <w:szCs w:val="18"/>
                <w:color w:val="auto"/>
              </w:rPr>
              <w:t>— %</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 %</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420" w:type="dxa"/>
            <w:vAlign w:val="bottom"/>
            <w:gridSpan w:val="4"/>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6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204.2</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4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4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54" w:hanging="154"/>
        <w:spacing w:after="0"/>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workforce reduction such as severance, benefits and other related items.</w:t>
      </w:r>
    </w:p>
    <w:p>
      <w:pPr>
        <w:sectPr>
          <w:pgSz w:w="11900" w:h="16838" w:orient="portrait"/>
          <w:cols w:equalWidth="0" w:num="1">
            <w:col w:w="11214"/>
          </w:cols>
          <w:pgMar w:left="326" w:top="874"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Nine Months Ended September 30, 2020</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6"/>
        </w:trPr>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GAAP</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140"/>
              <w:spacing w:after="0" w:line="206" w:lineRule="exact"/>
              <w:rPr>
                <w:sz w:val="20"/>
                <w:szCs w:val="20"/>
                <w:color w:val="auto"/>
              </w:rPr>
            </w:pPr>
            <w:r>
              <w:rPr>
                <w:rFonts w:ascii="Arial" w:cs="Arial" w:eastAsia="Arial" w:hAnsi="Arial"/>
                <w:sz w:val="18"/>
                <w:szCs w:val="18"/>
                <w:b w:val="1"/>
                <w:bCs w:val="1"/>
                <w:color w:val="auto"/>
              </w:rPr>
              <w:t>Stock-based</w:t>
            </w:r>
          </w:p>
        </w:tc>
        <w:tc>
          <w:tcPr>
            <w:tcW w:w="1800" w:type="dxa"/>
            <w:vAlign w:val="bottom"/>
            <w:gridSpan w:val="5"/>
          </w:tcPr>
          <w:p>
            <w:pPr>
              <w:ind w:left="20"/>
              <w:spacing w:after="0" w:line="206" w:lineRule="exact"/>
              <w:rPr>
                <w:sz w:val="20"/>
                <w:szCs w:val="20"/>
                <w:color w:val="auto"/>
              </w:rPr>
            </w:pPr>
            <w:r>
              <w:rPr>
                <w:rFonts w:ascii="Arial" w:cs="Arial" w:eastAsia="Arial" w:hAnsi="Arial"/>
                <w:sz w:val="18"/>
                <w:szCs w:val="18"/>
                <w:b w:val="1"/>
                <w:bCs w:val="1"/>
                <w:color w:val="auto"/>
              </w:rPr>
              <w:t>Acquisition-related</w:t>
            </w:r>
          </w:p>
        </w:tc>
        <w:tc>
          <w:tcPr>
            <w:tcW w:w="1120" w:type="dxa"/>
            <w:vAlign w:val="bottom"/>
          </w:tcPr>
          <w:p>
            <w:pPr>
              <w:jc w:val="right"/>
              <w:ind w:right="51"/>
              <w:spacing w:after="0" w:line="206" w:lineRule="exact"/>
              <w:rPr>
                <w:sz w:val="20"/>
                <w:szCs w:val="20"/>
                <w:color w:val="auto"/>
              </w:rPr>
            </w:pPr>
            <w:r>
              <w:rPr>
                <w:rFonts w:ascii="Arial" w:cs="Arial" w:eastAsia="Arial" w:hAnsi="Arial"/>
                <w:sz w:val="18"/>
                <w:szCs w:val="18"/>
                <w:b w:val="1"/>
                <w:bCs w:val="1"/>
                <w:color w:val="auto"/>
              </w:rPr>
              <w:t>Intangibles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Non-GAAP</w:t>
            </w:r>
          </w:p>
        </w:tc>
        <w:tc>
          <w:tcPr>
            <w:tcW w:w="0" w:type="dxa"/>
            <w:vAlign w:val="bottom"/>
          </w:tcPr>
          <w:p>
            <w:pPr>
              <w:spacing w:after="0"/>
              <w:rPr>
                <w:sz w:val="1"/>
                <w:szCs w:val="1"/>
                <w:color w:val="auto"/>
              </w:rPr>
            </w:pPr>
          </w:p>
        </w:tc>
      </w:tr>
      <w:tr>
        <w:trPr>
          <w:trHeight w:val="226"/>
        </w:trPr>
        <w:tc>
          <w:tcPr>
            <w:tcW w:w="2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0"/>
              </w:rPr>
              <w:t>compensation</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5"/>
              </w:rPr>
              <w:t>and other expenses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amortization</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Cost of revenue margin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1,116.6</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79.2 %</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174"/>
        </w:trPr>
        <w:tc>
          <w:tcPr>
            <w:tcW w:w="2480" w:type="dxa"/>
            <w:vAlign w:val="bottom"/>
          </w:tcPr>
          <w:p>
            <w:pPr>
              <w:spacing w:after="0" w:line="174" w:lineRule="exact"/>
              <w:rPr>
                <w:sz w:val="20"/>
                <w:szCs w:val="20"/>
                <w:color w:val="auto"/>
              </w:rPr>
            </w:pPr>
            <w:r>
              <w:rPr>
                <w:rFonts w:ascii="Arial" w:cs="Arial" w:eastAsia="Arial" w:hAnsi="Arial"/>
                <w:sz w:val="18"/>
                <w:szCs w:val="18"/>
                <w:i w:val="1"/>
                <w:iCs w:val="1"/>
                <w:color w:val="auto"/>
              </w:rPr>
              <w:t>Research and development</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Sales and marketing margin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174"/>
        </w:trPr>
        <w:tc>
          <w:tcPr>
            <w:tcW w:w="2480" w:type="dxa"/>
            <w:vAlign w:val="bottom"/>
          </w:tcPr>
          <w:p>
            <w:pPr>
              <w:spacing w:after="0" w:line="174" w:lineRule="exact"/>
              <w:rPr>
                <w:sz w:val="20"/>
                <w:szCs w:val="20"/>
                <w:color w:val="auto"/>
              </w:rPr>
            </w:pPr>
            <w:r>
              <w:rPr>
                <w:rFonts w:ascii="Arial" w:cs="Arial" w:eastAsia="Arial" w:hAnsi="Arial"/>
                <w:sz w:val="18"/>
                <w:szCs w:val="18"/>
                <w:i w:val="1"/>
                <w:iCs w:val="1"/>
                <w:color w:val="auto"/>
              </w:rPr>
              <w:t>General and administrative</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gridSpan w:val="4"/>
            <w:vMerge w:val="restart"/>
          </w:tcPr>
          <w:p>
            <w:pPr>
              <w:jc w:val="right"/>
              <w:ind w:right="380"/>
              <w:spacing w:after="0"/>
              <w:rPr>
                <w:sz w:val="20"/>
                <w:szCs w:val="20"/>
                <w:color w:val="auto"/>
              </w:rPr>
            </w:pPr>
            <w:r>
              <w:rPr>
                <w:rFonts w:ascii="Arial" w:cs="Arial" w:eastAsia="Arial" w:hAnsi="Arial"/>
                <w:sz w:val="18"/>
                <w:szCs w:val="18"/>
                <w:color w:val="auto"/>
              </w:rPr>
              <w:t>— %</w:t>
            </w:r>
          </w:p>
        </w:tc>
        <w:tc>
          <w:tcPr>
            <w:tcW w:w="1600" w:type="dxa"/>
            <w:vAlign w:val="bottom"/>
            <w:gridSpan w:val="4"/>
            <w:vMerge w:val="restart"/>
          </w:tcPr>
          <w:p>
            <w:pPr>
              <w:jc w:val="right"/>
              <w:ind w:right="300"/>
              <w:spacing w:after="0"/>
              <w:rPr>
                <w:sz w:val="20"/>
                <w:szCs w:val="20"/>
                <w:color w:val="auto"/>
              </w:rPr>
            </w:pPr>
            <w:r>
              <w:rPr>
                <w:rFonts w:ascii="Arial" w:cs="Arial" w:eastAsia="Arial" w:hAnsi="Arial"/>
                <w:sz w:val="18"/>
                <w:szCs w:val="18"/>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4"/>
        </w:trPr>
        <w:tc>
          <w:tcPr>
            <w:tcW w:w="248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4"/>
            <w:vMerge w:val="continue"/>
          </w:tcPr>
          <w:p>
            <w:pPr>
              <w:spacing w:after="0"/>
              <w:rPr>
                <w:sz w:val="19"/>
                <w:szCs w:val="19"/>
                <w:color w:val="auto"/>
              </w:rPr>
            </w:pPr>
          </w:p>
        </w:tc>
        <w:tc>
          <w:tcPr>
            <w:tcW w:w="1600" w:type="dxa"/>
            <w:vAlign w:val="bottom"/>
            <w:gridSpan w:val="4"/>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bl>
    <w:p>
      <w:pPr>
        <w:sectPr>
          <w:pgSz w:w="11900" w:h="16838" w:orient="portrait"/>
          <w:cols w:equalWidth="0" w:num="1">
            <w:col w:w="10180"/>
          </w:cols>
          <w:pgMar w:left="860" w:top="874" w:right="859" w:bottom="1440" w:gutter="0" w:footer="0" w:header="0"/>
        </w:sectPr>
      </w:pPr>
    </w:p>
    <w:bookmarkStart w:id="12" w:name="page13"/>
    <w:bookmarkEnd w:id="12"/>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and Nine Months Ended September 30,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2740" w:type="dxa"/>
            <w:vAlign w:val="bottom"/>
            <w:gridSpan w:val="4"/>
          </w:tcPr>
          <w:p>
            <w:pPr>
              <w:jc w:val="right"/>
              <w:ind w:right="211"/>
              <w:spacing w:after="0" w:line="206"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811"/>
              <w:spacing w:after="0" w:line="206"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8"/>
                <w:szCs w:val="18"/>
                <w:b w:val="1"/>
                <w:bCs w:val="1"/>
                <w:color w:val="auto"/>
                <w:w w:val="92"/>
              </w:rPr>
              <w:t>September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other expenses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Impairment related to real estate assets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Workforce reduction expense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gains on equity investments</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effects of non-GAAP adjustments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5"/>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Non-GAAP diluted net income per share</w:t>
            </w:r>
          </w:p>
        </w:tc>
        <w:tc>
          <w:tcPr>
            <w:tcW w:w="1020" w:type="dxa"/>
            <w:vAlign w:val="bottom"/>
            <w:tcBorders>
              <w:bottom w:val="single" w:sz="8" w:color="auto"/>
            </w:tcBorders>
          </w:tcPr>
          <w:p>
            <w:pPr>
              <w:jc w:val="right"/>
              <w:ind w:right="831"/>
              <w:spacing w:after="0" w:line="19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0.37</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71"/>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199"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1"/>
              <w:spacing w:after="0" w:line="199"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60" w:type="dxa"/>
            <w:vAlign w:val="bottom"/>
            <w:shd w:val="clear" w:color="auto" w:fill="CCEEFF"/>
          </w:tcPr>
          <w:p>
            <w:pPr>
              <w:spacing w:after="0" w:line="140" w:lineRule="exact"/>
              <w:rPr>
                <w:sz w:val="20"/>
                <w:szCs w:val="20"/>
                <w:color w:val="auto"/>
              </w:rPr>
            </w:pPr>
            <w:r>
              <w:rPr>
                <w:rFonts w:ascii="Arial" w:cs="Arial" w:eastAsia="Arial" w:hAnsi="Arial"/>
                <w:sz w:val="15"/>
                <w:szCs w:val="15"/>
                <w:color w:val="auto"/>
              </w:rPr>
              <w:t>Weighted-average shares used to compute Non-GAAP</w:t>
            </w:r>
          </w:p>
        </w:tc>
        <w:tc>
          <w:tcPr>
            <w:tcW w:w="10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8"/>
        </w:trPr>
        <w:tc>
          <w:tcPr>
            <w:tcW w:w="4260" w:type="dxa"/>
            <w:vAlign w:val="bottom"/>
            <w:tcBorders>
              <w:bottom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diluted net income per share</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Dropbox, Inc.</w:t>
      </w:r>
    </w:p>
    <w:p>
      <w:pPr>
        <w:spacing w:after="0" w:line="29"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Three and Nine Months Ended September 30, 2021 and 2020</w:t>
      </w:r>
    </w:p>
    <w:p>
      <w:pPr>
        <w:spacing w:after="0" w:line="7" w:lineRule="exact"/>
        <w:rPr>
          <w:sz w:val="20"/>
          <w:szCs w:val="20"/>
          <w:color w:val="auto"/>
        </w:rPr>
      </w:pPr>
    </w:p>
    <w:p>
      <w:pPr>
        <w:jc w:val="center"/>
        <w:ind w:right="-9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0"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9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6"/>
        </w:trPr>
        <w:tc>
          <w:tcPr>
            <w:tcW w:w="4020" w:type="dxa"/>
            <w:vAlign w:val="bottom"/>
          </w:tcPr>
          <w:p>
            <w:pPr>
              <w:spacing w:after="0"/>
              <w:rPr>
                <w:sz w:val="17"/>
                <w:szCs w:val="17"/>
                <w:color w:val="auto"/>
              </w:rPr>
            </w:pPr>
          </w:p>
        </w:tc>
        <w:tc>
          <w:tcPr>
            <w:tcW w:w="2760" w:type="dxa"/>
            <w:vAlign w:val="bottom"/>
            <w:gridSpan w:val="4"/>
          </w:tcPr>
          <w:p>
            <w:pPr>
              <w:jc w:val="right"/>
              <w:ind w:right="171"/>
              <w:spacing w:after="0" w:line="206" w:lineRule="exact"/>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871"/>
              <w:spacing w:after="0" w:line="206"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8"/>
                <w:szCs w:val="18"/>
                <w:b w:val="1"/>
                <w:bCs w:val="1"/>
                <w:color w:val="auto"/>
                <w:w w:val="97"/>
              </w:rPr>
              <w:t>September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231.5</w:t>
            </w:r>
          </w:p>
        </w:tc>
        <w:tc>
          <w:tcPr>
            <w:tcW w:w="80" w:type="dxa"/>
            <w:vAlign w:val="bottom"/>
          </w:tcPr>
          <w:p>
            <w:pPr>
              <w:spacing w:after="0"/>
              <w:rPr>
                <w:sz w:val="19"/>
                <w:szCs w:val="19"/>
                <w:color w:val="auto"/>
              </w:rPr>
            </w:pP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200.9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567.1</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(10.0)</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7"/>
              </w:rPr>
              <w:t>(13.9)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221.5</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187.0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40.3 %</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38.4 %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34.3 %</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200"/>
              <w:spacing w:after="0" w:line="173" w:lineRule="exact"/>
              <w:rPr>
                <w:sz w:val="20"/>
                <w:szCs w:val="20"/>
                <w:color w:val="auto"/>
              </w:rPr>
            </w:pPr>
            <w:r>
              <w:rPr>
                <w:rFonts w:ascii="Arial" w:cs="Arial" w:eastAsia="Arial" w:hAnsi="Arial"/>
                <w:sz w:val="18"/>
                <w:szCs w:val="18"/>
                <w:color w:val="auto"/>
                <w:w w:val="98"/>
              </w:rPr>
              <w:t>Key employee holdback payments related to the</w:t>
            </w: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5"/>
                <w:szCs w:val="15"/>
                <w:color w:val="auto"/>
              </w:rPr>
            </w:pPr>
          </w:p>
        </w:tc>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80" w:type="dxa"/>
            <w:vAlign w:val="bottom"/>
            <w:vMerge w:val="restart"/>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5"/>
                <w:szCs w:val="15"/>
                <w:color w:val="auto"/>
              </w:rPr>
            </w:pPr>
          </w:p>
        </w:tc>
        <w:tc>
          <w:tcPr>
            <w:tcW w:w="560" w:type="dxa"/>
            <w:vAlign w:val="bottom"/>
            <w:vMerge w:val="restart"/>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13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4"/>
        </w:trPr>
        <w:tc>
          <w:tcPr>
            <w:tcW w:w="4020" w:type="dxa"/>
            <w:vAlign w:val="bottom"/>
          </w:tcPr>
          <w:p>
            <w:pPr>
              <w:ind w:left="200"/>
              <w:spacing w:after="0" w:line="199" w:lineRule="exact"/>
              <w:rPr>
                <w:sz w:val="20"/>
                <w:szCs w:val="20"/>
                <w:color w:val="auto"/>
              </w:rPr>
            </w:pPr>
            <w:r>
              <w:rPr>
                <w:rFonts w:ascii="Arial" w:cs="Arial" w:eastAsia="Arial" w:hAnsi="Arial"/>
                <w:sz w:val="18"/>
                <w:szCs w:val="18"/>
                <w:color w:val="auto"/>
              </w:rPr>
              <w:t>acquisition of HelloSign</w:t>
            </w:r>
            <w:r>
              <w:rPr>
                <w:rFonts w:ascii="Arial" w:cs="Arial" w:eastAsia="Arial" w:hAnsi="Arial"/>
                <w:sz w:val="23"/>
                <w:szCs w:val="23"/>
                <w:color w:val="auto"/>
                <w:vertAlign w:val="superscript"/>
              </w:rPr>
              <w:t>(1)</w:t>
            </w:r>
          </w:p>
        </w:tc>
        <w:tc>
          <w:tcPr>
            <w:tcW w:w="10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shd w:val="clear" w:color="auto" w:fill="CCEEFF"/>
          </w:tcPr>
          <w:p>
            <w:pPr>
              <w:ind w:left="20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3"/>
                <w:szCs w:val="23"/>
                <w:color w:val="auto"/>
                <w:vertAlign w:val="superscript"/>
              </w:rPr>
              <w:t>(2)</w:t>
            </w: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 w:firstLine="6"/>
        <w:spacing w:after="0" w:line="270" w:lineRule="auto"/>
        <w:tabs>
          <w:tab w:leader="none" w:pos="154"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As part of our acquisition of HelloSign in 2019, we have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and will be paid evenly in quarterly installments over the remaining required service period.</w:t>
      </w:r>
    </w:p>
    <w:p>
      <w:pPr>
        <w:spacing w:after="0" w:line="198"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workforce reduction such as severance, benefits, and other related items.</w:t>
      </w:r>
    </w:p>
    <w:p>
      <w:pPr>
        <w:sectPr>
          <w:pgSz w:w="11900" w:h="16838" w:orient="portrait"/>
          <w:cols w:equalWidth="0" w:num="1">
            <w:col w:w="11154"/>
          </w:cols>
          <w:pgMar w:left="326" w:top="8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and expenses related to our reduction in force. Non-GAAP net income also excludes net gains and losses on equity investments, and includes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For periods that we are in a GAAP net income position, the weighted average shares used in the computation are the same as the shares used in our non-GAAP diluted net income per share computation. In order to present revenue on a constant currency basis for the quarter ended September 30, 2021,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2"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the acquisition of HelloSign.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87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Alissa Stewart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2021-11-04T15:23:06Z</dcterms:created>
  <dcterms:modified xsi:type="dcterms:W3CDTF">2021-11-04T15:23:06Z</dcterms:modified>
</cp:coreProperties>
</file>