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610,260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610,260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Stock. The restricted stock units vest as to 1/16th of the shares on May 15, 2025 and each three-month anniversary thereafter through February 15, 2029.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2025-04-03T15:42:33Z</dcterms:created>
  <dcterms:modified xsi:type="dcterms:W3CDTF">2025-04-03T15:42:33Z</dcterms:modified>
</cp:coreProperties>
</file>