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11"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243840</wp:posOffset>
            </wp:positionV>
            <wp:extent cx="14306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366"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44450</wp:posOffset>
            </wp:positionV>
            <wp:extent cx="14306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Pursuant to Section 13 or 15(d)</w:t>
      </w:r>
    </w:p>
    <w:p>
      <w:pPr>
        <w:spacing w:after="0" w:line="3"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October 2, 2019</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2060575</wp:posOffset>
            </wp:positionH>
            <wp:positionV relativeFrom="paragraph">
              <wp:posOffset>243840</wp:posOffset>
            </wp:positionV>
            <wp:extent cx="3143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3885" cy="8255"/>
                    </a:xfrm>
                    <a:prstGeom prst="rect">
                      <a:avLst/>
                    </a:prstGeom>
                    <a:noFill/>
                  </pic:spPr>
                </pic:pic>
              </a:graphicData>
            </a:graphic>
          </wp:anchor>
        </w:drawing>
      </w:r>
    </w:p>
    <w:p>
      <w:pPr>
        <w:spacing w:after="0" w:line="366"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DROPBOX, INC.</w:t>
      </w:r>
    </w:p>
    <w:p>
      <w:pPr>
        <w:spacing w:after="0" w:line="4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2060575</wp:posOffset>
            </wp:positionH>
            <wp:positionV relativeFrom="paragraph">
              <wp:posOffset>21590</wp:posOffset>
            </wp:positionV>
            <wp:extent cx="3143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3885" cy="8255"/>
                    </a:xfrm>
                    <a:prstGeom prst="rect">
                      <a:avLst/>
                    </a:prstGeom>
                    <a:noFill/>
                  </pic:spPr>
                </pic:pic>
              </a:graphicData>
            </a:graphic>
          </wp:anchor>
        </w:drawing>
      </w:r>
    </w:p>
    <w:p>
      <w:pPr>
        <w:sectPr>
          <w:pgSz w:w="11900" w:h="16838" w:orient="portrait"/>
          <w:cols w:equalWidth="0" w:num="1">
            <w:col w:w="11520"/>
          </w:cols>
          <w:pgMar w:left="240" w:top="678" w:right="139" w:bottom="1440" w:gutter="0" w:footer="0" w:header="0"/>
        </w:sectPr>
      </w:pPr>
    </w:p>
    <w:p>
      <w:pPr>
        <w:spacing w:after="0" w:line="200" w:lineRule="exact"/>
        <w:rPr>
          <w:sz w:val="24"/>
          <w:szCs w:val="24"/>
          <w:color w:val="auto"/>
        </w:rPr>
      </w:pPr>
    </w:p>
    <w:p>
      <w:pPr>
        <w:spacing w:after="0" w:line="369"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001-38434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26-0138832</w:t>
      </w:r>
    </w:p>
    <w:p>
      <w:pPr>
        <w:spacing w:after="0" w:line="86" w:lineRule="exact"/>
        <w:rPr>
          <w:sz w:val="24"/>
          <w:szCs w:val="24"/>
          <w:color w:val="auto"/>
        </w:rPr>
      </w:pPr>
    </w:p>
    <w:p>
      <w:pPr>
        <w:sectPr>
          <w:pgSz w:w="11900" w:h="16838" w:orient="portrait"/>
          <w:cols w:equalWidth="0" w:num="3">
            <w:col w:w="4660" w:space="720"/>
            <w:col w:w="2540" w:space="720"/>
            <w:col w:w="2880"/>
          </w:cols>
          <w:pgMar w:left="240" w:top="678" w:right="139" w:bottom="1440" w:gutter="0" w:footer="0" w:header="0"/>
          <w:type w:val="continuous"/>
        </w:sectPr>
      </w:pPr>
    </w:p>
    <w:p>
      <w:pPr>
        <w:jc w:val="center"/>
        <w:ind w:left="82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 R. S. Employer Identification No.)</w:t>
      </w:r>
    </w:p>
    <w:p>
      <w:pPr>
        <w:spacing w:after="0" w:line="50" w:lineRule="exact"/>
        <w:rPr>
          <w:sz w:val="24"/>
          <w:szCs w:val="24"/>
          <w:color w:val="auto"/>
        </w:rPr>
      </w:pPr>
    </w:p>
    <w:p>
      <w:pPr>
        <w:sectPr>
          <w:pgSz w:w="11900" w:h="16838" w:orient="portrait"/>
          <w:cols w:equalWidth="0" w:num="3">
            <w:col w:w="4000" w:space="720"/>
            <w:col w:w="2220" w:space="720"/>
            <w:col w:w="3860"/>
          </w:cols>
          <w:pgMar w:left="240" w:top="678" w:right="139" w:bottom="1440" w:gutter="0" w:footer="0" w:header="0"/>
          <w:type w:val="continuous"/>
        </w:sectPr>
      </w:pPr>
    </w:p>
    <w:p>
      <w:pPr>
        <w:ind w:left="1840"/>
        <w:spacing w:after="0"/>
        <w:rPr>
          <w:sz w:val="20"/>
          <w:szCs w:val="20"/>
          <w:color w:val="auto"/>
        </w:rPr>
      </w:pPr>
      <w:r>
        <w:rPr>
          <w:rFonts w:ascii="Arial" w:cs="Arial" w:eastAsia="Arial" w:hAnsi="Arial"/>
          <w:sz w:val="16"/>
          <w:szCs w:val="16"/>
          <w:b w:val="1"/>
          <w:bCs w:val="1"/>
          <w:color w:val="auto"/>
        </w:rPr>
        <w:t>incorporation)</w:t>
      </w:r>
    </w:p>
    <w:p>
      <w:pPr>
        <w:sectPr>
          <w:pgSz w:w="11900" w:h="16838" w:orient="portrait"/>
          <w:cols w:equalWidth="0" w:num="1">
            <w:col w:w="11520"/>
          </w:cols>
          <w:pgMar w:left="240" w:top="678" w:right="139" w:bottom="1440" w:gutter="0" w:footer="0" w:header="0"/>
          <w:type w:val="continuous"/>
        </w:sectPr>
      </w:pPr>
    </w:p>
    <w:p>
      <w:pPr>
        <w:spacing w:after="0" w:line="20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1800 Owens Street Suite 200</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San Francisco, California 94158</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(415) 857-6800</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37"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4"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4"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4" w:lineRule="exact"/>
        <w:rPr>
          <w:rFonts w:ascii="MS PGothic" w:cs="MS PGothic" w:eastAsia="MS PGothic" w:hAnsi="MS PGothic"/>
          <w:sz w:val="18"/>
          <w:szCs w:val="18"/>
          <w:color w:val="auto"/>
        </w:rPr>
      </w:pPr>
    </w:p>
    <w:p>
      <w:pPr>
        <w:ind w:right="3140" w:firstLine="8"/>
        <w:spacing w:after="0" w:line="566"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459105</wp:posOffset>
            </wp:positionH>
            <wp:positionV relativeFrom="paragraph">
              <wp:posOffset>-87630</wp:posOffset>
            </wp:positionV>
            <wp:extent cx="6347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47460" cy="8255"/>
                    </a:xfrm>
                    <a:prstGeom prst="rect">
                      <a:avLst/>
                    </a:prstGeom>
                    <a:noFill/>
                  </pic:spPr>
                </pic:pic>
              </a:graphicData>
            </a:graphic>
          </wp:anchor>
        </w:drawing>
      </w:r>
    </w:p>
    <w:tbl>
      <w:tblPr>
        <w:tblLayout w:type="fixed"/>
        <w:tblInd w:w="860" w:type="dxa"/>
        <w:tblCellMar>
          <w:top w:w="0" w:type="dxa"/>
          <w:left w:w="0" w:type="dxa"/>
          <w:bottom w:w="0" w:type="dxa"/>
          <w:right w:w="0" w:type="dxa"/>
        </w:tblCellMar>
      </w:tblPr>
      <w:tr>
        <w:trPr>
          <w:trHeight w:val="158"/>
        </w:trPr>
        <w:tc>
          <w:tcPr>
            <w:tcW w:w="1020" w:type="dxa"/>
            <w:vAlign w:val="bottom"/>
          </w:tcPr>
          <w:p>
            <w:pPr>
              <w:spacing w:after="0"/>
              <w:rPr>
                <w:sz w:val="13"/>
                <w:szCs w:val="13"/>
                <w:color w:val="auto"/>
              </w:rPr>
            </w:pPr>
          </w:p>
        </w:tc>
        <w:tc>
          <w:tcPr>
            <w:tcW w:w="2720" w:type="dxa"/>
            <w:vAlign w:val="bottom"/>
            <w:gridSpan w:val="2"/>
          </w:tcPr>
          <w:p>
            <w:pPr>
              <w:jc w:val="center"/>
              <w:ind w:right="1568"/>
              <w:spacing w:after="0" w:line="158" w:lineRule="exact"/>
              <w:rPr>
                <w:sz w:val="20"/>
                <w:szCs w:val="20"/>
                <w:color w:val="auto"/>
              </w:rPr>
            </w:pPr>
            <w:r>
              <w:rPr>
                <w:rFonts w:ascii="Arial" w:cs="Arial" w:eastAsia="Arial" w:hAnsi="Arial"/>
                <w:sz w:val="14"/>
                <w:szCs w:val="14"/>
                <w:b w:val="1"/>
                <w:bCs w:val="1"/>
                <w:color w:val="auto"/>
                <w:w w:val="89"/>
              </w:rPr>
              <w:t>Title of each class</w:t>
            </w:r>
          </w:p>
        </w:tc>
        <w:tc>
          <w:tcPr>
            <w:tcW w:w="3300" w:type="dxa"/>
            <w:vAlign w:val="bottom"/>
            <w:gridSpan w:val="3"/>
          </w:tcPr>
          <w:p>
            <w:pPr>
              <w:jc w:val="center"/>
              <w:ind w:right="940"/>
              <w:spacing w:after="0" w:line="158" w:lineRule="exact"/>
              <w:rPr>
                <w:sz w:val="20"/>
                <w:szCs w:val="20"/>
                <w:color w:val="auto"/>
              </w:rPr>
            </w:pPr>
            <w:r>
              <w:rPr>
                <w:rFonts w:ascii="Arial" w:cs="Arial" w:eastAsia="Arial" w:hAnsi="Arial"/>
                <w:sz w:val="14"/>
                <w:szCs w:val="14"/>
                <w:b w:val="1"/>
                <w:bCs w:val="1"/>
                <w:color w:val="auto"/>
                <w:w w:val="94"/>
              </w:rPr>
              <w:t>Trading Symbol(s)</w:t>
            </w:r>
          </w:p>
        </w:tc>
        <w:tc>
          <w:tcPr>
            <w:tcW w:w="23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0"/>
              </w:rPr>
              <w:t>Name of exchange on which registered</w:t>
            </w:r>
          </w:p>
        </w:tc>
      </w:tr>
      <w:tr>
        <w:trPr>
          <w:trHeight w:val="123"/>
        </w:trPr>
        <w:tc>
          <w:tcPr>
            <w:tcW w:w="1020" w:type="dxa"/>
            <w:vAlign w:val="bottom"/>
          </w:tcPr>
          <w:p>
            <w:pPr>
              <w:spacing w:after="0" w:line="123" w:lineRule="exact"/>
              <w:rPr>
                <w:sz w:val="20"/>
                <w:szCs w:val="20"/>
                <w:color w:val="auto"/>
              </w:rPr>
            </w:pPr>
            <w:r>
              <w:rPr>
                <w:rFonts w:ascii="Arial" w:cs="Arial" w:eastAsia="Arial" w:hAnsi="Arial"/>
                <w:sz w:val="14"/>
                <w:szCs w:val="14"/>
                <w:color w:val="auto"/>
                <w:w w:val="91"/>
              </w:rPr>
              <w:t>Class A Common</w:t>
            </w:r>
          </w:p>
        </w:tc>
        <w:tc>
          <w:tcPr>
            <w:tcW w:w="10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Stock, par value $</w:t>
            </w:r>
          </w:p>
        </w:tc>
        <w:tc>
          <w:tcPr>
            <w:tcW w:w="1640" w:type="dxa"/>
            <w:vAlign w:val="bottom"/>
          </w:tcPr>
          <w:p>
            <w:pPr>
              <w:spacing w:after="0" w:line="123" w:lineRule="exact"/>
              <w:rPr>
                <w:sz w:val="20"/>
                <w:szCs w:val="20"/>
                <w:color w:val="auto"/>
              </w:rPr>
            </w:pPr>
            <w:r>
              <w:rPr>
                <w:rFonts w:ascii="Arial" w:cs="Arial" w:eastAsia="Arial" w:hAnsi="Arial"/>
                <w:sz w:val="14"/>
                <w:szCs w:val="14"/>
                <w:color w:val="auto"/>
              </w:rPr>
              <w:t>0.00001 per share</w:t>
            </w:r>
          </w:p>
        </w:tc>
        <w:tc>
          <w:tcPr>
            <w:tcW w:w="600" w:type="dxa"/>
            <w:vAlign w:val="bottom"/>
          </w:tcPr>
          <w:p>
            <w:pPr>
              <w:spacing w:after="0"/>
              <w:rPr>
                <w:sz w:val="10"/>
                <w:szCs w:val="10"/>
                <w:color w:val="auto"/>
              </w:rPr>
            </w:pPr>
          </w:p>
        </w:tc>
        <w:tc>
          <w:tcPr>
            <w:tcW w:w="11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DBX</w:t>
            </w:r>
          </w:p>
        </w:tc>
        <w:tc>
          <w:tcPr>
            <w:tcW w:w="1540" w:type="dxa"/>
            <w:vAlign w:val="bottom"/>
          </w:tcPr>
          <w:p>
            <w:pPr>
              <w:spacing w:after="0"/>
              <w:rPr>
                <w:sz w:val="10"/>
                <w:szCs w:val="10"/>
                <w:color w:val="auto"/>
              </w:rPr>
            </w:pPr>
          </w:p>
        </w:tc>
        <w:tc>
          <w:tcPr>
            <w:tcW w:w="23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The NASDAQ Stock Market LLC</w:t>
            </w:r>
          </w:p>
        </w:tc>
        <w:tc>
          <w:tcPr>
            <w:tcW w:w="20" w:type="dxa"/>
            <w:vAlign w:val="bottom"/>
          </w:tcPr>
          <w:p>
            <w:pPr>
              <w:spacing w:after="0"/>
              <w:rPr>
                <w:sz w:val="10"/>
                <w:szCs w:val="10"/>
                <w:color w:val="auto"/>
              </w:rPr>
            </w:pPr>
          </w:p>
        </w:tc>
      </w:tr>
      <w:tr>
        <w:trPr>
          <w:trHeight w:val="182"/>
        </w:trPr>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36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(Nasdaq Global Select Market)</w:t>
            </w:r>
          </w:p>
        </w:tc>
      </w:tr>
    </w:tbl>
    <w:p>
      <w:pPr>
        <w:spacing w:after="0" w:line="37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520"/>
          </w:cols>
          <w:pgMar w:left="240" w:top="678" w:right="139" w:bottom="1440" w:gutter="0" w:footer="0" w:header="0"/>
          <w:type w:val="continuous"/>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7"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60"/>
          </w:cols>
          <w:pgMar w:left="240" w:top="551" w:right="399" w:bottom="1440" w:gutter="0" w:footer="0" w:header="0"/>
        </w:sectPr>
      </w:pPr>
    </w:p>
    <w:bookmarkStart w:id="2" w:name="page3"/>
    <w:bookmarkEnd w:id="2"/>
    <w:p>
      <w:pPr>
        <w:ind w:right="340"/>
        <w:spacing w:after="0" w:line="281"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2, 2019, Dropbox, Inc. (“Dropbox”) announced that Bharat Mediratta will join Dropbox as its Chief Technology Officer and Senior Vice President, Platform and Timothy Young will join Dropbox as Senior Vice President and General Manager, Core Dropbox, effective October 22, 2019. Dropbox also announced on October 2, 2019, that Quentin Clark has decided to step down as Chief Technology Officer, effective October 22, 2019. Mr. Clark will remain at Dropbox to help with the transition until January 3, 2020.</w:t>
      </w:r>
    </w:p>
    <w:p>
      <w:pPr>
        <w:sectPr>
          <w:pgSz w:w="11900" w:h="16838" w:orient="portrait"/>
          <w:cols w:equalWidth="0" w:num="1">
            <w:col w:w="11400"/>
          </w:cols>
          <w:pgMar w:left="240" w:top="364" w:right="25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 2019</w:t>
      </w:r>
    </w:p>
    <w:p>
      <w:pPr>
        <w:spacing w:after="0" w:line="200" w:lineRule="exact"/>
        <w:rPr>
          <w:sz w:val="20"/>
          <w:szCs w:val="20"/>
          <w:color w:val="auto"/>
        </w:rPr>
      </w:pPr>
    </w:p>
    <w:p>
      <w:pPr>
        <w:spacing w:after="0" w:line="39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Dropbox, Inc.</w:t>
      </w:r>
    </w:p>
    <w:p>
      <w:pPr>
        <w:spacing w:after="0" w:line="6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 Bart Volkmer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31750</wp:posOffset>
            </wp:positionV>
            <wp:extent cx="2827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56"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Bart Volkmer</w:t>
      </w:r>
    </w:p>
    <w:p>
      <w:pPr>
        <w:spacing w:after="0" w:line="6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General Counsel</w:t>
      </w:r>
    </w:p>
    <w:sectPr>
      <w:pgSz w:w="11900" w:h="16838" w:orient="portrait"/>
      <w:cols w:equalWidth="0" w:num="1">
        <w:col w:w="11260"/>
      </w:cols>
      <w:pgMar w:left="240" w:top="36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2019-12-04T22:20:21Z</dcterms:created>
  <dcterms:modified xsi:type="dcterms:W3CDTF">2019-12-04T22:20:21Z</dcterms:modified>
</cp:coreProperties>
</file>