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48545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4854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Houston Andrew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DROPBOX,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DBX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1800 OWENS STREET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03/02/2026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SUITE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81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Executive Officer</w:t>
      </w:r>
    </w:p>
    <w:p>
      <w:pPr>
        <w:spacing w:after="0" w:line="46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FRANCISCO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94158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w w:val="89"/>
              </w:rPr>
              <w:t>C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109,498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109,498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9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89"/>
              </w:rPr>
              <w:t>(3)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109,498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24.9444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w w:val="98"/>
                <w:vertAlign w:val="superscript"/>
              </w:rPr>
              <w:t>(4)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8,266,666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w w:val="98"/>
                <w:vertAlign w:val="superscript"/>
              </w:rPr>
              <w:t>(5)</w:t>
            </w:r>
          </w:p>
        </w:tc>
        <w:tc>
          <w:tcPr>
            <w:tcW w:w="3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716,728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(6)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444,444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8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B Common 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(8)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03/02/2026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109,498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(8)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A 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109,498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66,507,625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See foonote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w w:val="96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B Common 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(8)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(8)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A Common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7,608,764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7,608,764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67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6"/>
                <w:szCs w:val="6"/>
                <w:color w:val="008000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B Common 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(8)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(8)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A 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500,500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500,500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See foonote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(9)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w w:val="96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109,498 shares of Class B Common Stock were converted into 109,498 shares of Class A Common Stock at the election of the Reporting Person and had no expiration date.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held by the Andrew Houston Revocable Trust u/a/d 9/7/2011, for which Reporting Person serves as trustee.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shares were sold pursuant to a Rule 10b5-1 trading plan adopted by the Reporting Person on March 12, 2025.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This transaction was executed in multiple trades at prices ranging from $24.57 to $25.16.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8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securities are restricted stock awards of Class A Common Stock. The restricted stock awards vest over a period of up to ten years following the closing of the Issuer's initial public offering of Class A Common Stock, or March 27, 2028, upon achievement of service-based, market-based, and liquidity event-related performance vesting conditions.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held by the Houston Remainder Trust u/a/d 12/30/2010, for which the Reporting Person serves as trustee.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held by The Erin Yu Houston Revocable Trust u/a/d 1/18/2024, for which the Reporting Person's spouse serves as trustee.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 Issuer's Class B Common Stock is convertible into the Issuer's Class A Common Stock on a one-for-one basis at the Reporting Person's election and has no expiration date.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held by the Houston 2012 Irrevocable Children's Trust u/a/d 4/12/2012, for which Reporting Person serves as trustee.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03/04/2026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34563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2026-03-04T16:36:39Z</dcterms:created>
  <dcterms:modified xsi:type="dcterms:W3CDTF">2026-03-04T16:36:39Z</dcterms:modified>
</cp:coreProperties>
</file>