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February 20, 2025</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5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968" w:right="239" w:bottom="1440" w:gutter="0" w:footer="0" w:header="0"/>
        </w:sectPr>
      </w:pPr>
    </w:p>
    <w:p>
      <w:pPr>
        <w:spacing w:after="0" w:line="2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7" w:lineRule="exact"/>
        <w:rPr>
          <w:sz w:val="24"/>
          <w:szCs w:val="24"/>
          <w:color w:val="auto"/>
        </w:rPr>
      </w:pPr>
    </w:p>
    <w:p>
      <w:pPr>
        <w:sectPr>
          <w:pgSz w:w="11900" w:h="16838" w:orient="portrait"/>
          <w:cols w:equalWidth="0" w:num="3">
            <w:col w:w="3860" w:space="720"/>
            <w:col w:w="2200" w:space="720"/>
            <w:col w:w="3840"/>
          </w:cols>
          <w:pgMar w:left="320" w:top="968"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968"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64"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90805</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61"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77"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306"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658495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68"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4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On February 20, 2025, Dropbox, Inc. (“Dropbox” or the "Company") issued a press release and will hold a conference call announcing its financial results for the quarter and fiscal year ended December 31, 2024. A copy of the press release is attached as Exhibit 99.1 to this current report on Form 8-K and is incorporated by reference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24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On February 20, 2025,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7"/>
          <w:szCs w:val="17"/>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9"/>
        </w:trPr>
        <w:tc>
          <w:tcPr>
            <w:tcW w:w="20" w:type="dxa"/>
            <w:vAlign w:val="bottom"/>
          </w:tcPr>
          <w:p>
            <w:pPr>
              <w:spacing w:after="0"/>
              <w:rPr>
                <w:sz w:val="15"/>
                <w:szCs w:val="15"/>
                <w:color w:val="auto"/>
              </w:rPr>
            </w:pPr>
          </w:p>
        </w:tc>
        <w:tc>
          <w:tcPr>
            <w:tcW w:w="1080" w:type="dxa"/>
            <w:vAlign w:val="bottom"/>
            <w:tcBorders>
              <w:top w:val="single" w:sz="8" w:color="auto"/>
            </w:tcBorders>
          </w:tcPr>
          <w:p>
            <w:pPr>
              <w:jc w:val="right"/>
              <w:ind w:right="292"/>
              <w:spacing w:after="0" w:line="17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60" w:type="dxa"/>
            <w:vAlign w:val="bottom"/>
            <w:tcBorders>
              <w:top w:val="single" w:sz="8" w:color="auto"/>
            </w:tcBorders>
            <w:gridSpan w:val="2"/>
          </w:tcPr>
          <w:p>
            <w:pPr>
              <w:spacing w:after="0" w:line="179" w:lineRule="exact"/>
              <w:rPr>
                <w:sz w:val="20"/>
                <w:szCs w:val="20"/>
                <w:color w:val="auto"/>
              </w:rPr>
            </w:pPr>
            <w:r>
              <w:rPr>
                <w:rFonts w:ascii="Times New Roman" w:cs="Times New Roman" w:eastAsia="Times New Roman" w:hAnsi="Times New Roman"/>
                <w:sz w:val="18"/>
                <w:szCs w:val="18"/>
                <w:color w:val="0000FF"/>
              </w:rPr>
              <w:t>Press Release entitled "Dropbox Announces Fourth Quarter and Fiscal 2024 Results" dated February 20, 2025</w:t>
            </w:r>
          </w:p>
        </w:tc>
        <w:tc>
          <w:tcPr>
            <w:tcW w:w="20" w:type="dxa"/>
            <w:vAlign w:val="bottom"/>
          </w:tcPr>
          <w:p>
            <w:pPr>
              <w:spacing w:after="0"/>
              <w:rPr>
                <w:sz w:val="15"/>
                <w:szCs w:val="15"/>
                <w:color w:val="auto"/>
              </w:rPr>
            </w:pPr>
          </w:p>
        </w:tc>
      </w:tr>
      <w:tr>
        <w:trPr>
          <w:trHeight w:val="1207"/>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0" w:type="dxa"/>
            <w:vAlign w:val="bottom"/>
            <w:tcBorders>
              <w:top w:val="single" w:sz="8" w:color="0000FF"/>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20, 2025</w:t>
      </w:r>
    </w:p>
    <w:p>
      <w:pPr>
        <w:spacing w:after="0" w:line="34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11430</wp:posOffset>
            </wp:positionV>
            <wp:extent cx="278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Timothy J. Regan</w:t>
      </w:r>
    </w:p>
    <w:p>
      <w:pPr>
        <w:spacing w:after="0" w:line="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80"/>
          </w:cols>
          <w:pgMar w:left="320" w:top="875" w:right="499" w:bottom="1440" w:gutter="0" w:footer="0" w:header="0"/>
        </w:sectPr>
      </w:pPr>
    </w:p>
    <w:bookmarkStart w:id="3" w:name="page4"/>
    <w:bookmarkEnd w:id="3"/>
    <w:p>
      <w:pPr>
        <w:ind w:left="3640"/>
        <w:spacing w:after="0"/>
        <w:rPr>
          <w:sz w:val="20"/>
          <w:szCs w:val="20"/>
          <w:color w:val="auto"/>
        </w:rPr>
      </w:pPr>
      <w:r>
        <w:rPr>
          <w:rFonts w:ascii="Times New Roman" w:cs="Times New Roman" w:eastAsia="Times New Roman" w:hAnsi="Times New Roman"/>
          <w:sz w:val="18"/>
          <w:szCs w:val="18"/>
          <w:b w:val="1"/>
          <w:bCs w:val="1"/>
          <w:color w:val="auto"/>
        </w:rPr>
        <w:t>Dropbox Announces Fourth Quarter and Fiscal 2024 Results</w:t>
      </w:r>
    </w:p>
    <w:p>
      <w:pPr>
        <w:spacing w:after="0" w:line="246" w:lineRule="exact"/>
        <w:rPr>
          <w:sz w:val="20"/>
          <w:szCs w:val="20"/>
          <w:color w:val="auto"/>
        </w:rPr>
      </w:pPr>
    </w:p>
    <w:p>
      <w:pPr>
        <w:jc w:val="center"/>
        <w:ind w:left="340" w:right="1300"/>
        <w:spacing w:after="0" w:line="260" w:lineRule="auto"/>
        <w:rPr>
          <w:sz w:val="20"/>
          <w:szCs w:val="20"/>
          <w:color w:val="auto"/>
        </w:rPr>
      </w:pPr>
      <w:r>
        <w:rPr>
          <w:rFonts w:ascii="Times New Roman" w:cs="Times New Roman" w:eastAsia="Times New Roman" w:hAnsi="Times New Roman"/>
          <w:sz w:val="18"/>
          <w:szCs w:val="18"/>
          <w:color w:val="auto"/>
        </w:rPr>
        <w:t>Fourth Quarter Revenue of $643.6 Million, up 1.4% year-over-year; on a constant currency basis, up 1.1% year-over-year GAAP Operating Margin of 13.7% and Non-GAAP Operating Margin of 36.9% Net Cash Provided by Operating Activities of $213.8 Million and Free Cash Flow of $210.5 Million</w:t>
      </w:r>
    </w:p>
    <w:p>
      <w:pPr>
        <w:spacing w:after="0" w:line="203" w:lineRule="exact"/>
        <w:rPr>
          <w:sz w:val="20"/>
          <w:szCs w:val="20"/>
          <w:color w:val="auto"/>
        </w:rPr>
      </w:pPr>
    </w:p>
    <w:p>
      <w:pPr>
        <w:jc w:val="center"/>
        <w:ind w:left="340" w:right="1440"/>
        <w:spacing w:after="0" w:line="260" w:lineRule="auto"/>
        <w:rPr>
          <w:sz w:val="20"/>
          <w:szCs w:val="20"/>
          <w:color w:val="auto"/>
        </w:rPr>
      </w:pPr>
      <w:r>
        <w:rPr>
          <w:rFonts w:ascii="Times New Roman" w:cs="Times New Roman" w:eastAsia="Times New Roman" w:hAnsi="Times New Roman"/>
          <w:sz w:val="18"/>
          <w:szCs w:val="18"/>
          <w:color w:val="auto"/>
        </w:rPr>
        <w:t>Fiscal 2024 Revenue of $2.548 Billion, up 1.9% year-over-year; on a constant currency basis, up 1.7% year-over-year GAAP Operating Margin of 19.1% and Non-GAAP Operating Margin of 36.4% Net Cash Provided by Operating Activities of $894.1 Million and Free Cash Flow of $871.6 Million</w:t>
      </w:r>
    </w:p>
    <w:p>
      <w:pPr>
        <w:spacing w:after="0" w:line="200" w:lineRule="exact"/>
        <w:rPr>
          <w:sz w:val="20"/>
          <w:szCs w:val="20"/>
          <w:color w:val="auto"/>
        </w:rPr>
      </w:pPr>
    </w:p>
    <w:p>
      <w:pPr>
        <w:spacing w:after="0" w:line="240"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SAN FRANCISCO, Calif. </w:t>
      </w:r>
      <w:r>
        <w:rPr>
          <w:rFonts w:ascii="Times New Roman" w:cs="Times New Roman" w:eastAsia="Times New Roman" w:hAnsi="Times New Roman"/>
          <w:sz w:val="18"/>
          <w:szCs w:val="18"/>
          <w:color w:val="auto"/>
        </w:rPr>
        <w:t>- February 20, 2025 - Dropbox, Inc. (NASDAQ: DBX), today announced financial results for its fourth quarter and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2024.</w:t>
      </w:r>
    </w:p>
    <w:p>
      <w:pPr>
        <w:spacing w:after="0" w:line="18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delivered solid results in 2024 and made a lot of progress bringing our AI-powered product, Dash for Business, to market and restructuring our core business to be even more efficient,” said Dropbox Co-Founder and Chief Executive Officer Drew Houston. “Looking ahead to 2025, we’ll continue with our strategy of scaling Dash, simplifying and strengthening our profitable core business, and integrating Dash and FSS to deliver even greater value to our customers. While still early, the positive feedback from our Dash users has been encouraging, validating the need for practical AI-powered tools that solve real customer pain-points in finding and securing all their content.”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Fiscal 2024 Results</w:t>
      </w:r>
    </w:p>
    <w:p>
      <w:pPr>
        <w:spacing w:after="0" w:line="246" w:lineRule="exact"/>
        <w:rPr>
          <w:sz w:val="20"/>
          <w:szCs w:val="20"/>
          <w:color w:val="auto"/>
        </w:rPr>
      </w:pPr>
    </w:p>
    <w:p>
      <w:pPr>
        <w:ind w:left="640" w:right="300" w:hanging="316"/>
        <w:spacing w:after="0" w:line="288"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$643.6 million, an increase of 1.4% from the same period last year. On a constant currency basis, year-over-year growth would have been 1.1%.</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Total revenue increased $4.8 million quarter-over-quarter.</w:t>
      </w:r>
    </w:p>
    <w:p>
      <w:pPr>
        <w:spacing w:after="0" w:line="111" w:lineRule="exact"/>
        <w:rPr>
          <w:rFonts w:ascii="Times New Roman" w:cs="Times New Roman" w:eastAsia="Times New Roman" w:hAnsi="Times New Roman"/>
          <w:sz w:val="18"/>
          <w:szCs w:val="18"/>
          <w:color w:val="auto"/>
        </w:rPr>
      </w:pPr>
    </w:p>
    <w:p>
      <w:pPr>
        <w:ind w:left="640" w:right="160" w:hanging="316"/>
        <w:spacing w:after="0" w:line="288"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ARR was $2.574 billion, an increase of 2.0% from the same period last year. On a constant currency basis, year-over-year growth would have been 1.3%.</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Total ARR decreased $4.8 million quarter-over-quarter.</w:t>
      </w:r>
    </w:p>
    <w:p>
      <w:pPr>
        <w:spacing w:after="0" w:line="111" w:lineRule="exact"/>
        <w:rPr>
          <w:rFonts w:ascii="Times New Roman" w:cs="Times New Roman" w:eastAsia="Times New Roman" w:hAnsi="Times New Roman"/>
          <w:sz w:val="18"/>
          <w:szCs w:val="18"/>
          <w:color w:val="auto"/>
        </w:rPr>
      </w:pPr>
    </w:p>
    <w:p>
      <w:pPr>
        <w:ind w:left="640" w:right="600" w:hanging="316"/>
        <w:spacing w:after="0" w:line="274"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users was 18.22 million, as compared to 18.12 million for the same period last year. Average revenue per paying user was $140.06, as compared to $138.83 for the same period last year. Paying users decreased by 15,000 paying users quarter-over-quarter.</w:t>
      </w:r>
    </w:p>
    <w:p>
      <w:pPr>
        <w:spacing w:after="0" w:line="190" w:lineRule="exact"/>
        <w:rPr>
          <w:rFonts w:ascii="Times New Roman" w:cs="Times New Roman" w:eastAsia="Times New Roman" w:hAnsi="Times New Roman"/>
          <w:sz w:val="18"/>
          <w:szCs w:val="18"/>
          <w:color w:val="auto"/>
        </w:rPr>
      </w:pPr>
    </w:p>
    <w:p>
      <w:pPr>
        <w:ind w:left="640" w:right="20" w:hanging="316"/>
        <w:spacing w:after="0" w:line="262"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81.2%, as compared to 80.8% for the same period last year. Non-GAAP gross margin was 83.1%, as compared to 82.3% for the same period last year. Effective January 1, 2024, the Company changed the estimate of the useful lives of certain infrastructure server and component assets, which are included in property and equipment, net and are depreciated through cost of revenue, from four to five years. The effect of this change in estimate during the three months ended December 31, 2024 was a reduction in depreciation expense of $4.3 million.</w:t>
      </w:r>
      <w:r>
        <w:rPr>
          <w:rFonts w:ascii="Times New Roman" w:cs="Times New Roman" w:eastAsia="Times New Roman" w:hAnsi="Times New Roman"/>
          <w:sz w:val="22"/>
          <w:szCs w:val="22"/>
          <w:color w:val="auto"/>
          <w:vertAlign w:val="superscript"/>
        </w:rPr>
        <w:t>(3)</w:t>
      </w:r>
    </w:p>
    <w:p>
      <w:pPr>
        <w:spacing w:after="0" w:line="133" w:lineRule="exact"/>
        <w:rPr>
          <w:rFonts w:ascii="Times New Roman" w:cs="Times New Roman" w:eastAsia="Times New Roman" w:hAnsi="Times New Roman"/>
          <w:sz w:val="18"/>
          <w:szCs w:val="18"/>
          <w:color w:val="auto"/>
        </w:rPr>
      </w:pPr>
    </w:p>
    <w:p>
      <w:pPr>
        <w:ind w:left="640" w:right="80" w:hanging="316"/>
        <w:spacing w:after="0" w:line="253"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13.7%, as compared to 42.1% for the same period last year, partially due to $47.2 million in expenses related to the Company's reduction in workforce, such as severance, benefits and other related items, which were incurred in the fourth quarter of 2024. Additionally, in the fourth quarter of 2023, the Company recorded a net gain on real estate assets of $158.8 million related to the partial termination of the Company's lease for its San Francisco, California corporate headquarters. Non-GAAP operating margin was 36.9%, as compared to 32.2% for the same period last year.</w:t>
      </w:r>
    </w:p>
    <w:p>
      <w:pPr>
        <w:spacing w:after="0" w:line="209" w:lineRule="exact"/>
        <w:rPr>
          <w:rFonts w:ascii="Times New Roman" w:cs="Times New Roman" w:eastAsia="Times New Roman" w:hAnsi="Times New Roman"/>
          <w:sz w:val="18"/>
          <w:szCs w:val="18"/>
          <w:color w:val="auto"/>
        </w:rPr>
      </w:pPr>
    </w:p>
    <w:p>
      <w:pPr>
        <w:ind w:left="640" w:hanging="316"/>
        <w:spacing w:after="0" w:line="260"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was $102.8 million, as compared to $227.3 million for the same period last year, with the decrease due to expenses related to the reduction in workforce in the fourth quarter of 2024 and the aforementioned net gain on real estate assets recorded in the fourth quarter of 2023. Non-GAAP net income was $222.6 million, as compared to $170.8 million for the same period last year.</w:t>
      </w:r>
    </w:p>
    <w:p>
      <w:pPr>
        <w:spacing w:after="0" w:line="202" w:lineRule="exact"/>
        <w:rPr>
          <w:rFonts w:ascii="Times New Roman" w:cs="Times New Roman" w:eastAsia="Times New Roman" w:hAnsi="Times New Roman"/>
          <w:sz w:val="18"/>
          <w:szCs w:val="18"/>
          <w:color w:val="auto"/>
        </w:rPr>
      </w:pPr>
    </w:p>
    <w:p>
      <w:pPr>
        <w:jc w:val="both"/>
        <w:ind w:left="640" w:right="40" w:hanging="316"/>
        <w:spacing w:after="0" w:line="253"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$213.8 million, as compared to $200.3 million for the same period last year. Free cash flow was $210.5 million, as compared to $190.3 million for the same period last year. Cash flows in the fourth quarter of 2024 included $47.2 million of expenditures relating to the reduction in workforce. For the fourth</w:t>
      </w:r>
    </w:p>
    <w:p>
      <w:pPr>
        <w:spacing w:after="0" w:line="1" w:lineRule="exact"/>
        <w:rPr>
          <w:rFonts w:ascii="Times New Roman" w:cs="Times New Roman" w:eastAsia="Times New Roman" w:hAnsi="Times New Roman"/>
          <w:sz w:val="18"/>
          <w:szCs w:val="18"/>
          <w:color w:val="auto"/>
        </w:rPr>
      </w:pPr>
    </w:p>
    <w:p>
      <w:pPr>
        <w:ind w:left="640" w:right="21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of 2023, the Company paid $28.1 million for the aforementioned partial termination of the Company's lease for its San Francisco, California corporate headquarters.</w:t>
      </w:r>
    </w:p>
    <w:p>
      <w:pPr>
        <w:sectPr>
          <w:pgSz w:w="11900" w:h="16838" w:orient="portrait"/>
          <w:cols w:equalWidth="0" w:num="1">
            <w:col w:w="11240"/>
          </w:cols>
          <w:pgMar w:left="320" w:top="875" w:right="339" w:bottom="1440" w:gutter="0" w:footer="0" w:header="0"/>
        </w:sectPr>
      </w:pPr>
    </w:p>
    <w:bookmarkStart w:id="4" w:name="page5"/>
    <w:bookmarkEnd w:id="4"/>
    <w:p>
      <w:pPr>
        <w:ind w:left="640" w:right="80" w:hanging="316"/>
        <w:spacing w:after="0" w:line="28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net income per share attributable to common stockholders was $0.34, as compared to $0.66 in the same period last year. Non-GAAP diluted net income per share attributable to common stockholders was $0.73, as compared to $0.50 in the same period last year.</w:t>
      </w:r>
      <w:r>
        <w:rPr>
          <w:rFonts w:ascii="Times New Roman" w:cs="Times New Roman" w:eastAsia="Times New Roman" w:hAnsi="Times New Roman"/>
          <w:sz w:val="22"/>
          <w:szCs w:val="22"/>
          <w:color w:val="auto"/>
          <w:vertAlign w:val="superscript"/>
        </w:rPr>
        <w:t>(4)</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ended at $1,594.2 million.</w:t>
      </w:r>
    </w:p>
    <w:p>
      <w:pPr>
        <w:spacing w:after="0" w:line="244" w:lineRule="exact"/>
        <w:rPr>
          <w:rFonts w:ascii="Times New Roman" w:cs="Times New Roman" w:eastAsia="Times New Roman" w:hAnsi="Times New Roman"/>
          <w:sz w:val="18"/>
          <w:szCs w:val="18"/>
          <w:color w:val="auto"/>
        </w:rPr>
      </w:pPr>
    </w:p>
    <w:p>
      <w:pPr>
        <w:ind w:left="640" w:hanging="316"/>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the Company entered into a $2.0 billion private credit and guaranty agreement. This consisted of $1.0 billion in initial term loans that mature in 2029 and $1.0 billion in delayed draw term loan commitments that may be borrowed through 2026. After deducting the net costs of certain expenses, total net proceeds from term loan facility was $949.9 million.</w:t>
      </w:r>
    </w:p>
    <w:p>
      <w:pPr>
        <w:spacing w:after="0" w:line="20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the Company repurchased approximately 12.5 million shares for $350.4 million.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Authorization</w:t>
      </w:r>
    </w:p>
    <w:p>
      <w:pPr>
        <w:spacing w:after="0" w:line="27" w:lineRule="exact"/>
        <w:rPr>
          <w:sz w:val="20"/>
          <w:szCs w:val="20"/>
          <w:color w:val="auto"/>
        </w:rPr>
      </w:pPr>
    </w:p>
    <w:p>
      <w:pPr>
        <w:ind w:left="640" w:right="60" w:hanging="316"/>
        <w:spacing w:after="0" w:line="24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2024, the Company announced the authorization of a new share repurchase program for the purchase of an additional $1.2 billion of its Class A common stock. Repurchases will be made from time-to-time, subject to general business and market conditions, other investment opportunities, and applicable legal requirements. Repurchases may be made through open market purchases or in privately negotiated transactions, including through Rule 10b5-1 plans.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Fiscal 2024 Results</w:t>
      </w:r>
    </w:p>
    <w:p>
      <w:pPr>
        <w:spacing w:after="0" w:line="243" w:lineRule="exact"/>
        <w:rPr>
          <w:sz w:val="20"/>
          <w:szCs w:val="20"/>
          <w:color w:val="auto"/>
        </w:rPr>
      </w:pPr>
    </w:p>
    <w:p>
      <w:pPr>
        <w:ind w:left="640" w:hanging="316"/>
        <w:spacing w:after="0"/>
        <w:tabs>
          <w:tab w:leader="none" w:pos="6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was $2.548 billion, an increase of 1.9% year over year. On a constant currency basis, year-over-year growth would have been 1.7%.</w:t>
      </w:r>
      <w:r>
        <w:rPr>
          <w:rFonts w:ascii="Times New Roman" w:cs="Times New Roman" w:eastAsia="Times New Roman" w:hAnsi="Times New Roman"/>
          <w:sz w:val="21"/>
          <w:szCs w:val="21"/>
          <w:color w:val="auto"/>
          <w:vertAlign w:val="superscript"/>
        </w:rPr>
        <w:t>(1)</w:t>
      </w:r>
    </w:p>
    <w:p>
      <w:pPr>
        <w:spacing w:after="0" w:line="212"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paying user was $140.23, as compared to $139.38 in the prior year.</w:t>
      </w:r>
    </w:p>
    <w:p>
      <w:pPr>
        <w:spacing w:after="0" w:line="244" w:lineRule="exact"/>
        <w:rPr>
          <w:rFonts w:ascii="Times New Roman" w:cs="Times New Roman" w:eastAsia="Times New Roman" w:hAnsi="Times New Roman"/>
          <w:sz w:val="18"/>
          <w:szCs w:val="18"/>
          <w:color w:val="auto"/>
        </w:rPr>
      </w:pPr>
    </w:p>
    <w:p>
      <w:pPr>
        <w:ind w:left="640" w:right="220" w:hanging="316"/>
        <w:spacing w:after="0" w:line="274" w:lineRule="auto"/>
        <w:tabs>
          <w:tab w:leader="none" w:pos="63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82.5%, as compared to 80.9% in the prior year. Non-GAAP gross margin was 84.0%, as compared to 82.5% in the prior year.</w:t>
      </w:r>
    </w:p>
    <w:p>
      <w:pPr>
        <w:spacing w:after="0" w:line="190"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19.1%, as compared to 21.5% in the prior year. Non-GAAP operating margin was 36.4%, as compared to 32.8% in the prior year.</w:t>
      </w:r>
    </w:p>
    <w:p>
      <w:pPr>
        <w:spacing w:after="0" w:line="190" w:lineRule="exact"/>
        <w:rPr>
          <w:rFonts w:ascii="Times New Roman" w:cs="Times New Roman" w:eastAsia="Times New Roman" w:hAnsi="Times New Roman"/>
          <w:sz w:val="18"/>
          <w:szCs w:val="18"/>
          <w:color w:val="auto"/>
        </w:rPr>
      </w:pPr>
    </w:p>
    <w:p>
      <w:pPr>
        <w:ind w:left="640" w:right="60" w:hanging="316"/>
        <w:spacing w:after="0" w:line="274" w:lineRule="auto"/>
        <w:tabs>
          <w:tab w:leader="none" w:pos="63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was $452.3 million, as compared to $453.6 million in the prior year. Non-GAAP net income was $803.8 million, as compared to $685.0 million in the prior year.</w:t>
      </w:r>
    </w:p>
    <w:p>
      <w:pPr>
        <w:spacing w:after="0" w:line="190"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$894.1 million as compared to $783.7 million in the prior year. Free cash flow was $871.6 million as compared to $759.4 million in the prior year.</w:t>
      </w:r>
    </w:p>
    <w:p>
      <w:pPr>
        <w:spacing w:after="0" w:line="190" w:lineRule="exact"/>
        <w:rPr>
          <w:rFonts w:ascii="Times New Roman" w:cs="Times New Roman" w:eastAsia="Times New Roman" w:hAnsi="Times New Roman"/>
          <w:sz w:val="18"/>
          <w:szCs w:val="18"/>
          <w:color w:val="auto"/>
        </w:rPr>
      </w:pPr>
    </w:p>
    <w:p>
      <w:pPr>
        <w:ind w:left="640" w:right="80" w:hanging="316"/>
        <w:spacing w:after="0" w:line="288" w:lineRule="auto"/>
        <w:tabs>
          <w:tab w:leader="none" w:pos="63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net income per share attributable to common stockholders was $1.40, as compared to $1.31 in the prior year. Non-GAAP diluted net income per share attributable to common stockholders was $2.49, as compared to $1.98 in the prior year.</w:t>
      </w:r>
      <w:r>
        <w:rPr>
          <w:rFonts w:ascii="Times New Roman" w:cs="Times New Roman" w:eastAsia="Times New Roman" w:hAnsi="Times New Roman"/>
          <w:sz w:val="22"/>
          <w:szCs w:val="22"/>
          <w:color w:val="auto"/>
          <w:vertAlign w:val="superscript"/>
        </w:rPr>
        <w:t>(5)</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fiscal year ended December 31, 2024, the Company repurchased approximately 49.5 million shares for $1.2 billion.</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60" w:hanging="154"/>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constant currency revenue growth rates by applying the prior period weighted average exchange rates to current period results.</w:t>
      </w:r>
    </w:p>
    <w:p>
      <w:pPr>
        <w:spacing w:after="0" w:line="216" w:lineRule="exact"/>
        <w:rPr>
          <w:rFonts w:ascii="Times New Roman" w:cs="Times New Roman" w:eastAsia="Times New Roman" w:hAnsi="Times New Roman"/>
          <w:sz w:val="19"/>
          <w:szCs w:val="19"/>
          <w:color w:val="auto"/>
          <w:vertAlign w:val="superscript"/>
        </w:rPr>
      </w:pPr>
    </w:p>
    <w:p>
      <w:pPr>
        <w:ind w:right="60" w:firstLine="6"/>
        <w:spacing w:after="0" w:line="281" w:lineRule="auto"/>
        <w:tabs>
          <w:tab w:leader="none" w:pos="146"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spacing w:after="0" w:line="216" w:lineRule="exact"/>
        <w:rPr>
          <w:rFonts w:ascii="Times New Roman" w:cs="Times New Roman" w:eastAsia="Times New Roman" w:hAnsi="Times New Roman"/>
          <w:sz w:val="18"/>
          <w:szCs w:val="18"/>
          <w:color w:val="auto"/>
          <w:vertAlign w:val="superscript"/>
        </w:rPr>
      </w:pPr>
    </w:p>
    <w:p>
      <w:pPr>
        <w:ind w:right="20" w:firstLine="6"/>
        <w:spacing w:after="0" w:line="229" w:lineRule="auto"/>
        <w:tabs>
          <w:tab w:leader="none" w:pos="17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impact from the change in our estimate was calculated based on assets that existed as of the effective date of the change and applying the revised estimated useful lives prospectively.</w:t>
      </w:r>
    </w:p>
    <w:p>
      <w:pPr>
        <w:sectPr>
          <w:pgSz w:w="11900" w:h="16838" w:orient="portrait"/>
          <w:cols w:equalWidth="0" w:num="1">
            <w:col w:w="11140"/>
          </w:cols>
          <w:pgMar w:left="320" w:top="877" w:right="439" w:bottom="1440" w:gutter="0" w:footer="0" w:header="0"/>
        </w:sectPr>
      </w:pPr>
    </w:p>
    <w:bookmarkStart w:id="5" w:name="page6"/>
    <w:bookmarkEnd w:id="5"/>
    <w:p>
      <w:pPr>
        <w:ind w:left="-6" w:firstLine="6"/>
        <w:spacing w:after="0" w:line="243" w:lineRule="auto"/>
        <w:tabs>
          <w:tab w:leader="none" w:pos="156"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GAAP and Non-GAAP diluted net income per share attributable to common stockholders is calculated based upon 306.8 million and 343.9 million diluted weighted-average shares of common stock for the three months ended December 31, 2024 and 2023, respectively.</w:t>
      </w:r>
    </w:p>
    <w:p>
      <w:pPr>
        <w:spacing w:after="0" w:line="227" w:lineRule="exact"/>
        <w:rPr>
          <w:rFonts w:ascii="Times New Roman" w:cs="Times New Roman" w:eastAsia="Times New Roman" w:hAnsi="Times New Roman"/>
          <w:sz w:val="20"/>
          <w:szCs w:val="20"/>
          <w:color w:val="auto"/>
          <w:vertAlign w:val="superscript"/>
        </w:rPr>
      </w:pPr>
    </w:p>
    <w:p>
      <w:pPr>
        <w:ind w:left="-6" w:right="20" w:firstLine="6"/>
        <w:spacing w:after="0" w:line="286" w:lineRule="auto"/>
        <w:tabs>
          <w:tab w:leader="none" w:pos="14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GAAP and Non-GAAP diluted net income per share attributable to common stockholders is calculated based upon 323.4 million and 345.6 million diluted weighted-average shares of common stock for the fiscal year ended December 31, </w:t>
      </w:r>
      <w:r>
        <w:rPr>
          <w:rFonts w:ascii="Times New Roman" w:cs="Times New Roman" w:eastAsia="Times New Roman" w:hAnsi="Times New Roman"/>
          <w:sz w:val="15"/>
          <w:szCs w:val="15"/>
          <w:color w:val="auto"/>
        </w:rPr>
        <w:t>2024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5"/>
          <w:szCs w:val="15"/>
          <w:color w:val="auto"/>
        </w:rPr>
        <w:t>2023</w:t>
      </w:r>
      <w:r>
        <w:rPr>
          <w:rFonts w:ascii="Times New Roman" w:cs="Times New Roman" w:eastAsia="Times New Roman" w:hAnsi="Times New Roman"/>
          <w:sz w:val="14"/>
          <w:szCs w:val="14"/>
          <w:color w:val="auto"/>
        </w:rPr>
        <w:t>, respectively.</w:t>
      </w:r>
    </w:p>
    <w:p>
      <w:pPr>
        <w:sectPr>
          <w:pgSz w:w="11900" w:h="16838" w:orient="portrait"/>
          <w:cols w:equalWidth="0" w:num="1">
            <w:col w:w="11194"/>
          </w:cols>
          <w:pgMar w:left="326" w:top="882"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4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 xml:space="preserve">Dropbox will provide forward-looking guidance in connection with this quarterly earnings announcement on its conference call, webcast, and on its investor relations website at </w:t>
      </w:r>
      <w:r>
        <w:rPr>
          <w:rFonts w:ascii="Times New Roman" w:cs="Times New Roman" w:eastAsia="Times New Roman" w:hAnsi="Times New Roman"/>
          <w:sz w:val="18"/>
          <w:szCs w:val="18"/>
          <w:u w:val="single" w:color="auto"/>
          <w:color w:val="auto"/>
        </w:rPr>
        <w:t>http://investors.dropbox.com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4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Dropbox plans to host a conference call today to review its fourth quarter financial results and to discuss its financial outlook. This call is scheduled to begin at 2:00 p.m. PT / 5:00 p.m. ET and can be accessed by using the web link at http://investors.dropbox.com.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Dropbox</w:t>
      </w:r>
    </w:p>
    <w:p>
      <w:pPr>
        <w:spacing w:after="0" w:line="2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 w:cs="Times New Roman" w:eastAsia="Times New Roman" w:hAnsi="Times New Roman"/>
          <w:sz w:val="18"/>
          <w:szCs w:val="18"/>
          <w:u w:val="single" w:color="auto"/>
          <w:color w:val="auto"/>
        </w:rPr>
        <w:t>http://dropbox.com</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4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including, among other things, our expectations regarding distributed work and artificial intelligence and machine learning trends, related market opportunities and our ability to capitalize on those opportunities, as well as our ability to improve shareholder returns.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and free cash flow;</w:t>
      </w:r>
    </w:p>
    <w:p>
      <w:pPr>
        <w:spacing w:after="0" w:line="8" w:lineRule="exact"/>
        <w:rPr>
          <w:sz w:val="20"/>
          <w:szCs w:val="20"/>
          <w:color w:val="auto"/>
        </w:rPr>
      </w:pPr>
    </w:p>
    <w:p>
      <w:pPr>
        <w:ind w:left="300" w:hanging="294"/>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 (vii) our liability or other potential legal, regulatory, or reputational consequences of any unauthorized</w:t>
      </w:r>
    </w:p>
    <w:p>
      <w:pPr>
        <w:spacing w:after="0" w:line="5" w:lineRule="exact"/>
        <w:rPr>
          <w:rFonts w:ascii="Times New Roman" w:cs="Times New Roman" w:eastAsia="Times New Roman" w:hAnsi="Times New Roman"/>
          <w:sz w:val="18"/>
          <w:szCs w:val="18"/>
          <w:color w:val="auto"/>
        </w:rPr>
      </w:pPr>
    </w:p>
    <w:p>
      <w:pPr>
        <w:ind w:right="2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ability to manage our growth or plan for future growth; (xv) our various acquisitions of businesses and the potential of such acquisitions to require significant management attention, disrupt our business, or dilute stockholder value; (xvi) our ability to attract, retain, integrate, and manage key and other highly qualified personnel, including as a result of our reduction in workforce announced in October 2024 or our Virtual First model with an increasingly distributed workforce; (xvii) our ability to realize the intended benefits of our workforce reduction announced in October 2024, (xviii) our capital allocation plans with respect to our stock repurchase program and other investments; and (xix)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September 30, 2024. Additional information will be made available in our annual report on Form 10-K for the year ended December 31, 2024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w:t>
      </w:r>
    </w:p>
    <w:p>
      <w:pPr>
        <w:sectPr>
          <w:pgSz w:w="11900" w:h="16838" w:orient="portrait"/>
          <w:cols w:equalWidth="0" w:num="1">
            <w:col w:w="11240"/>
          </w:cols>
          <w:pgMar w:left="320" w:top="8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obligation to, and does not currently intend to, update any such forward-looking statements after the date of this release, except as required by applicable law.</w:t>
      </w:r>
    </w:p>
    <w:p>
      <w:pPr>
        <w:sectPr>
          <w:pgSz w:w="11900" w:h="16838" w:orient="portrait"/>
          <w:cols w:equalWidth="0" w:num="1">
            <w:col w:w="11140"/>
          </w:cols>
          <w:pgMar w:left="320" w:top="877" w:right="439" w:bottom="1440" w:gutter="0" w:footer="0" w:header="0"/>
        </w:sectPr>
      </w:pPr>
    </w:p>
    <w:bookmarkStart w:id="8" w:name="page9"/>
    <w:bookmarkEnd w:id="8"/>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Operations</w:t>
      </w:r>
    </w:p>
    <w:p>
      <w:pPr>
        <w:spacing w:after="0" w:line="2"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89"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2960" w:type="dxa"/>
            <w:vAlign w:val="bottom"/>
            <w:gridSpan w:val="4"/>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80" w:type="dxa"/>
            <w:vAlign w:val="bottom"/>
            <w:gridSpan w:val="4"/>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0" w:type="dxa"/>
            <w:vAlign w:val="bottom"/>
          </w:tcPr>
          <w:p>
            <w:pPr>
              <w:spacing w:after="0"/>
              <w:rPr>
                <w:sz w:val="1"/>
                <w:szCs w:val="1"/>
                <w:color w:val="auto"/>
              </w:rPr>
            </w:pPr>
          </w:p>
        </w:tc>
      </w:tr>
      <w:tr>
        <w:trPr>
          <w:trHeight w:val="226"/>
        </w:trPr>
        <w:tc>
          <w:tcPr>
            <w:tcW w:w="3940" w:type="dxa"/>
            <w:vAlign w:val="bottom"/>
            <w:tcBorders>
              <w:bottom w:val="single" w:sz="8" w:color="CCEEFF"/>
            </w:tcBorders>
          </w:tcPr>
          <w:p>
            <w:pPr>
              <w:ind w:left="240"/>
              <w:spacing w:after="0" w:line="225"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2"/>
                <w:szCs w:val="22"/>
                <w:color w:val="auto"/>
                <w:vertAlign w:val="superscript"/>
              </w:rPr>
              <w:t>(1)(2)</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0" w:type="dxa"/>
            <w:vAlign w:val="bottom"/>
          </w:tcPr>
          <w:p>
            <w:pPr>
              <w:spacing w:after="0"/>
              <w:rPr>
                <w:sz w:val="1"/>
                <w:szCs w:val="1"/>
                <w:color w:val="auto"/>
              </w:rPr>
            </w:pPr>
          </w:p>
        </w:tc>
      </w:tr>
      <w:tr>
        <w:trPr>
          <w:trHeight w:val="22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(1)(2)</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0" w:type="dxa"/>
            <w:vAlign w:val="bottom"/>
          </w:tcPr>
          <w:p>
            <w:pPr>
              <w:spacing w:after="0"/>
              <w:rPr>
                <w:sz w:val="1"/>
                <w:szCs w:val="1"/>
                <w:color w:val="auto"/>
              </w:rPr>
            </w:pPr>
          </w:p>
        </w:tc>
      </w:tr>
      <w:tr>
        <w:trPr>
          <w:trHeight w:val="226"/>
        </w:trPr>
        <w:tc>
          <w:tcPr>
            <w:tcW w:w="3940" w:type="dxa"/>
            <w:vAlign w:val="bottom"/>
          </w:tcPr>
          <w:p>
            <w:pPr>
              <w:ind w:left="200"/>
              <w:spacing w:after="0" w:line="225"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(1)(2)</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(1)(2)</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26"/>
        </w:trPr>
        <w:tc>
          <w:tcPr>
            <w:tcW w:w="3940" w:type="dxa"/>
            <w:vAlign w:val="bottom"/>
            <w:tcBorders>
              <w:bottom w:val="single" w:sz="8" w:color="CCEEFF"/>
            </w:tcBorders>
          </w:tcPr>
          <w:p>
            <w:pPr>
              <w:ind w:left="200"/>
              <w:spacing w:after="0" w:line="225" w:lineRule="exact"/>
              <w:rPr>
                <w:sz w:val="20"/>
                <w:szCs w:val="20"/>
                <w:color w:val="auto"/>
              </w:rPr>
            </w:pPr>
            <w:r>
              <w:rPr>
                <w:rFonts w:ascii="Times New Roman" w:cs="Times New Roman" w:eastAsia="Times New Roman" w:hAnsi="Times New Roman"/>
                <w:sz w:val="18"/>
                <w:szCs w:val="18"/>
                <w:color w:val="auto"/>
              </w:rPr>
              <w:t>Net loss (gain) on real estate assets</w:t>
            </w:r>
            <w:r>
              <w:rPr>
                <w:rFonts w:ascii="Times New Roman" w:cs="Times New Roman" w:eastAsia="Times New Roman" w:hAnsi="Times New Roman"/>
                <w:sz w:val="22"/>
                <w:szCs w:val="22"/>
                <w:color w:val="auto"/>
                <w:vertAlign w:val="superscript"/>
              </w:rPr>
              <w:t>(3)</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6"/>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226"/>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9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912"/>
              <w:spacing w:after="0" w:line="19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2"/>
              <w:spacing w:after="0" w:line="19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392"/>
              <w:spacing w:after="0" w:line="19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14"/>
          </w:cols>
          <w:pgMar w:left="326" w:top="877" w:right="359" w:bottom="1440" w:gutter="0" w:footer="0" w:header="0"/>
        </w:sectPr>
      </w:pPr>
    </w:p>
    <w:p>
      <w:pPr>
        <w:ind w:left="194" w:hanging="158"/>
        <w:spacing w:after="0" w:line="216" w:lineRule="auto"/>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p>
      <w:pPr>
        <w:ind w:left="194"/>
        <w:spacing w:after="0"/>
        <w:rPr>
          <w:sz w:val="20"/>
          <w:szCs w:val="20"/>
          <w:color w:val="auto"/>
        </w:rPr>
      </w:pPr>
      <w:r>
        <w:rPr>
          <w:rFonts w:ascii="Times New Roman" w:cs="Times New Roman" w:eastAsia="Times New Roman" w:hAnsi="Times New Roman"/>
          <w:sz w:val="18"/>
          <w:szCs w:val="18"/>
          <w:color w:val="auto"/>
        </w:rPr>
        <w:t>stockholders, basic</w:t>
      </w:r>
    </w:p>
    <w:p>
      <w:pPr>
        <w:spacing w:after="0" w:line="5" w:lineRule="exact"/>
        <w:rPr>
          <w:sz w:val="20"/>
          <w:szCs w:val="20"/>
          <w:color w:val="auto"/>
        </w:rPr>
      </w:pPr>
    </w:p>
    <w:p>
      <w:pPr>
        <w:ind w:left="194" w:hanging="158"/>
        <w:spacing w:after="0" w:line="215" w:lineRule="auto"/>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p>
      <w:pPr>
        <w:spacing w:after="0" w:line="1" w:lineRule="exact"/>
        <w:rPr>
          <w:sz w:val="20"/>
          <w:szCs w:val="20"/>
          <w:color w:val="auto"/>
        </w:rPr>
      </w:pPr>
    </w:p>
    <w:p>
      <w:pPr>
        <w:ind w:left="194"/>
        <w:spacing w:after="0"/>
        <w:rPr>
          <w:sz w:val="20"/>
          <w:szCs w:val="20"/>
          <w:color w:val="auto"/>
        </w:rPr>
      </w:pPr>
      <w:r>
        <w:rPr>
          <w:rFonts w:ascii="Times New Roman" w:cs="Times New Roman" w:eastAsia="Times New Roman" w:hAnsi="Times New Roman"/>
          <w:sz w:val="18"/>
          <w:szCs w:val="18"/>
          <w:color w:val="auto"/>
        </w:rPr>
        <w:t>stockholders, diluted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24"/>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-386715</wp:posOffset>
            </wp:positionV>
            <wp:extent cx="7101205" cy="370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1205" cy="3708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-749300</wp:posOffset>
            </wp:positionV>
            <wp:extent cx="4599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99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14" w:space="560"/>
            <w:col w:w="7240"/>
          </w:cols>
          <w:pgMar w:left="326" w:top="877" w:right="359" w:bottom="1440" w:gutter="0" w:footer="0" w:header="0"/>
          <w:type w:val="continuous"/>
        </w:sectPr>
      </w:pPr>
    </w:p>
    <w:p>
      <w:pPr>
        <w:spacing w:after="0" w:line="107" w:lineRule="exact"/>
        <w:rPr>
          <w:sz w:val="20"/>
          <w:szCs w:val="20"/>
          <w:color w:val="auto"/>
        </w:rPr>
      </w:pPr>
    </w:p>
    <w:p>
      <w:pPr>
        <w:ind w:left="154" w:hanging="154"/>
        <w:spacing w:after="0"/>
        <w:tabs>
          <w:tab w:leader="none" w:pos="154"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stock-based compensation expense as follows (in millions):</w:t>
      </w:r>
    </w:p>
    <w:p>
      <w:pPr>
        <w:spacing w:after="0" w:line="77"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3100" w:type="dxa"/>
            <w:vAlign w:val="bottom"/>
            <w:gridSpan w:val="4"/>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gridSpan w:val="4"/>
          </w:tcPr>
          <w:p>
            <w:pPr>
              <w:jc w:val="right"/>
              <w:ind w:right="932"/>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6"/>
        </w:trPr>
        <w:tc>
          <w:tcPr>
            <w:tcW w:w="37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1"/>
        </w:trPr>
        <w:tc>
          <w:tcPr>
            <w:tcW w:w="37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6"/>
        </w:trPr>
        <w:tc>
          <w:tcPr>
            <w:tcW w:w="37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(4)</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2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6"/>
        </w:trPr>
        <w:tc>
          <w:tcPr>
            <w:tcW w:w="3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6" w:right="220" w:firstLine="6"/>
        <w:spacing w:after="0"/>
        <w:tabs>
          <w:tab w:leader="none" w:pos="1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expenses related to our reduction in workforce such as severance, benefits and other related items during the quarters ended and years ended December 31, 2024, and 2023.</w:t>
      </w:r>
    </w:p>
    <w:p>
      <w:pPr>
        <w:spacing w:after="0" w:line="283" w:lineRule="exact"/>
        <w:rPr>
          <w:rFonts w:ascii="Times New Roman" w:cs="Times New Roman" w:eastAsia="Times New Roman" w:hAnsi="Times New Roman"/>
          <w:sz w:val="18"/>
          <w:szCs w:val="18"/>
          <w:color w:val="auto"/>
          <w:vertAlign w:val="superscript"/>
        </w:rPr>
      </w:pPr>
    </w:p>
    <w:p>
      <w:pPr>
        <w:ind w:left="-6" w:right="80" w:firstLine="6"/>
        <w:spacing w:after="0" w:line="297" w:lineRule="auto"/>
        <w:tabs>
          <w:tab w:leader="none" w:pos="1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Impairment charges related to real estate assets for the quarters ended and years ended December 31, 2024, and 2023. The quarter ended and year ended December 31, 2023 includes a one-time gain of $158.8 million related to the partial termination of our San Francisco, California corporate headquarters lease.</w:t>
      </w:r>
    </w:p>
    <w:p>
      <w:pPr>
        <w:spacing w:after="0" w:line="35" w:lineRule="exact"/>
        <w:rPr>
          <w:rFonts w:ascii="Times New Roman" w:cs="Times New Roman" w:eastAsia="Times New Roman" w:hAnsi="Times New Roman"/>
          <w:sz w:val="18"/>
          <w:szCs w:val="18"/>
          <w:color w:val="auto"/>
          <w:vertAlign w:val="superscript"/>
        </w:rPr>
      </w:pPr>
    </w:p>
    <w:p>
      <w:pPr>
        <w:ind w:left="-6" w:right="100" w:firstLine="6"/>
        <w:spacing w:after="0" w:line="278" w:lineRule="auto"/>
        <w:tabs>
          <w:tab w:leader="none" w:pos="1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15, 2023, the former President resigned, resulting in the reversal of $6.7 million in stock-based compensation expense. Of the total amount reversed, $4.4 million related to expense recognized prior to January 1, 2023.</w:t>
      </w:r>
    </w:p>
    <w:p>
      <w:pPr>
        <w:sectPr>
          <w:pgSz w:w="11900" w:h="16838" w:orient="portrait"/>
          <w:cols w:equalWidth="0" w:num="1">
            <w:col w:w="11214"/>
          </w:cols>
          <w:pgMar w:left="326" w:top="877"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r>
      <w:tr>
        <w:trPr>
          <w:trHeight w:val="219"/>
        </w:trPr>
        <w:tc>
          <w:tcPr>
            <w:tcW w:w="6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Pr>
          <w:p>
            <w:pPr>
              <w:spacing w:after="0"/>
              <w:rPr>
                <w:sz w:val="19"/>
                <w:szCs w:val="19"/>
                <w:color w:val="auto"/>
              </w:rPr>
            </w:pPr>
          </w:p>
        </w:tc>
        <w:tc>
          <w:tcPr>
            <w:tcW w:w="19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6"/>
        </w:trPr>
        <w:tc>
          <w:tcPr>
            <w:tcW w:w="668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2,983.5</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2"/>
        </w:trPr>
        <w:tc>
          <w:tcPr>
            <w:tcW w:w="66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obligation</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 loan, net, current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 non-current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non-current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1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3,149.3</w:t>
            </w:r>
          </w:p>
        </w:tc>
      </w:tr>
      <w:tr>
        <w:trPr>
          <w:trHeight w:val="206"/>
        </w:trPr>
        <w:tc>
          <w:tcPr>
            <w:tcW w:w="66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2,598.0</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(2,742.3)</w:t>
            </w:r>
          </w:p>
        </w:tc>
      </w:tr>
      <w:tr>
        <w:trPr>
          <w:trHeight w:val="22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2,983.5</w:t>
            </w: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7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Cash Flows</w:t>
      </w:r>
    </w:p>
    <w:p>
      <w:pPr>
        <w:spacing w:after="0" w:line="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9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0" w:type="dxa"/>
            <w:vAlign w:val="bottom"/>
          </w:tcPr>
          <w:p>
            <w:pPr>
              <w:spacing w:after="0"/>
              <w:rPr>
                <w:sz w:val="1"/>
                <w:szCs w:val="1"/>
                <w:color w:val="auto"/>
              </w:rPr>
            </w:pPr>
          </w:p>
        </w:tc>
      </w:tr>
      <w:tr>
        <w:trPr>
          <w:trHeight w:val="211"/>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(gain) on real estate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on equity investments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Tenant improvement allowance reimbursement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lease termination</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0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783.7</w:t>
            </w: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0" w:type="dxa"/>
            <w:vAlign w:val="bottom"/>
          </w:tcPr>
          <w:p>
            <w:pPr>
              <w:spacing w:after="0"/>
              <w:rPr>
                <w:sz w:val="1"/>
                <w:szCs w:val="1"/>
                <w:color w:val="auto"/>
              </w:rPr>
            </w:pPr>
          </w:p>
        </w:tc>
      </w:tr>
      <w:tr>
        <w:trPr>
          <w:trHeight w:val="19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term loan facility</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 of taxes withheld</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acquisition-related indemnification holdback</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(799.2)</w:t>
            </w:r>
          </w:p>
        </w:tc>
        <w:tc>
          <w:tcPr>
            <w:tcW w:w="0" w:type="dxa"/>
            <w:vAlign w:val="bottom"/>
          </w:tcPr>
          <w:p>
            <w:pPr>
              <w:spacing w:after="0"/>
              <w:rPr>
                <w:sz w:val="1"/>
                <w:szCs w:val="1"/>
                <w:color w:val="auto"/>
              </w:rPr>
            </w:pP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0" w:type="dxa"/>
            <w:vAlign w:val="bottom"/>
          </w:tcPr>
          <w:p>
            <w:pPr>
              <w:spacing w:after="0"/>
              <w:rPr>
                <w:sz w:val="1"/>
                <w:szCs w:val="1"/>
                <w:color w:val="auto"/>
              </w:rPr>
            </w:pPr>
          </w:p>
        </w:tc>
      </w:tr>
      <w:tr>
        <w:trPr>
          <w:trHeight w:val="211"/>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beginning of period</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end of period</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7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1" w:name="page12"/>
    <w:bookmarkEnd w:id="11"/>
    <w:p>
      <w:pPr>
        <w:ind w:left="506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Three Months Ended December 31, 2024</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80" w:type="dxa"/>
            <w:vAlign w:val="bottom"/>
          </w:tcPr>
          <w:p>
            <w:pPr>
              <w:spacing w:after="0"/>
              <w:rPr>
                <w:sz w:val="17"/>
                <w:szCs w:val="17"/>
                <w:color w:val="auto"/>
              </w:rPr>
            </w:pPr>
          </w:p>
        </w:tc>
        <w:tc>
          <w:tcPr>
            <w:tcW w:w="10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Acquisition-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Net loss (gain)</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line="203" w:lineRule="exact"/>
              <w:rPr>
                <w:sz w:val="20"/>
                <w:szCs w:val="20"/>
                <w:color w:val="auto"/>
              </w:rPr>
            </w:pPr>
            <w:r>
              <w:rPr>
                <w:rFonts w:ascii="Times New Roman" w:cs="Times New Roman" w:eastAsia="Times New Roman" w:hAnsi="Times New Roman"/>
                <w:sz w:val="18"/>
                <w:szCs w:val="18"/>
                <w:b w:val="1"/>
                <w:bCs w:val="1"/>
                <w:color w:val="auto"/>
                <w:w w:val="95"/>
              </w:rPr>
              <w:t>Workforce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80" w:type="dxa"/>
            <w:vAlign w:val="bottom"/>
            <w:gridSpan w:val="5"/>
          </w:tcPr>
          <w:p>
            <w:pPr>
              <w:jc w:val="center"/>
              <w:ind w:right="132"/>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related and other</w:t>
            </w:r>
          </w:p>
        </w:tc>
        <w:tc>
          <w:tcPr>
            <w:tcW w:w="1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ind w:left="80"/>
              <w:spacing w:after="0" w:line="172" w:lineRule="exact"/>
              <w:rPr>
                <w:sz w:val="20"/>
                <w:szCs w:val="20"/>
                <w:color w:val="auto"/>
              </w:rPr>
            </w:pPr>
            <w:r>
              <w:rPr>
                <w:rFonts w:ascii="Times New Roman" w:cs="Times New Roman" w:eastAsia="Times New Roman" w:hAnsi="Times New Roman"/>
                <w:sz w:val="18"/>
                <w:szCs w:val="18"/>
                <w:b w:val="1"/>
                <w:bCs w:val="1"/>
                <w:color w:val="auto"/>
              </w:rPr>
              <w:t>on real estate</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reduction</w:t>
            </w:r>
          </w:p>
        </w:tc>
        <w:tc>
          <w:tcPr>
            <w:tcW w:w="100" w:type="dxa"/>
            <w:vAlign w:val="bottom"/>
          </w:tcPr>
          <w:p>
            <w:pPr>
              <w:spacing w:after="0"/>
              <w:rPr>
                <w:sz w:val="14"/>
                <w:szCs w:val="14"/>
                <w:color w:val="auto"/>
              </w:rPr>
            </w:pPr>
          </w:p>
        </w:tc>
        <w:tc>
          <w:tcPr>
            <w:tcW w:w="10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Non-GAAP</w:t>
            </w:r>
          </w:p>
        </w:tc>
        <w:tc>
          <w:tcPr>
            <w:tcW w:w="0" w:type="dxa"/>
            <w:vAlign w:val="bottom"/>
          </w:tcPr>
          <w:p>
            <w:pPr>
              <w:spacing w:after="0"/>
              <w:rPr>
                <w:sz w:val="1"/>
                <w:szCs w:val="1"/>
                <w:color w:val="auto"/>
              </w:rPr>
            </w:pPr>
          </w:p>
        </w:tc>
      </w:tr>
      <w:tr>
        <w:trPr>
          <w:trHeight w:val="239"/>
        </w:trPr>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80"/>
              <w:spacing w:after="0" w:line="239" w:lineRule="exact"/>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2"/>
                <w:szCs w:val="22"/>
                <w:b w:val="1"/>
                <w:bCs w:val="1"/>
                <w:color w:val="auto"/>
                <w:vertAlign w:val="superscript"/>
              </w:rPr>
              <w:t>(1)</w:t>
            </w:r>
          </w:p>
        </w:tc>
        <w:tc>
          <w:tcPr>
            <w:tcW w:w="160" w:type="dxa"/>
            <w:vAlign w:val="bottom"/>
          </w:tcPr>
          <w:p>
            <w:pPr>
              <w:spacing w:after="0"/>
              <w:rPr>
                <w:sz w:val="20"/>
                <w:szCs w:val="20"/>
                <w:color w:val="auto"/>
              </w:rPr>
            </w:pPr>
          </w:p>
        </w:tc>
        <w:tc>
          <w:tcPr>
            <w:tcW w:w="1200" w:type="dxa"/>
            <w:vAlign w:val="bottom"/>
            <w:gridSpan w:val="2"/>
          </w:tcPr>
          <w:p>
            <w:pPr>
              <w:jc w:val="center"/>
              <w:ind w:right="240"/>
              <w:spacing w:after="0" w:line="239" w:lineRule="exact"/>
              <w:rPr>
                <w:sz w:val="20"/>
                <w:szCs w:val="20"/>
                <w:color w:val="auto"/>
              </w:rPr>
            </w:pPr>
            <w:r>
              <w:rPr>
                <w:rFonts w:ascii="Times New Roman" w:cs="Times New Roman" w:eastAsia="Times New Roman" w:hAnsi="Times New Roman"/>
                <w:sz w:val="18"/>
                <w:szCs w:val="18"/>
                <w:b w:val="1"/>
                <w:bCs w:val="1"/>
                <w:color w:val="auto"/>
                <w:w w:val="93"/>
              </w:rPr>
              <w:t>expense</w:t>
            </w:r>
            <w:r>
              <w:rPr>
                <w:rFonts w:ascii="Times New Roman" w:cs="Times New Roman" w:eastAsia="Times New Roman" w:hAnsi="Times New Roman"/>
                <w:sz w:val="22"/>
                <w:szCs w:val="22"/>
                <w:b w:val="1"/>
                <w:bCs w:val="1"/>
                <w:color w:val="auto"/>
                <w:w w:val="93"/>
                <w:vertAlign w:val="superscript"/>
              </w:rPr>
              <w:t>(2)</w:t>
            </w: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6"/>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2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226"/>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0" w:type="dxa"/>
            <w:vAlign w:val="bottom"/>
          </w:tcPr>
          <w:p>
            <w:pPr>
              <w:spacing w:after="0"/>
              <w:rPr>
                <w:sz w:val="1"/>
                <w:szCs w:val="1"/>
                <w:color w:val="auto"/>
              </w:rPr>
            </w:pPr>
          </w:p>
        </w:tc>
      </w:tr>
      <w:tr>
        <w:trPr>
          <w:trHeight w:val="172"/>
        </w:trPr>
        <w:tc>
          <w:tcPr>
            <w:tcW w:w="18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Research and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172"/>
        </w:trPr>
        <w:tc>
          <w:tcPr>
            <w:tcW w:w="18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Research and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development margin</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2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172"/>
        </w:trPr>
        <w:tc>
          <w:tcPr>
            <w:tcW w:w="18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Sales and marketing</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172"/>
        </w:trPr>
        <w:tc>
          <w:tcPr>
            <w:tcW w:w="18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General and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172"/>
        </w:trPr>
        <w:tc>
          <w:tcPr>
            <w:tcW w:w="18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General and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administrative margin</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172"/>
        </w:trPr>
        <w:tc>
          <w:tcPr>
            <w:tcW w:w="18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Net loss (gain) on real</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assets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8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Net loss (gain) on real</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estate assets margin</w:t>
            </w:r>
          </w:p>
        </w:tc>
        <w:tc>
          <w:tcPr>
            <w:tcW w:w="200" w:type="dxa"/>
            <w:vAlign w:val="bottom"/>
          </w:tcPr>
          <w:p>
            <w:pPr>
              <w:spacing w:after="0"/>
              <w:rPr>
                <w:sz w:val="20"/>
                <w:szCs w:val="20"/>
                <w:color w:val="auto"/>
              </w:rPr>
            </w:pP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50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60" w:hanging="154"/>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impairment charges related to real estate assets.</w:t>
      </w:r>
    </w:p>
    <w:p>
      <w:pPr>
        <w:spacing w:after="0" w:line="219"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expenses related to our 2024 reduction in workforce such as severance, benefits and other related items.</w:t>
      </w:r>
    </w:p>
    <w:p>
      <w:pPr>
        <w:sectPr>
          <w:pgSz w:w="11900" w:h="16838" w:orient="portrait"/>
          <w:cols w:equalWidth="0" w:num="1">
            <w:col w:w="11220"/>
          </w:cols>
          <w:pgMar w:left="320" w:top="869" w:right="359" w:bottom="1440" w:gutter="0" w:footer="0" w:header="0"/>
        </w:sectPr>
      </w:pPr>
    </w:p>
    <w:bookmarkStart w:id="12" w:name="page13"/>
    <w:bookmarkEnd w:id="12"/>
    <w:p>
      <w:pPr>
        <w:ind w:left="506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Three Months Ended December 31, 2023</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5"/>
          </w:tcPr>
          <w:p>
            <w:pPr>
              <w:jc w:val="center"/>
              <w:ind w:right="152"/>
              <w:spacing w:after="0" w:line="203" w:lineRule="exact"/>
              <w:rPr>
                <w:sz w:val="20"/>
                <w:szCs w:val="20"/>
                <w:color w:val="auto"/>
              </w:rPr>
            </w:pPr>
            <w:r>
              <w:rPr>
                <w:rFonts w:ascii="Times New Roman" w:cs="Times New Roman" w:eastAsia="Times New Roman" w:hAnsi="Times New Roman"/>
                <w:sz w:val="18"/>
                <w:szCs w:val="18"/>
                <w:b w:val="1"/>
                <w:bCs w:val="1"/>
                <w:color w:val="auto"/>
                <w:w w:val="97"/>
              </w:rPr>
              <w:t>Net (gain) loss</w:t>
            </w:r>
          </w:p>
        </w:tc>
        <w:tc>
          <w:tcPr>
            <w:tcW w:w="116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Workforce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152"/>
              <w:spacing w:after="0" w:line="172" w:lineRule="exact"/>
              <w:rPr>
                <w:sz w:val="20"/>
                <w:szCs w:val="20"/>
                <w:color w:val="auto"/>
              </w:rPr>
            </w:pPr>
            <w:r>
              <w:rPr>
                <w:rFonts w:ascii="Times New Roman" w:cs="Times New Roman" w:eastAsia="Times New Roman" w:hAnsi="Times New Roman"/>
                <w:sz w:val="18"/>
                <w:szCs w:val="18"/>
                <w:b w:val="1"/>
                <w:bCs w:val="1"/>
                <w:color w:val="auto"/>
                <w:w w:val="99"/>
              </w:rPr>
              <w:t>related and other</w:t>
            </w: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52"/>
              <w:spacing w:after="0" w:line="172" w:lineRule="exact"/>
              <w:rPr>
                <w:sz w:val="20"/>
                <w:szCs w:val="20"/>
                <w:color w:val="auto"/>
              </w:rPr>
            </w:pPr>
            <w:r>
              <w:rPr>
                <w:rFonts w:ascii="Times New Roman" w:cs="Times New Roman" w:eastAsia="Times New Roman" w:hAnsi="Times New Roman"/>
                <w:sz w:val="18"/>
                <w:szCs w:val="18"/>
                <w:b w:val="1"/>
                <w:bCs w:val="1"/>
                <w:color w:val="auto"/>
                <w:w w:val="98"/>
              </w:rPr>
              <w:t>on real estate</w:t>
            </w:r>
          </w:p>
        </w:tc>
        <w:tc>
          <w:tcPr>
            <w:tcW w:w="116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8"/>
                <w:szCs w:val="18"/>
                <w:b w:val="1"/>
                <w:bCs w:val="1"/>
                <w:color w:val="auto"/>
              </w:rPr>
              <w:t>reduction</w:t>
            </w:r>
          </w:p>
        </w:tc>
        <w:tc>
          <w:tcPr>
            <w:tcW w:w="100" w:type="dxa"/>
            <w:vAlign w:val="bottom"/>
          </w:tcPr>
          <w:p>
            <w:pPr>
              <w:spacing w:after="0"/>
              <w:rPr>
                <w:sz w:val="14"/>
                <w:szCs w:val="14"/>
                <w:color w:val="auto"/>
              </w:rPr>
            </w:pPr>
          </w:p>
        </w:tc>
        <w:tc>
          <w:tcPr>
            <w:tcW w:w="9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Non-GAAP</w:t>
            </w:r>
          </w:p>
        </w:tc>
        <w:tc>
          <w:tcPr>
            <w:tcW w:w="0" w:type="dxa"/>
            <w:vAlign w:val="bottom"/>
          </w:tcPr>
          <w:p>
            <w:pPr>
              <w:spacing w:after="0"/>
              <w:rPr>
                <w:sz w:val="1"/>
                <w:szCs w:val="1"/>
                <w:color w:val="auto"/>
              </w:rPr>
            </w:pPr>
          </w:p>
        </w:tc>
      </w:tr>
      <w:tr>
        <w:trPr>
          <w:trHeight w:val="239"/>
        </w:trPr>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expenses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4"/>
              </w:rPr>
              <w:t xml:space="preserve">assets </w:t>
            </w:r>
            <w:r>
              <w:rPr>
                <w:rFonts w:ascii="Times New Roman" w:cs="Times New Roman" w:eastAsia="Times New Roman" w:hAnsi="Times New Roman"/>
                <w:sz w:val="22"/>
                <w:szCs w:val="22"/>
                <w:b w:val="1"/>
                <w:bCs w:val="1"/>
                <w:color w:val="auto"/>
                <w:w w:val="94"/>
                <w:vertAlign w:val="superscript"/>
              </w:rPr>
              <w:t>(1)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80"/>
              <w:spacing w:after="0" w:line="239" w:lineRule="exact"/>
              <w:rPr>
                <w:sz w:val="20"/>
                <w:szCs w:val="20"/>
                <w:color w:val="auto"/>
              </w:rPr>
            </w:pPr>
            <w:r>
              <w:rPr>
                <w:rFonts w:ascii="Times New Roman" w:cs="Times New Roman" w:eastAsia="Times New Roman" w:hAnsi="Times New Roman"/>
                <w:sz w:val="18"/>
                <w:szCs w:val="18"/>
                <w:b w:val="1"/>
                <w:bCs w:val="1"/>
                <w:color w:val="auto"/>
              </w:rPr>
              <w:t>expense</w:t>
            </w:r>
            <w:r>
              <w:rPr>
                <w:rFonts w:ascii="Times New Roman" w:cs="Times New Roman" w:eastAsia="Times New Roman" w:hAnsi="Times New Roman"/>
                <w:sz w:val="22"/>
                <w:szCs w:val="22"/>
                <w:b w:val="1"/>
                <w:bCs w:val="1"/>
                <w:color w:val="auto"/>
                <w:vertAlign w:val="superscript"/>
              </w:rPr>
              <w:t>(2)</w:t>
            </w: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172"/>
        </w:trPr>
        <w:tc>
          <w:tcPr>
            <w:tcW w:w="16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Cost of revenue</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2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0" w:type="dxa"/>
            <w:vAlign w:val="bottom"/>
          </w:tcPr>
          <w:p>
            <w:pPr>
              <w:spacing w:after="0"/>
              <w:rPr>
                <w:sz w:val="1"/>
                <w:szCs w:val="1"/>
                <w:color w:val="auto"/>
              </w:rPr>
            </w:pPr>
          </w:p>
        </w:tc>
      </w:tr>
      <w:tr>
        <w:trPr>
          <w:trHeight w:val="172"/>
        </w:trPr>
        <w:tc>
          <w:tcPr>
            <w:tcW w:w="16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Research and</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(4.3)</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172"/>
        </w:trPr>
        <w:tc>
          <w:tcPr>
            <w:tcW w:w="16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Research and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development margin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3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172"/>
        </w:trPr>
        <w:tc>
          <w:tcPr>
            <w:tcW w:w="16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Sales and marketing</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172"/>
        </w:trPr>
        <w:tc>
          <w:tcPr>
            <w:tcW w:w="16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General and</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172"/>
        </w:trPr>
        <w:tc>
          <w:tcPr>
            <w:tcW w:w="16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General and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w w:val="98"/>
              </w:rPr>
              <w:t>administrative margin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3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172"/>
        </w:trPr>
        <w:tc>
          <w:tcPr>
            <w:tcW w:w="16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Net (gain) loss on real</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assets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6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Net (gain) loss on</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real estate assets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5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2"/>
        </w:trPr>
        <w:tc>
          <w:tcPr>
            <w:tcW w:w="16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Income from</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8"/>
              </w:rPr>
              <w:t>(157.4)</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5"/>
              </w:rPr>
              <w:t>0.1 %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2680" w:firstLine="6"/>
        <w:spacing w:after="0" w:line="263" w:lineRule="auto"/>
        <w:tabs>
          <w:tab w:leader="none" w:pos="162"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a one-time gain of $158.8 million related to the partial termination of our lease for our San Francisco, California corporate headquarters and impairment charges related to real estate assets.</w:t>
      </w:r>
    </w:p>
    <w:p>
      <w:pPr>
        <w:spacing w:after="0" w:line="197" w:lineRule="exact"/>
        <w:rPr>
          <w:rFonts w:ascii="Times New Roman" w:cs="Times New Roman" w:eastAsia="Times New Roman" w:hAnsi="Times New Roman"/>
          <w:sz w:val="20"/>
          <w:szCs w:val="20"/>
          <w:color w:val="auto"/>
          <w:vertAlign w:val="superscript"/>
        </w:rPr>
      </w:pPr>
    </w:p>
    <w:p>
      <w:pPr>
        <w:ind w:left="160" w:hanging="154"/>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expenses related to our 2023 reduction in workforce such as severance, benefits and other related items.</w:t>
      </w:r>
    </w:p>
    <w:p>
      <w:pPr>
        <w:sectPr>
          <w:pgSz w:w="11900" w:h="16838" w:orient="portrait"/>
          <w:cols w:equalWidth="0" w:num="1">
            <w:col w:w="11220"/>
          </w:cols>
          <w:pgMar w:left="320" w:top="869" w:right="359" w:bottom="1440" w:gutter="0" w:footer="0" w:header="0"/>
        </w:sectPr>
      </w:pPr>
    </w:p>
    <w:bookmarkStart w:id="13" w:name="page14"/>
    <w:bookmarkEnd w:id="13"/>
    <w:p>
      <w:pPr>
        <w:ind w:left="506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Twelve Months Ended December 31, 2024</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80" w:type="dxa"/>
            <w:vAlign w:val="bottom"/>
          </w:tcPr>
          <w:p>
            <w:pPr>
              <w:spacing w:after="0"/>
              <w:rPr>
                <w:sz w:val="17"/>
                <w:szCs w:val="17"/>
                <w:color w:val="auto"/>
              </w:rPr>
            </w:pPr>
          </w:p>
        </w:tc>
        <w:tc>
          <w:tcPr>
            <w:tcW w:w="10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Net loss (gain)</w:t>
            </w:r>
          </w:p>
        </w:tc>
        <w:tc>
          <w:tcPr>
            <w:tcW w:w="180" w:type="dxa"/>
            <w:vAlign w:val="bottom"/>
          </w:tcPr>
          <w:p>
            <w:pPr>
              <w:spacing w:after="0"/>
              <w:rPr>
                <w:sz w:val="17"/>
                <w:szCs w:val="17"/>
                <w:color w:val="auto"/>
              </w:rPr>
            </w:pPr>
          </w:p>
        </w:tc>
        <w:tc>
          <w:tcPr>
            <w:tcW w:w="1180" w:type="dxa"/>
            <w:vAlign w:val="bottom"/>
            <w:gridSpan w:val="2"/>
          </w:tcPr>
          <w:p>
            <w:pPr>
              <w:jc w:val="center"/>
              <w:ind w:right="240"/>
              <w:spacing w:after="0" w:line="203" w:lineRule="exact"/>
              <w:rPr>
                <w:sz w:val="20"/>
                <w:szCs w:val="20"/>
                <w:color w:val="auto"/>
              </w:rPr>
            </w:pPr>
            <w:r>
              <w:rPr>
                <w:rFonts w:ascii="Times New Roman" w:cs="Times New Roman" w:eastAsia="Times New Roman" w:hAnsi="Times New Roman"/>
                <w:sz w:val="18"/>
                <w:szCs w:val="18"/>
                <w:b w:val="1"/>
                <w:bCs w:val="1"/>
                <w:color w:val="auto"/>
                <w:w w:val="97"/>
              </w:rPr>
              <w:t>Workforce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720" w:type="dxa"/>
            <w:vAlign w:val="bottom"/>
            <w:gridSpan w:val="5"/>
          </w:tcPr>
          <w:p>
            <w:pPr>
              <w:jc w:val="center"/>
              <w:ind w:right="172"/>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related and other</w:t>
            </w: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ind w:left="80"/>
              <w:spacing w:after="0" w:line="172" w:lineRule="exact"/>
              <w:rPr>
                <w:sz w:val="20"/>
                <w:szCs w:val="20"/>
                <w:color w:val="auto"/>
              </w:rPr>
            </w:pPr>
            <w:r>
              <w:rPr>
                <w:rFonts w:ascii="Times New Roman" w:cs="Times New Roman" w:eastAsia="Times New Roman" w:hAnsi="Times New Roman"/>
                <w:sz w:val="18"/>
                <w:szCs w:val="18"/>
                <w:b w:val="1"/>
                <w:bCs w:val="1"/>
                <w:color w:val="auto"/>
              </w:rPr>
              <w:t>on real estate</w:t>
            </w:r>
          </w:p>
        </w:tc>
        <w:tc>
          <w:tcPr>
            <w:tcW w:w="180" w:type="dxa"/>
            <w:vAlign w:val="bottom"/>
          </w:tcPr>
          <w:p>
            <w:pPr>
              <w:spacing w:after="0"/>
              <w:rPr>
                <w:sz w:val="14"/>
                <w:szCs w:val="14"/>
                <w:color w:val="auto"/>
              </w:rPr>
            </w:pPr>
          </w:p>
        </w:tc>
        <w:tc>
          <w:tcPr>
            <w:tcW w:w="118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reduction</w:t>
            </w:r>
          </w:p>
        </w:tc>
        <w:tc>
          <w:tcPr>
            <w:tcW w:w="120" w:type="dxa"/>
            <w:vAlign w:val="bottom"/>
          </w:tcPr>
          <w:p>
            <w:pPr>
              <w:spacing w:after="0"/>
              <w:rPr>
                <w:sz w:val="14"/>
                <w:szCs w:val="14"/>
                <w:color w:val="auto"/>
              </w:rPr>
            </w:pP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39"/>
        </w:trPr>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2"/>
                <w:szCs w:val="22"/>
                <w:b w:val="1"/>
                <w:bCs w:val="1"/>
                <w:color w:val="auto"/>
                <w:vertAlign w:val="superscript"/>
              </w:rPr>
              <w:t>(1)</w:t>
            </w:r>
          </w:p>
        </w:tc>
        <w:tc>
          <w:tcPr>
            <w:tcW w:w="180" w:type="dxa"/>
            <w:vAlign w:val="bottom"/>
          </w:tcPr>
          <w:p>
            <w:pPr>
              <w:spacing w:after="0"/>
              <w:rPr>
                <w:sz w:val="20"/>
                <w:szCs w:val="20"/>
                <w:color w:val="auto"/>
              </w:rPr>
            </w:pPr>
          </w:p>
        </w:tc>
        <w:tc>
          <w:tcPr>
            <w:tcW w:w="1180" w:type="dxa"/>
            <w:vAlign w:val="bottom"/>
            <w:gridSpan w:val="2"/>
          </w:tcPr>
          <w:p>
            <w:pPr>
              <w:jc w:val="center"/>
              <w:ind w:right="260"/>
              <w:spacing w:after="0" w:line="239" w:lineRule="exact"/>
              <w:rPr>
                <w:sz w:val="20"/>
                <w:szCs w:val="20"/>
                <w:color w:val="auto"/>
              </w:rPr>
            </w:pPr>
            <w:r>
              <w:rPr>
                <w:rFonts w:ascii="Times New Roman" w:cs="Times New Roman" w:eastAsia="Times New Roman" w:hAnsi="Times New Roman"/>
                <w:sz w:val="18"/>
                <w:szCs w:val="18"/>
                <w:b w:val="1"/>
                <w:bCs w:val="1"/>
                <w:color w:val="auto"/>
                <w:w w:val="93"/>
              </w:rPr>
              <w:t>expense</w:t>
            </w:r>
            <w:r>
              <w:rPr>
                <w:rFonts w:ascii="Times New Roman" w:cs="Times New Roman" w:eastAsia="Times New Roman" w:hAnsi="Times New Roman"/>
                <w:sz w:val="22"/>
                <w:szCs w:val="22"/>
                <w:b w:val="1"/>
                <w:bCs w:val="1"/>
                <w:color w:val="auto"/>
                <w:w w:val="93"/>
                <w:vertAlign w:val="superscript"/>
              </w:rPr>
              <w:t>(2)</w:t>
            </w: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445.1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172"/>
        </w:trPr>
        <w:tc>
          <w:tcPr>
            <w:tcW w:w="16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Cost of revenue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2,103.1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2,141.5</w:t>
            </w:r>
          </w:p>
        </w:tc>
        <w:tc>
          <w:tcPr>
            <w:tcW w:w="0" w:type="dxa"/>
            <w:vAlign w:val="bottom"/>
          </w:tcPr>
          <w:p>
            <w:pPr>
              <w:spacing w:after="0"/>
              <w:rPr>
                <w:sz w:val="1"/>
                <w:szCs w:val="1"/>
                <w:color w:val="auto"/>
              </w:rPr>
            </w:pPr>
          </w:p>
        </w:tc>
      </w:tr>
      <w:tr>
        <w:trPr>
          <w:trHeight w:val="226"/>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0" w:type="dxa"/>
            <w:vAlign w:val="bottom"/>
          </w:tcPr>
          <w:p>
            <w:pPr>
              <w:spacing w:after="0"/>
              <w:rPr>
                <w:sz w:val="1"/>
                <w:szCs w:val="1"/>
                <w:color w:val="auto"/>
              </w:rPr>
            </w:pPr>
          </w:p>
        </w:tc>
      </w:tr>
      <w:tr>
        <w:trPr>
          <w:trHeight w:val="172"/>
        </w:trPr>
        <w:tc>
          <w:tcPr>
            <w:tcW w:w="16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Research and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914.9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(247.6)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618.1</w:t>
            </w:r>
          </w:p>
        </w:tc>
        <w:tc>
          <w:tcPr>
            <w:tcW w:w="0" w:type="dxa"/>
            <w:vAlign w:val="bottom"/>
          </w:tcPr>
          <w:p>
            <w:pPr>
              <w:spacing w:after="0"/>
              <w:rPr>
                <w:sz w:val="1"/>
                <w:szCs w:val="1"/>
                <w:color w:val="auto"/>
              </w:rPr>
            </w:pPr>
          </w:p>
        </w:tc>
      </w:tr>
      <w:tr>
        <w:trPr>
          <w:trHeight w:val="172"/>
        </w:trPr>
        <w:tc>
          <w:tcPr>
            <w:tcW w:w="16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Research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development margin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2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172"/>
        </w:trPr>
        <w:tc>
          <w:tcPr>
            <w:tcW w:w="16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Sales and marketing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172"/>
        </w:trPr>
        <w:tc>
          <w:tcPr>
            <w:tcW w:w="16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General and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172"/>
        </w:trPr>
        <w:tc>
          <w:tcPr>
            <w:tcW w:w="16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General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w w:val="99"/>
              </w:rPr>
              <w:t>administrative margin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172"/>
        </w:trPr>
        <w:tc>
          <w:tcPr>
            <w:tcW w:w="16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Net loss (gain) on real</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assets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6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w w:val="98"/>
              </w:rPr>
              <w:t>Net loss (gain) on real</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estate assets margin</w:t>
            </w:r>
          </w:p>
        </w:tc>
        <w:tc>
          <w:tcPr>
            <w:tcW w:w="260" w:type="dxa"/>
            <w:vAlign w:val="bottom"/>
          </w:tcPr>
          <w:p>
            <w:pPr>
              <w:spacing w:after="0"/>
              <w:rPr>
                <w:sz w:val="20"/>
                <w:szCs w:val="20"/>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3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54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2"/>
        </w:trPr>
        <w:tc>
          <w:tcPr>
            <w:tcW w:w="16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Income from</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927.5</w:t>
            </w:r>
          </w:p>
        </w:tc>
        <w:tc>
          <w:tcPr>
            <w:tcW w:w="0" w:type="dxa"/>
            <w:vAlign w:val="bottom"/>
          </w:tcPr>
          <w:p>
            <w:pPr>
              <w:spacing w:after="0"/>
              <w:rPr>
                <w:sz w:val="1"/>
                <w:szCs w:val="1"/>
                <w:color w:val="auto"/>
              </w:rPr>
            </w:pPr>
          </w:p>
        </w:tc>
      </w:tr>
      <w:tr>
        <w:trPr>
          <w:trHeight w:val="23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160" w:hanging="154"/>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impairment charges related real estate assets.</w:t>
      </w:r>
    </w:p>
    <w:p>
      <w:pPr>
        <w:spacing w:after="0" w:line="219"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expenses related to our 2024 reduction in workforce such as severance, benefits and other related items.</w:t>
      </w:r>
    </w:p>
    <w:p>
      <w:pPr>
        <w:sectPr>
          <w:pgSz w:w="11900" w:h="16838" w:orient="portrait"/>
          <w:cols w:equalWidth="0" w:num="1">
            <w:col w:w="11220"/>
          </w:cols>
          <w:pgMar w:left="320" w:top="869" w:right="359" w:bottom="1440" w:gutter="0" w:footer="0" w:header="0"/>
        </w:sectPr>
      </w:pPr>
    </w:p>
    <w:bookmarkStart w:id="14" w:name="page15"/>
    <w:bookmarkEnd w:id="14"/>
    <w:p>
      <w:pPr>
        <w:ind w:left="506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Twelve Months Ended December 31, 2023</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0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Acquisition-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5"/>
          </w:tcPr>
          <w:p>
            <w:pPr>
              <w:jc w:val="center"/>
              <w:ind w:right="192"/>
              <w:spacing w:after="0" w:line="203" w:lineRule="exact"/>
              <w:rPr>
                <w:sz w:val="20"/>
                <w:szCs w:val="20"/>
                <w:color w:val="auto"/>
              </w:rPr>
            </w:pPr>
            <w:r>
              <w:rPr>
                <w:rFonts w:ascii="Times New Roman" w:cs="Times New Roman" w:eastAsia="Times New Roman" w:hAnsi="Times New Roman"/>
                <w:sz w:val="18"/>
                <w:szCs w:val="18"/>
                <w:b w:val="1"/>
                <w:bCs w:val="1"/>
                <w:color w:val="auto"/>
                <w:w w:val="97"/>
              </w:rPr>
              <w:t>Net (gain) loss</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Workforce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related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right="172"/>
              <w:spacing w:after="0" w:line="172" w:lineRule="exact"/>
              <w:rPr>
                <w:sz w:val="20"/>
                <w:szCs w:val="20"/>
                <w:color w:val="auto"/>
              </w:rPr>
            </w:pPr>
            <w:r>
              <w:rPr>
                <w:rFonts w:ascii="Times New Roman" w:cs="Times New Roman" w:eastAsia="Times New Roman" w:hAnsi="Times New Roman"/>
                <w:sz w:val="18"/>
                <w:szCs w:val="18"/>
                <w:b w:val="1"/>
                <w:bCs w:val="1"/>
                <w:color w:val="auto"/>
                <w:w w:val="98"/>
              </w:rPr>
              <w:t>on real estate</w:t>
            </w: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b w:val="1"/>
                <w:bCs w:val="1"/>
                <w:color w:val="auto"/>
              </w:rPr>
              <w:t>reduction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39"/>
        </w:trPr>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00" w:type="dxa"/>
            <w:vAlign w:val="bottom"/>
          </w:tcPr>
          <w:p>
            <w:pPr>
              <w:spacing w:after="0"/>
              <w:rPr>
                <w:sz w:val="20"/>
                <w:szCs w:val="20"/>
                <w:color w:val="auto"/>
              </w:rPr>
            </w:pPr>
          </w:p>
        </w:tc>
        <w:tc>
          <w:tcPr>
            <w:tcW w:w="1460" w:type="dxa"/>
            <w:vAlign w:val="bottom"/>
            <w:gridSpan w:val="4"/>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7"/>
              </w:rPr>
              <w:t>other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4"/>
              </w:rPr>
              <w:t>assets</w:t>
            </w:r>
            <w:r>
              <w:rPr>
                <w:rFonts w:ascii="Times New Roman" w:cs="Times New Roman" w:eastAsia="Times New Roman" w:hAnsi="Times New Roman"/>
                <w:sz w:val="22"/>
                <w:szCs w:val="22"/>
                <w:b w:val="1"/>
                <w:bCs w:val="1"/>
                <w:color w:val="auto"/>
                <w:w w:val="94"/>
                <w:vertAlign w:val="superscript"/>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line="239" w:lineRule="exact"/>
              <w:rPr>
                <w:sz w:val="20"/>
                <w:szCs w:val="20"/>
                <w:color w:val="auto"/>
              </w:rPr>
            </w:pPr>
            <w:r>
              <w:rPr>
                <w:rFonts w:ascii="Times New Roman" w:cs="Times New Roman" w:eastAsia="Times New Roman" w:hAnsi="Times New Roman"/>
                <w:sz w:val="18"/>
                <w:szCs w:val="18"/>
                <w:b w:val="1"/>
                <w:bCs w:val="1"/>
                <w:color w:val="auto"/>
              </w:rPr>
              <w:t>expense</w:t>
            </w:r>
            <w:r>
              <w:rPr>
                <w:rFonts w:ascii="Times New Roman" w:cs="Times New Roman" w:eastAsia="Times New Roman" w:hAnsi="Times New Roman"/>
                <w:sz w:val="22"/>
                <w:szCs w:val="22"/>
                <w:b w:val="1"/>
                <w:bCs w:val="1"/>
                <w:color w:val="auto"/>
                <w:vertAlign w:val="superscript"/>
              </w:rPr>
              <w:t>(2)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226"/>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6"/>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2,063.9</w:t>
            </w:r>
          </w:p>
        </w:tc>
        <w:tc>
          <w:tcPr>
            <w:tcW w:w="0" w:type="dxa"/>
            <w:vAlign w:val="bottom"/>
          </w:tcPr>
          <w:p>
            <w:pPr>
              <w:spacing w:after="0"/>
              <w:rPr>
                <w:sz w:val="1"/>
                <w:szCs w:val="1"/>
                <w:color w:val="auto"/>
              </w:rPr>
            </w:pPr>
          </w:p>
        </w:tc>
      </w:tr>
      <w:tr>
        <w:trPr>
          <w:trHeight w:val="226"/>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0" w:type="dxa"/>
            <w:vAlign w:val="bottom"/>
          </w:tcPr>
          <w:p>
            <w:pPr>
              <w:spacing w:after="0"/>
              <w:rPr>
                <w:sz w:val="1"/>
                <w:szCs w:val="1"/>
                <w:color w:val="auto"/>
              </w:rPr>
            </w:pPr>
          </w:p>
        </w:tc>
      </w:tr>
      <w:tr>
        <w:trPr>
          <w:trHeight w:val="172"/>
        </w:trPr>
        <w:tc>
          <w:tcPr>
            <w:tcW w:w="17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Research and</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172"/>
        </w:trPr>
        <w:tc>
          <w:tcPr>
            <w:tcW w:w="17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Research and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development margin</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26"/>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172"/>
        </w:trPr>
        <w:tc>
          <w:tcPr>
            <w:tcW w:w="17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Sales and marketing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172"/>
        </w:trPr>
        <w:tc>
          <w:tcPr>
            <w:tcW w:w="17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General and</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172"/>
        </w:trPr>
        <w:tc>
          <w:tcPr>
            <w:tcW w:w="17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General and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administrative margin</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26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172"/>
        </w:trPr>
        <w:tc>
          <w:tcPr>
            <w:tcW w:w="17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Net (gain) loss on real</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assets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7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Net (gain) loss on real</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estate assets margin</w:t>
            </w: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6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30.9</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234"/>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640" w:firstLine="6"/>
        <w:spacing w:after="0" w:line="263" w:lineRule="auto"/>
        <w:tabs>
          <w:tab w:leader="none" w:pos="162"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a one-time gain of $158.8 million related to the partial termination of our lease for our San Francisco, California corporate headquarters and impairment charges related to real estate assets.</w:t>
      </w:r>
    </w:p>
    <w:p>
      <w:pPr>
        <w:spacing w:after="0" w:line="197" w:lineRule="exact"/>
        <w:rPr>
          <w:rFonts w:ascii="Times New Roman" w:cs="Times New Roman" w:eastAsia="Times New Roman" w:hAnsi="Times New Roman"/>
          <w:sz w:val="20"/>
          <w:szCs w:val="20"/>
          <w:color w:val="auto"/>
          <w:vertAlign w:val="superscript"/>
        </w:rPr>
      </w:pPr>
    </w:p>
    <w:p>
      <w:pPr>
        <w:ind w:left="160" w:hanging="154"/>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expenses related to our 2023 reduction in workforce such as severance, benefits and other related items.</w:t>
      </w:r>
    </w:p>
    <w:p>
      <w:pPr>
        <w:sectPr>
          <w:pgSz w:w="11900" w:h="16838" w:orient="portrait"/>
          <w:cols w:equalWidth="0" w:num="1">
            <w:col w:w="11180"/>
          </w:cols>
          <w:pgMar w:left="320" w:top="869" w:right="399" w:bottom="1440" w:gutter="0" w:footer="0" w:header="0"/>
        </w:sectPr>
      </w:pPr>
    </w:p>
    <w:bookmarkStart w:id="15" w:name="page16"/>
    <w:bookmarkEnd w:id="15"/>
    <w:p>
      <w:pPr>
        <w:ind w:left="506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b w:val="1"/>
          <w:bCs w:val="1"/>
          <w:color w:val="auto"/>
        </w:rPr>
        <w:t>Three and Twelve Months Ended December 31, 2024 and 2023</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Reconciliation of GAAP net income to Non-GAAP net income and Non-GAAP diluted net income per share</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340" w:type="dxa"/>
            <w:vAlign w:val="bottom"/>
            <w:gridSpan w:val="5"/>
          </w:tcPr>
          <w:p>
            <w:pPr>
              <w:ind w:left="160"/>
              <w:spacing w:after="0" w:line="203"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7"/>
                <w:szCs w:val="17"/>
                <w:color w:val="auto"/>
              </w:rPr>
            </w:pPr>
          </w:p>
        </w:tc>
        <w:tc>
          <w:tcPr>
            <w:tcW w:w="2920" w:type="dxa"/>
            <w:vAlign w:val="bottom"/>
            <w:gridSpan w:val="4"/>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60" w:type="dxa"/>
            <w:vAlign w:val="bottom"/>
            <w:gridSpan w:val="3"/>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45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gridSpan w:val="3"/>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5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10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0" w:type="dxa"/>
            <w:vAlign w:val="bottom"/>
          </w:tcPr>
          <w:p>
            <w:pPr>
              <w:spacing w:after="0"/>
              <w:rPr>
                <w:sz w:val="1"/>
                <w:szCs w:val="1"/>
                <w:color w:val="auto"/>
              </w:rPr>
            </w:pPr>
          </w:p>
        </w:tc>
      </w:tr>
      <w:tr>
        <w:trPr>
          <w:trHeight w:val="22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and other expenses</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real estate assets</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2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reduction expense</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equity investments</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effects of non-GAAP adjustments</w:t>
            </w: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52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Non-GAAP diluted net income per share</w:t>
            </w:r>
          </w:p>
        </w:tc>
        <w:tc>
          <w:tcPr>
            <w:tcW w:w="1060" w:type="dxa"/>
            <w:vAlign w:val="bottom"/>
            <w:tcBorders>
              <w:bottom w:val="single" w:sz="8" w:color="auto"/>
            </w:tcBorders>
          </w:tcPr>
          <w:p>
            <w:pPr>
              <w:jc w:val="right"/>
              <w:ind w:right="852"/>
              <w:spacing w:after="0" w:line="19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0.73</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812"/>
              <w:spacing w:after="0" w:line="19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Weighted-average shares used to compute Non-GAAP diluted</w:t>
            </w:r>
          </w:p>
        </w:tc>
        <w:tc>
          <w:tcPr>
            <w:tcW w:w="10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3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0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Three and Twelve Months Ended December 31, 2024 and 2023</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Reconciliation of free cash flow and supplemental cash flow disclosure</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3020" w:type="dxa"/>
            <w:vAlign w:val="bottom"/>
            <w:gridSpan w:val="4"/>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24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6"/>
        </w:trPr>
        <w:tc>
          <w:tcPr>
            <w:tcW w:w="424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Free cash flow reconciliation:</w:t>
            </w:r>
          </w:p>
        </w:tc>
        <w:tc>
          <w:tcPr>
            <w:tcW w:w="10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8"/>
              </w:rPr>
              <w:t>213.8</w:t>
            </w:r>
          </w:p>
        </w:tc>
        <w:tc>
          <w:tcPr>
            <w:tcW w:w="114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894.1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783.7</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210.5</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759.4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Free cash flow margin</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32.7 %</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30.0 %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34.2 %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24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Key employee holdback payments related to</w:t>
            </w:r>
          </w:p>
        </w:tc>
        <w:tc>
          <w:tcPr>
            <w:tcW w:w="1060" w:type="dxa"/>
            <w:vAlign w:val="bottom"/>
            <w:vMerge w:val="restart"/>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140" w:type="dxa"/>
            <w:vAlign w:val="bottom"/>
            <w:gridSpan w:val="2"/>
            <w:vMerge w:val="restart"/>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5"/>
                <w:szCs w:val="15"/>
                <w:color w:val="auto"/>
              </w:rPr>
            </w:pPr>
          </w:p>
        </w:tc>
        <w:tc>
          <w:tcPr>
            <w:tcW w:w="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5"/>
                <w:szCs w:val="15"/>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7"/>
        </w:trPr>
        <w:tc>
          <w:tcPr>
            <w:tcW w:w="42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2"/>
                <w:szCs w:val="22"/>
                <w:color w:val="auto"/>
                <w:vertAlign w:val="superscript"/>
              </w:rPr>
              <w:t>(1)</w:t>
            </w:r>
          </w:p>
        </w:tc>
        <w:tc>
          <w:tcPr>
            <w:tcW w:w="10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40" w:type="dxa"/>
            <w:vAlign w:val="bottom"/>
            <w:tcBorders>
              <w:bottom w:val="single" w:sz="8" w:color="CCEEFF"/>
            </w:tcBorders>
            <w:shd w:val="clear" w:color="auto" w:fill="CCEEFF"/>
          </w:tcPr>
          <w:p>
            <w:pPr>
              <w:ind w:left="220"/>
              <w:spacing w:after="0" w:line="219" w:lineRule="exact"/>
              <w:rPr>
                <w:sz w:val="20"/>
                <w:szCs w:val="20"/>
                <w:color w:val="auto"/>
              </w:rPr>
            </w:pPr>
            <w:r>
              <w:rPr>
                <w:rFonts w:ascii="Times New Roman" w:cs="Times New Roman" w:eastAsia="Times New Roman" w:hAnsi="Times New Roman"/>
                <w:sz w:val="18"/>
                <w:szCs w:val="18"/>
                <w:color w:val="auto"/>
              </w:rPr>
              <w:t>Payments related to workforce reduction</w:t>
            </w:r>
            <w:r>
              <w:rPr>
                <w:rFonts w:ascii="Times New Roman" w:cs="Times New Roman" w:eastAsia="Times New Roman" w:hAnsi="Times New Roman"/>
                <w:sz w:val="22"/>
                <w:szCs w:val="22"/>
                <w:color w:val="auto"/>
                <w:vertAlign w:val="superscript"/>
              </w:rPr>
              <w:t>(2)</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Cash paid for lease termination</w:t>
            </w:r>
            <w:r>
              <w:rPr>
                <w:rFonts w:ascii="Times New Roman" w:cs="Times New Roman" w:eastAsia="Times New Roman" w:hAnsi="Times New Roman"/>
                <w:sz w:val="22"/>
                <w:szCs w:val="22"/>
                <w:color w:val="auto"/>
                <w:vertAlign w:val="superscript"/>
              </w:rPr>
              <w:t>(3)</w:t>
            </w:r>
          </w:p>
        </w:tc>
        <w:tc>
          <w:tcPr>
            <w:tcW w:w="1060" w:type="dxa"/>
            <w:vAlign w:val="bottom"/>
            <w:tcBorders>
              <w:top w:val="single" w:sz="8" w:color="auto"/>
              <w:bottom w:val="single" w:sz="8" w:color="auto"/>
            </w:tcBorders>
          </w:tcPr>
          <w:p>
            <w:pPr>
              <w:jc w:val="right"/>
              <w:ind w:right="8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132"/>
              <w:spacing w:after="0" w:line="19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52"/>
              <w:spacing w:after="0" w:line="19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112"/>
              <w:spacing w:after="0" w:line="199" w:lineRule="exact"/>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32"/>
              <w:spacing w:after="0" w:line="199" w:lineRule="exact"/>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12"/>
              <w:spacing w:after="0" w:line="199" w:lineRule="exact"/>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280" w:firstLine="6"/>
        <w:spacing w:after="0" w:line="261" w:lineRule="auto"/>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payments related to employee holdbacks pertaining to our acquisitions. The related expenses are recognized within research and development expenses over the required service period during the year ended December 31, 2024.</w:t>
      </w:r>
    </w:p>
    <w:p>
      <w:pPr>
        <w:spacing w:after="0" w:line="210" w:lineRule="exact"/>
        <w:rPr>
          <w:rFonts w:ascii="Times New Roman" w:cs="Times New Roman" w:eastAsia="Times New Roman" w:hAnsi="Times New Roman"/>
          <w:sz w:val="19"/>
          <w:szCs w:val="19"/>
          <w:color w:val="auto"/>
          <w:vertAlign w:val="superscript"/>
        </w:rPr>
      </w:pPr>
    </w:p>
    <w:p>
      <w:pPr>
        <w:ind w:right="160" w:firstLine="6"/>
        <w:spacing w:after="0" w:line="260" w:lineRule="auto"/>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payments made related to our reductions in workforce such as severance, benefits, and other related items. During the year and quarter ended December 31, 2024, total cash payments included the accrued pro rata amount of annual employee bonus.</w:t>
      </w:r>
    </w:p>
    <w:p>
      <w:pPr>
        <w:spacing w:after="0" w:line="199" w:lineRule="exact"/>
        <w:rPr>
          <w:rFonts w:ascii="Times New Roman" w:cs="Times New Roman" w:eastAsia="Times New Roman" w:hAnsi="Times New Roman"/>
          <w:sz w:val="19"/>
          <w:szCs w:val="19"/>
          <w:color w:val="auto"/>
          <w:vertAlign w:val="superscript"/>
        </w:rPr>
      </w:pPr>
    </w:p>
    <w:p>
      <w:pPr>
        <w:ind w:right="300" w:firstLine="6"/>
        <w:spacing w:after="0" w:line="280" w:lineRule="auto"/>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payments made for the partial termination of our lease for our San Francisco, California corporate headquarters during the years ended December 31, 2024, and 2023 and the quarter ended December 31, 2023.</w:t>
      </w:r>
    </w:p>
    <w:p>
      <w:pPr>
        <w:sectPr>
          <w:pgSz w:w="11900" w:h="16838" w:orient="portrait"/>
          <w:cols w:equalWidth="0" w:num="1">
            <w:col w:w="11220"/>
          </w:cols>
          <w:pgMar w:left="320" w:top="86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net gain or loss on real estate assets, expenses related to our reduction in workforce, net loss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In order to present revenue on a constant currency basis for the quarter ended December 31, 2024,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1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0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9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key employee holdback payments related to our various acquisitions, payments related to workforce reduction and cash paid for lease termination.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20"/>
          </w:cols>
          <w:pgMar w:left="320" w:top="1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Stabler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ir@dropbox.com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Maddy Pelton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press@dropbox.com</w:t>
      </w:r>
    </w:p>
    <w:sectPr>
      <w:pgSz w:w="11900" w:h="16838" w:orient="portrait"/>
      <w:cols w:equalWidth="0" w:num="1">
        <w:col w:w="10139"/>
      </w:cols>
      <w:pgMar w:left="320" w:top="8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lvl>
    <w:lvl w:ilvl="1">
      <w:lvlJc w:val="left"/>
      <w:lvlText w:val="•"/>
      <w:numFmt w:val="bullet"/>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lowerRoman"/>
      <w:start w:val="6"/>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2"/>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2025-02-20T15:16:04Z</dcterms:created>
  <dcterms:modified xsi:type="dcterms:W3CDTF">2025-02-20T15:16:04Z</dcterms:modified>
</cp:coreProperties>
</file>