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May 15, 2025</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1"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60"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May 15, 2025, at the 2025 Annual Meeting of Stockholders (the “Annual Meeting”) of Dropbox, Inc. (the “Company”), the Company’s stockholders voted upon the following proposals described in the Company’s definitive proxy statement filed with the Securities and Exchange Commission on April 15, 2025:</w:t>
      </w:r>
    </w:p>
    <w:p>
      <w:pPr>
        <w:spacing w:after="0" w:line="1" w:lineRule="exact"/>
        <w:rPr>
          <w:sz w:val="20"/>
          <w:szCs w:val="20"/>
          <w:color w:val="auto"/>
        </w:rPr>
      </w:pPr>
    </w:p>
    <w:p>
      <w:pPr>
        <w:jc w:val="both"/>
        <w:ind w:firstLine="6"/>
        <w:spacing w:after="0" w:line="233" w:lineRule="auto"/>
        <w:tabs>
          <w:tab w:leader="none" w:pos="2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to the Board of Directors of the Company to serve until the next annual meeting of stockholders and until their successors are duly elected and qualified; (2) to ratify the appointment of Ernst &amp; Young LLP, an independent registered public accounting firm, as auditors for the fiscal year ending December 31, 2025; (3) to approve, on an advisory basis, the compensation of the Company’s named executive officers; (4) to approve, on an advisory basis, the frequency of future stockholder advisory votes on the compensation of our named executive officers; and (5) to vote on a stockholder proposal to impose vesting provisions on our Class B common stock.</w:t>
      </w:r>
    </w:p>
    <w:p>
      <w:pPr>
        <w:spacing w:after="0" w:line="20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All nominated directors were elected, proposals 2 and 3 were approved by the required stockholder vote, stockholders selected "1 Year" for proposal 4 and proposal 5 did not pass. The final voting results with respect to each proposal is as set forth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Proposal for election of eight directors: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57"/>
        </w:trPr>
        <w:tc>
          <w:tcPr>
            <w:tcW w:w="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2"/>
              </w:rPr>
              <w:t>For</w:t>
            </w:r>
          </w:p>
        </w:tc>
        <w:tc>
          <w:tcPr>
            <w:tcW w:w="22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9"/>
        </w:trPr>
        <w:tc>
          <w:tcPr>
            <w:tcW w:w="40" w:type="dxa"/>
            <w:vAlign w:val="bottom"/>
          </w:tcPr>
          <w:p>
            <w:pPr>
              <w:spacing w:after="0"/>
              <w:rPr>
                <w:sz w:val="19"/>
                <w:szCs w:val="19"/>
                <w:color w:val="auto"/>
              </w:rPr>
            </w:pPr>
          </w:p>
        </w:tc>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Campbell</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839,338,982</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100,452,014</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9,717,315</w:t>
            </w:r>
          </w:p>
        </w:tc>
      </w:tr>
      <w:tr>
        <w:trPr>
          <w:trHeight w:val="226"/>
        </w:trPr>
        <w:tc>
          <w:tcPr>
            <w:tcW w:w="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W. Houston</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874,421,576</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65,369,420</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9,717,315</w:t>
            </w:r>
          </w:p>
        </w:tc>
      </w:tr>
      <w:tr>
        <w:trPr>
          <w:trHeight w:val="226"/>
        </w:trPr>
        <w:tc>
          <w:tcPr>
            <w:tcW w:w="4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E. Jacobs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818,212,893</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121,578,103</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9,717,315</w:t>
            </w:r>
          </w:p>
        </w:tc>
      </w:tr>
      <w:tr>
        <w:trPr>
          <w:trHeight w:val="226"/>
        </w:trPr>
        <w:tc>
          <w:tcPr>
            <w:tcW w:w="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Jenson</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938,464,102</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1,326,894</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9,717,315</w:t>
            </w:r>
          </w:p>
        </w:tc>
      </w:tr>
      <w:tr>
        <w:trPr>
          <w:trHeight w:val="226"/>
        </w:trPr>
        <w:tc>
          <w:tcPr>
            <w:tcW w:w="4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Moore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934,786,903</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5,004,093</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9,717,315</w:t>
            </w:r>
          </w:p>
        </w:tc>
      </w:tr>
      <w:tr>
        <w:trPr>
          <w:trHeight w:val="226"/>
        </w:trPr>
        <w:tc>
          <w:tcPr>
            <w:tcW w:w="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Abhay Parasnis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934,327,031</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5,463,965</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9,717,315</w:t>
            </w:r>
          </w:p>
        </w:tc>
      </w:tr>
      <w:tr>
        <w:trPr>
          <w:trHeight w:val="226"/>
        </w:trPr>
        <w:tc>
          <w:tcPr>
            <w:tcW w:w="4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Peacock</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934,400,706</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5,390,290</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9,717,315</w:t>
            </w:r>
          </w:p>
        </w:tc>
      </w:tr>
      <w:tr>
        <w:trPr>
          <w:trHeight w:val="253"/>
        </w:trPr>
        <w:tc>
          <w:tcPr>
            <w:tcW w:w="40" w:type="dxa"/>
            <w:vAlign w:val="bottom"/>
          </w:tcPr>
          <w:p>
            <w:pPr>
              <w:spacing w:after="0"/>
              <w:rPr>
                <w:sz w:val="22"/>
                <w:szCs w:val="22"/>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Seibel</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934,428,142</w:t>
            </w:r>
          </w:p>
        </w:tc>
        <w:tc>
          <w:tcPr>
            <w:tcW w:w="12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5,362,854</w:t>
            </w:r>
          </w:p>
        </w:tc>
        <w:tc>
          <w:tcPr>
            <w:tcW w:w="10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9,717,315</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Proposal to ratify Ernst &amp; Young LLP as auditors for the fiscal year ending December 31, 2025:</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8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8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1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9"/>
        </w:trPr>
        <w:tc>
          <w:tcPr>
            <w:tcW w:w="218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945,804,143</w:t>
            </w:r>
          </w:p>
        </w:tc>
        <w:tc>
          <w:tcPr>
            <w:tcW w:w="1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3,455,175</w:t>
            </w:r>
          </w:p>
        </w:tc>
        <w:tc>
          <w:tcPr>
            <w:tcW w:w="1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248,993</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Proposal to approve, on an advisory basis, the compensation of the Company's named executive officers:</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0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0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9"/>
        </w:trPr>
        <w:tc>
          <w:tcPr>
            <w:tcW w:w="200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927,886,541</w:t>
            </w:r>
          </w:p>
        </w:tc>
        <w:tc>
          <w:tcPr>
            <w:tcW w:w="10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11,632,621</w:t>
            </w:r>
          </w:p>
        </w:tc>
        <w:tc>
          <w:tcPr>
            <w:tcW w:w="104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271,834</w:t>
            </w:r>
          </w:p>
        </w:tc>
        <w:tc>
          <w:tcPr>
            <w:tcW w:w="10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9,717,315</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Proposal to approve, on an advisory basis, the frequency of future stockholder advisory votes on the compensation of our named executive officers:</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23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5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2"/>
              </w:rPr>
              <w:t>2 Years</w:t>
            </w:r>
          </w:p>
        </w:tc>
        <w:tc>
          <w:tcPr>
            <w:tcW w:w="24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2"/>
              </w:rPr>
              <w:t>3 Years</w:t>
            </w: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9"/>
        </w:trPr>
        <w:tc>
          <w:tcPr>
            <w:tcW w:w="1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936,670,310</w:t>
            </w:r>
          </w:p>
        </w:tc>
        <w:tc>
          <w:tcPr>
            <w:tcW w:w="10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21,535</w:t>
            </w:r>
          </w:p>
        </w:tc>
        <w:tc>
          <w:tcPr>
            <w:tcW w:w="10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2,969,938</w:t>
            </w:r>
          </w:p>
        </w:tc>
        <w:tc>
          <w:tcPr>
            <w:tcW w:w="10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129,213</w:t>
            </w:r>
          </w:p>
        </w:tc>
        <w:tc>
          <w:tcPr>
            <w:tcW w:w="10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9,717,315</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determined to hold stockholder advisory votes on the compensation of named executive officers every 1 year.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Stockholder proposal to impose vesting provisions on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701675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30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8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0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9"/>
        </w:trPr>
        <w:tc>
          <w:tcPr>
            <w:tcW w:w="40" w:type="dxa"/>
            <w:vAlign w:val="bottom"/>
          </w:tcPr>
          <w:p>
            <w:pPr>
              <w:spacing w:after="0"/>
              <w:rPr>
                <w:sz w:val="19"/>
                <w:szCs w:val="19"/>
                <w:color w:val="auto"/>
              </w:rPr>
            </w:pPr>
          </w:p>
        </w:tc>
        <w:tc>
          <w:tcPr>
            <w:tcW w:w="200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90,393,282</w:t>
            </w:r>
          </w:p>
        </w:tc>
        <w:tc>
          <w:tcPr>
            <w:tcW w:w="10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848,488,025</w:t>
            </w:r>
          </w:p>
        </w:tc>
        <w:tc>
          <w:tcPr>
            <w:tcW w:w="104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909,689</w:t>
            </w:r>
          </w:p>
        </w:tc>
        <w:tc>
          <w:tcPr>
            <w:tcW w:w="10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9,717,315</w:t>
            </w:r>
          </w:p>
        </w:tc>
        <w:tc>
          <w:tcPr>
            <w:tcW w:w="20" w:type="dxa"/>
            <w:vAlign w:val="bottom"/>
          </w:tcPr>
          <w:p>
            <w:pPr>
              <w:spacing w:after="0"/>
              <w:rPr>
                <w:sz w:val="19"/>
                <w:szCs w:val="19"/>
                <w:color w:val="auto"/>
              </w:rPr>
            </w:pPr>
          </w:p>
        </w:tc>
      </w:tr>
      <w:tr>
        <w:trPr>
          <w:trHeight w:val="962"/>
        </w:trPr>
        <w:tc>
          <w:tcPr>
            <w:tcW w:w="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2025</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William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William Yoon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1080"/>
      </w:cols>
      <w:pgMar w:left="320" w:top="8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2025-05-19T15:16:31Z</dcterms:created>
  <dcterms:modified xsi:type="dcterms:W3CDTF">2025-05-19T15:16:31Z</dcterms:modified>
</cp:coreProperties>
</file>