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ind w:left="38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-241300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5363845</wp:posOffset>
            </wp:positionH>
            <wp:positionV relativeFrom="paragraph">
              <wp:posOffset>-625475</wp:posOffset>
            </wp:positionV>
            <wp:extent cx="8255" cy="62611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261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4060825</wp:posOffset>
            </wp:positionH>
            <wp:positionV relativeFrom="paragraph">
              <wp:posOffset>-633730</wp:posOffset>
            </wp:positionV>
            <wp:extent cx="8255" cy="6343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343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4086225</wp:posOffset>
            </wp:positionH>
            <wp:positionV relativeFrom="paragraph">
              <wp:posOffset>-608330</wp:posOffset>
            </wp:positionV>
            <wp:extent cx="1260475" cy="5835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60475" cy="5835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-1557020</wp:posOffset>
            </wp:positionH>
            <wp:positionV relativeFrom="paragraph">
              <wp:posOffset>32385</wp:posOffset>
            </wp:positionV>
            <wp:extent cx="6964045" cy="193802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4045" cy="19380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25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Regan Timothy</w:t>
        </w:r>
      </w:hyperlink>
    </w:p>
    <w:p>
      <w:pPr>
        <w:spacing w:after="0" w:line="32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9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1800 OWENS STREET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SUITE 200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4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DROPBOX, INC.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DBX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04/01/2020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" w:right="540" w:hanging="5"/>
        <w:spacing w:after="0" w:line="253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8" w:lineRule="exact"/>
        <w:rPr>
          <w:sz w:val="24"/>
          <w:szCs w:val="24"/>
          <w:color w:val="auto"/>
        </w:rPr>
      </w:pPr>
    </w:p>
    <w:tbl>
      <w:tblPr>
        <w:tblLayout w:type="fixed"/>
        <w:tblInd w:w="205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685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Chief Accounting Officer</w:t>
      </w:r>
    </w:p>
    <w:p>
      <w:pPr>
        <w:spacing w:after="0" w:line="56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25" w:right="359" w:bottom="1440" w:gutter="0" w:footer="0" w:header="0"/>
          <w:type w:val="continuous"/>
        </w:sectPr>
      </w:pPr>
    </w:p>
    <w:p>
      <w:pPr>
        <w:spacing w:after="0" w:line="136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(Street)</w:t>
      </w:r>
    </w:p>
    <w:p>
      <w:pPr>
        <w:spacing w:after="0" w:line="29" w:lineRule="exact"/>
        <w:rPr>
          <w:sz w:val="24"/>
          <w:szCs w:val="24"/>
          <w:color w:val="auto"/>
        </w:rPr>
      </w:pPr>
    </w:p>
    <w:p>
      <w:pPr>
        <w:ind w:left="120" w:right="2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34"/>
          <w:szCs w:val="34"/>
          <w:color w:val="0000FF"/>
          <w:vertAlign w:val="superscript"/>
        </w:rPr>
        <w:t>SAN</w:t>
      </w:r>
      <w:r>
        <w:rPr>
          <w:rFonts w:ascii="Arial" w:cs="Arial" w:eastAsia="Arial" w:hAnsi="Arial"/>
          <w:sz w:val="17"/>
          <w:szCs w:val="17"/>
          <w:color w:val="0000FF"/>
        </w:rPr>
        <w:t xml:space="preserve"> CA 94158 FRANCISCO</w:t>
      </w:r>
    </w:p>
    <w:p>
      <w:pPr>
        <w:spacing w:after="0" w:line="363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(City)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(State)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(Zip)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020"/>
        <w:spacing w:after="0" w:line="233" w:lineRule="auto"/>
        <w:tabs>
          <w:tab w:leader="none" w:pos="43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1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-2484120</wp:posOffset>
            </wp:positionH>
            <wp:positionV relativeFrom="paragraph">
              <wp:posOffset>277495</wp:posOffset>
            </wp:positionV>
            <wp:extent cx="6964045" cy="112522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4045" cy="11252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9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200" w:space="720"/>
            <w:col w:w="7160"/>
          </w:cols>
          <w:pgMar w:left="460" w:top="225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7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8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4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80" w:type="dxa"/>
            <w:vAlign w:val="bottom"/>
            <w:gridSpan w:val="6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5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04/01/2020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5"/>
              </w:rPr>
              <w:t>55,770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5"/>
                <w:vertAlign w:val="superscript"/>
              </w:rPr>
              <w:t>(1)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8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8"/>
              </w:rPr>
              <w:t>0.00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154,302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0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4445</wp:posOffset>
            </wp:positionH>
            <wp:positionV relativeFrom="paragraph">
              <wp:posOffset>-1748155</wp:posOffset>
            </wp:positionV>
            <wp:extent cx="7031355" cy="179387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31355" cy="17938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40" w:right="180" w:firstLine="7"/>
        <w:spacing w:after="0" w:line="266" w:lineRule="auto"/>
        <w:tabs>
          <w:tab w:leader="none" w:pos="173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These securities are restricted stock units. Each restricted stock unit represents the Reporting Person's right to receive one share of Class A Common Stock. The restricted stock units vest as to 1/16th of the shares on May 15, 2020 and each three-month anniversary thereafter through February 15, 2024.</w:t>
      </w:r>
    </w:p>
    <w:p>
      <w:pPr>
        <w:spacing w:after="0" w:line="15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40" w:right="340" w:firstLine="7"/>
        <w:spacing w:after="0" w:line="292" w:lineRule="auto"/>
        <w:tabs>
          <w:tab w:leader="none" w:pos="17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Certain of these securities are restricted stock units. Each restricted stock unit represents the Reporting Person's right to receive one share of Class A Common Stock, subject to the applicable vesting schedule through February 15, 2024. In the event the Reporting Person ceases to be a Service Provider, the unvested restricted stock units will be cancelled by the Issuer.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4" w:lineRule="exact"/>
        <w:rPr>
          <w:sz w:val="24"/>
          <w:szCs w:val="24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68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/s/ Mary Anne Becking,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04/03/2020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1940" w:type="dxa"/>
            <w:vAlign w:val="bottom"/>
            <w:gridSpan w:val="3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Attorney-In-Fact</w:t>
            </w:r>
          </w:p>
        </w:tc>
        <w:tc>
          <w:tcPr>
            <w:tcW w:w="10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19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11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20" w:type="dxa"/>
            <w:vAlign w:val="bottom"/>
            <w:gridSpan w:val="3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300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19" w:lineRule="auto"/>
        <w:tabs>
          <w:tab w:leader="none" w:pos="181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5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3" Type="http://schemas.openxmlformats.org/officeDocument/2006/relationships/hyperlink" Target="http://www.sec.gov/cgi-bin/browse-edgar?action=getcompany&amp;CIK=0001734440" TargetMode="External"/><Relationship Id="rId14" Type="http://schemas.openxmlformats.org/officeDocument/2006/relationships/hyperlink" Target="http://www.sec.gov/cgi-bin/browse-edgar?action=getcompany&amp;CIK=0001467623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2020-04-03T18:11:45Z</dcterms:created>
  <dcterms:modified xsi:type="dcterms:W3CDTF">2020-04-03T18:11:45Z</dcterms:modified>
</cp:coreProperties>
</file>