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2740660</wp:posOffset>
            </wp:positionH>
            <wp:positionV relativeFrom="paragraph">
              <wp:posOffset>-175895</wp:posOffset>
            </wp:positionV>
            <wp:extent cx="17754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2740660</wp:posOffset>
            </wp:positionH>
            <wp:positionV relativeFrom="paragraph">
              <wp:posOffset>-130175</wp:posOffset>
            </wp:positionV>
            <wp:extent cx="17754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 w:lineRule="exact"/>
        <w:rPr>
          <w:sz w:val="24"/>
          <w:szCs w:val="24"/>
          <w:color w:val="auto"/>
        </w:rPr>
      </w:pPr>
    </w:p>
    <w:p>
      <w:pPr>
        <w:ind w:left="4100" w:right="2120" w:hanging="4085"/>
        <w:spacing w:after="0" w:line="261" w:lineRule="auto"/>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QUARTERLY REPORT PURSUANT TO SECTION 13 OR 15(d) OF THE SECURITIES EXCHANGE ACT OF 1934</w:t>
      </w:r>
      <w:r>
        <w:rPr>
          <w:rFonts w:ascii="Arial" w:cs="Arial" w:eastAsia="Arial" w:hAnsi="Arial"/>
          <w:sz w:val="18"/>
          <w:szCs w:val="18"/>
          <w:color w:val="auto"/>
        </w:rPr>
        <w:t xml:space="preserve"> For the quarterly period ended June 30, 2018</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3760" w:right="2040" w:hanging="3752"/>
        <w:spacing w:after="0" w:line="266" w:lineRule="auto"/>
        <w:tabs>
          <w:tab w:leader="none" w:pos="21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from________to________</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001-38434</w:t>
      </w:r>
    </w:p>
    <w:p>
      <w:pPr>
        <w:spacing w:after="0" w:line="200" w:lineRule="exact"/>
        <w:rPr>
          <w:sz w:val="24"/>
          <w:szCs w:val="24"/>
          <w:color w:val="auto"/>
        </w:rPr>
      </w:pP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1994535</wp:posOffset>
            </wp:positionH>
            <wp:positionV relativeFrom="paragraph">
              <wp:posOffset>-254635</wp:posOffset>
            </wp:positionV>
            <wp:extent cx="32759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1994535</wp:posOffset>
            </wp:positionH>
            <wp:positionV relativeFrom="paragraph">
              <wp:posOffset>167640</wp:posOffset>
            </wp:positionV>
            <wp:extent cx="32759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206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26-0138832</w:t>
      </w:r>
    </w:p>
    <w:p>
      <w:pPr>
        <w:spacing w:after="0" w:line="188" w:lineRule="exact"/>
        <w:rPr>
          <w:sz w:val="24"/>
          <w:szCs w:val="24"/>
          <w:color w:val="auto"/>
        </w:rPr>
      </w:pPr>
    </w:p>
    <w:p>
      <w:pPr>
        <w:sectPr>
          <w:pgSz w:w="11900" w:h="16838" w:orient="portrait"/>
          <w:cols w:equalWidth="0" w:num="2">
            <w:col w:w="8700" w:space="720"/>
            <w:col w:w="2000"/>
          </w:cols>
          <w:pgMar w:left="240" w:top="472" w:right="239" w:bottom="1440" w:gutter="0" w:footer="0" w:header="0"/>
          <w:type w:val="continuous"/>
        </w:sectPr>
      </w:pPr>
    </w:p>
    <w:p>
      <w:pPr>
        <w:ind w:left="50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7800" w:space="720"/>
            <w:col w:w="2900"/>
          </w:cols>
          <w:pgMar w:left="240" w:top="472" w:right="239" w:bottom="1440" w:gutter="0" w:footer="0" w:header="0"/>
          <w:type w:val="continuous"/>
        </w:sectPr>
      </w:pP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2123440</wp:posOffset>
            </wp:positionH>
            <wp:positionV relativeFrom="paragraph">
              <wp:posOffset>-127635</wp:posOffset>
            </wp:positionV>
            <wp:extent cx="3009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333 Brannan Street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Francisco, California 94107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(415) 857-6800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2123440</wp:posOffset>
            </wp:positionH>
            <wp:positionV relativeFrom="paragraph">
              <wp:posOffset>168910</wp:posOffset>
            </wp:positionV>
            <wp:extent cx="3009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right="6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27" w:lineRule="exact"/>
        <w:rPr>
          <w:sz w:val="24"/>
          <w:szCs w:val="24"/>
          <w:color w:val="auto"/>
        </w:rPr>
      </w:pPr>
    </w:p>
    <w:p>
      <w:pPr>
        <w:ind w:right="44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127" w:lineRule="exact"/>
        <w:rPr>
          <w:sz w:val="24"/>
          <w:szCs w:val="24"/>
          <w:color w:val="auto"/>
        </w:rPr>
      </w:pPr>
    </w:p>
    <w:p>
      <w:pPr>
        <w:ind w:right="280" w:firstLine="324"/>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4"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39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580" w:type="dxa"/>
            <w:vAlign w:val="bottom"/>
          </w:tcPr>
          <w:p>
            <w:pPr>
              <w:jc w:val="right"/>
              <w:ind w:right="128"/>
              <w:spacing w:after="0" w:line="141" w:lineRule="exact"/>
              <w:rPr>
                <w:sz w:val="20"/>
                <w:szCs w:val="20"/>
                <w:color w:val="auto"/>
              </w:rPr>
            </w:pPr>
            <w:r>
              <w:rPr>
                <w:rFonts w:ascii="MS PGothic" w:cs="MS PGothic" w:eastAsia="MS PGothic" w:hAnsi="MS PGothic"/>
                <w:sz w:val="14"/>
                <w:szCs w:val="14"/>
                <w:color w:val="auto"/>
              </w:rPr>
              <w:t>☐</w:t>
            </w:r>
          </w:p>
        </w:tc>
        <w:tc>
          <w:tcPr>
            <w:tcW w:w="3740" w:type="dxa"/>
            <w:vAlign w:val="bottom"/>
          </w:tcPr>
          <w:p>
            <w:pPr>
              <w:ind w:left="200"/>
              <w:spacing w:after="0"/>
              <w:rPr>
                <w:sz w:val="20"/>
                <w:szCs w:val="20"/>
                <w:color w:val="auto"/>
              </w:rPr>
            </w:pPr>
            <w:r>
              <w:rPr>
                <w:rFonts w:ascii="Arial" w:cs="Arial" w:eastAsia="Arial" w:hAnsi="Arial"/>
                <w:sz w:val="14"/>
                <w:szCs w:val="14"/>
                <w:color w:val="auto"/>
              </w:rPr>
              <w:t>Accelerated filer</w:t>
            </w:r>
          </w:p>
        </w:tc>
        <w:tc>
          <w:tcPr>
            <w:tcW w:w="2080" w:type="dxa"/>
            <w:vAlign w:val="bottom"/>
          </w:tcPr>
          <w:p>
            <w:pPr>
              <w:ind w:left="19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92"/>
        </w:trPr>
        <w:tc>
          <w:tcPr>
            <w:tcW w:w="3940" w:type="dxa"/>
            <w:vAlign w:val="bottom"/>
          </w:tcPr>
          <w:p>
            <w:pPr>
              <w:spacing w:after="0"/>
              <w:rPr>
                <w:sz w:val="20"/>
                <w:szCs w:val="20"/>
                <w:color w:val="auto"/>
              </w:rPr>
            </w:pPr>
            <w:r>
              <w:rPr>
                <w:rFonts w:ascii="Arial" w:cs="Arial" w:eastAsia="Arial" w:hAnsi="Arial"/>
                <w:sz w:val="14"/>
                <w:szCs w:val="14"/>
                <w:color w:val="auto"/>
              </w:rPr>
              <w:t>Non-accelerated filer</w:t>
            </w:r>
          </w:p>
        </w:tc>
        <w:tc>
          <w:tcPr>
            <w:tcW w:w="1580" w:type="dxa"/>
            <w:vAlign w:val="bottom"/>
          </w:tcPr>
          <w:p>
            <w:pPr>
              <w:jc w:val="right"/>
              <w:ind w:right="128"/>
              <w:spacing w:after="0"/>
              <w:rPr>
                <w:sz w:val="20"/>
                <w:szCs w:val="20"/>
                <w:color w:val="auto"/>
              </w:rPr>
            </w:pPr>
            <w:r>
              <w:rPr>
                <w:rFonts w:ascii="Arial" w:cs="Arial" w:eastAsia="Arial" w:hAnsi="Arial"/>
                <w:sz w:val="14"/>
                <w:szCs w:val="14"/>
                <w:color w:val="auto"/>
              </w:rPr>
              <w:t>x</w:t>
            </w:r>
          </w:p>
        </w:tc>
        <w:tc>
          <w:tcPr>
            <w:tcW w:w="3740" w:type="dxa"/>
            <w:vAlign w:val="bottom"/>
          </w:tcPr>
          <w:p>
            <w:pPr>
              <w:ind w:left="200"/>
              <w:spacing w:after="0"/>
              <w:rPr>
                <w:sz w:val="20"/>
                <w:szCs w:val="20"/>
                <w:color w:val="auto"/>
              </w:rPr>
            </w:pPr>
            <w:r>
              <w:rPr>
                <w:rFonts w:ascii="Arial" w:cs="Arial" w:eastAsia="Arial" w:hAnsi="Arial"/>
                <w:sz w:val="14"/>
                <w:szCs w:val="14"/>
                <w:color w:val="auto"/>
              </w:rPr>
              <w:t>Smaller reporting company</w:t>
            </w:r>
          </w:p>
        </w:tc>
        <w:tc>
          <w:tcPr>
            <w:tcW w:w="2080" w:type="dxa"/>
            <w:vAlign w:val="bottom"/>
          </w:tcPr>
          <w:p>
            <w:pPr>
              <w:ind w:left="19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432"/>
        </w:trPr>
        <w:tc>
          <w:tcPr>
            <w:tcW w:w="3940" w:type="dxa"/>
            <w:vAlign w:val="bottom"/>
          </w:tcPr>
          <w:p>
            <w:pPr>
              <w:spacing w:after="0"/>
              <w:rPr>
                <w:sz w:val="20"/>
                <w:szCs w:val="20"/>
                <w:color w:val="auto"/>
              </w:rPr>
            </w:pPr>
            <w:r>
              <w:rPr>
                <w:rFonts w:ascii="Arial" w:cs="Arial" w:eastAsia="Arial" w:hAnsi="Arial"/>
                <w:sz w:val="14"/>
                <w:szCs w:val="14"/>
                <w:color w:val="auto"/>
              </w:rPr>
              <w:t>(Do not check if a smaller reporting company)</w:t>
            </w:r>
          </w:p>
        </w:tc>
        <w:tc>
          <w:tcPr>
            <w:tcW w:w="1580" w:type="dxa"/>
            <w:vAlign w:val="bottom"/>
          </w:tcPr>
          <w:p>
            <w:pPr>
              <w:spacing w:after="0"/>
              <w:rPr>
                <w:sz w:val="24"/>
                <w:szCs w:val="24"/>
                <w:color w:val="auto"/>
              </w:rPr>
            </w:pPr>
          </w:p>
        </w:tc>
        <w:tc>
          <w:tcPr>
            <w:tcW w:w="3740" w:type="dxa"/>
            <w:vAlign w:val="bottom"/>
          </w:tcPr>
          <w:p>
            <w:pPr>
              <w:ind w:left="200"/>
              <w:spacing w:after="0"/>
              <w:rPr>
                <w:sz w:val="20"/>
                <w:szCs w:val="20"/>
                <w:color w:val="auto"/>
              </w:rPr>
            </w:pPr>
            <w:r>
              <w:rPr>
                <w:rFonts w:ascii="Arial" w:cs="Arial" w:eastAsia="Arial" w:hAnsi="Arial"/>
                <w:sz w:val="14"/>
                <w:szCs w:val="14"/>
                <w:color w:val="auto"/>
              </w:rPr>
              <w:t>Emerging growth company</w:t>
            </w:r>
          </w:p>
        </w:tc>
        <w:tc>
          <w:tcPr>
            <w:tcW w:w="2080" w:type="dxa"/>
            <w:vAlign w:val="bottom"/>
          </w:tcPr>
          <w:p>
            <w:pPr>
              <w:ind w:left="19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7" w:lineRule="exact"/>
        <w:rPr>
          <w:sz w:val="24"/>
          <w:szCs w:val="24"/>
          <w:color w:val="auto"/>
        </w:rPr>
      </w:pPr>
    </w:p>
    <w:p>
      <w:pPr>
        <w:ind w:right="1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9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by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190" w:lineRule="exact"/>
        <w:rPr>
          <w:sz w:val="24"/>
          <w:szCs w:val="24"/>
          <w:color w:val="auto"/>
        </w:rPr>
      </w:pPr>
    </w:p>
    <w:p>
      <w:pPr>
        <w:spacing w:after="0" w:line="257" w:lineRule="auto"/>
        <w:rPr>
          <w:sz w:val="20"/>
          <w:szCs w:val="20"/>
          <w:color w:val="auto"/>
        </w:rPr>
      </w:pPr>
      <w:r>
        <w:rPr>
          <w:rFonts w:ascii="Arial" w:cs="Arial" w:eastAsia="Arial" w:hAnsi="Arial"/>
          <w:sz w:val="14"/>
          <w:szCs w:val="14"/>
          <w:color w:val="auto"/>
        </w:rPr>
        <w:t>As of July 31, 2018, there were 112,045,238 shares of the registrants’ Class A common stock outstanding (which excludes 14,733,333 shares of Class A common stock subject to restricted stock awards that were granted pursuant to the Co-Founder Grants, and vest upon the satisfaction of a service condition and achievement of certain stock price goals), 290,261,229 shares of the registrant’s Class B common stock outstanding, and no shares of the registrant’s Class C common stock outstanding.</w:t>
      </w:r>
    </w:p>
    <w:p>
      <w:pPr>
        <w:sectPr>
          <w:pgSz w:w="11900" w:h="16838" w:orient="portrait"/>
          <w:cols w:equalWidth="0" w:num="1">
            <w:col w:w="11420"/>
          </w:cols>
          <w:pgMar w:left="240" w:top="472"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left="110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42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PART I. FINANCIAL INFORMATION</w:t>
        </w:r>
      </w:hyperlink>
    </w:p>
    <w:p>
      <w:pPr>
        <w:spacing w:after="0" w:line="86" w:lineRule="exact"/>
        <w:rPr>
          <w:sz w:val="20"/>
          <w:szCs w:val="20"/>
          <w:color w:val="auto"/>
        </w:rPr>
      </w:pPr>
    </w:p>
    <w:p>
      <w:pPr>
        <w:ind w:left="40"/>
        <w:spacing w:after="0"/>
        <w:tabs>
          <w:tab w:leader="none" w:pos="1060" w:val="left"/>
        </w:tabs>
        <w:rPr>
          <w:rFonts w:ascii="Arial" w:cs="Arial" w:eastAsia="Arial" w:hAnsi="Arial"/>
          <w:sz w:val="14"/>
          <w:szCs w:val="14"/>
          <w:u w:val="single" w:color="auto"/>
          <w:color w:val="0000EE"/>
        </w:rPr>
      </w:pPr>
      <w:r>
        <w:rPr>
          <w:rFonts w:ascii="Arial" w:cs="Arial" w:eastAsia="Arial" w:hAnsi="Arial"/>
          <w:sz w:val="16"/>
          <w:szCs w:val="16"/>
          <w:color w:val="auto"/>
        </w:rPr>
        <w:t>Item 1.</w:t>
      </w:r>
      <w:r>
        <w:rPr>
          <w:sz w:val="20"/>
          <w:szCs w:val="20"/>
          <w:color w:val="auto"/>
        </w:rPr>
        <w:tab/>
      </w:r>
      <w:hyperlink w:anchor="page5">
        <w:r>
          <w:rPr>
            <w:rFonts w:ascii="Arial" w:cs="Arial" w:eastAsia="Arial" w:hAnsi="Arial"/>
            <w:sz w:val="14"/>
            <w:szCs w:val="14"/>
            <w:u w:val="single" w:color="auto"/>
            <w:color w:val="0000EE"/>
          </w:rPr>
          <w:t>Condensed Consolidated Financial Statements (Unaudited)</w:t>
        </w:r>
      </w:hyperlink>
    </w:p>
    <w:p>
      <w:pPr>
        <w:spacing w:after="0" w:line="73" w:lineRule="exact"/>
        <w:rPr>
          <w:sz w:val="20"/>
          <w:szCs w:val="20"/>
          <w:color w:val="auto"/>
        </w:rPr>
      </w:pPr>
    </w:p>
    <w:p>
      <w:pPr>
        <w:ind w:left="108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Condensed Consolidated Balance Sheets as of June 30, 2018 and December 31, 2017</w:t>
        </w:r>
      </w:hyperlink>
    </w:p>
    <w:p>
      <w:pPr>
        <w:spacing w:after="0" w:line="86" w:lineRule="exact"/>
        <w:rPr>
          <w:sz w:val="20"/>
          <w:szCs w:val="20"/>
          <w:color w:val="auto"/>
        </w:rPr>
      </w:pPr>
    </w:p>
    <w:p>
      <w:pPr>
        <w:ind w:left="1080"/>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Condensed Consolidated Statements of Operations for the Three and Six Months ended June 30, 2018 and 2017</w:t>
        </w:r>
      </w:hyperlink>
    </w:p>
    <w:p>
      <w:pPr>
        <w:spacing w:after="0" w:line="98" w:lineRule="exact"/>
        <w:rPr>
          <w:sz w:val="20"/>
          <w:szCs w:val="20"/>
          <w:color w:val="auto"/>
        </w:rPr>
      </w:pPr>
    </w:p>
    <w:p>
      <w:pPr>
        <w:ind w:left="108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Condensed Consolidated Statements of Comprehensive Loss for the Three and Six Months Ended June 30, 2018 and 2017</w:t>
        </w:r>
      </w:hyperlink>
    </w:p>
    <w:p>
      <w:pPr>
        <w:spacing w:after="0" w:line="109" w:lineRule="exact"/>
        <w:rPr>
          <w:sz w:val="20"/>
          <w:szCs w:val="20"/>
          <w:color w:val="auto"/>
        </w:rPr>
      </w:pPr>
    </w:p>
    <w:p>
      <w:pPr>
        <w:ind w:left="1080"/>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Condensed Consolidated Statements of Cash Flows for the Six Months Ended June 30, 2018 and 2017</w:t>
        </w:r>
      </w:hyperlink>
    </w:p>
    <w:p>
      <w:pPr>
        <w:spacing w:after="0" w:line="86" w:lineRule="exact"/>
        <w:rPr>
          <w:sz w:val="20"/>
          <w:szCs w:val="20"/>
          <w:color w:val="auto"/>
        </w:rPr>
      </w:pPr>
    </w:p>
    <w:p>
      <w:pPr>
        <w:ind w:left="1080"/>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Notes to Condensed Consolidated Financial Statements</w:t>
        </w:r>
      </w:hyperlink>
    </w:p>
    <w:p>
      <w:pPr>
        <w:spacing w:after="0" w:line="86" w:lineRule="exact"/>
        <w:rPr>
          <w:sz w:val="20"/>
          <w:szCs w:val="20"/>
          <w:color w:val="auto"/>
        </w:rPr>
      </w:pPr>
    </w:p>
    <w:p>
      <w:pPr>
        <w:ind w:left="40"/>
        <w:spacing w:after="0"/>
        <w:tabs>
          <w:tab w:leader="none" w:pos="1060" w:val="left"/>
        </w:tabs>
        <w:rPr>
          <w:rFonts w:ascii="Arial" w:cs="Arial" w:eastAsia="Arial" w:hAnsi="Arial"/>
          <w:sz w:val="14"/>
          <w:szCs w:val="14"/>
          <w:u w:val="single" w:color="auto"/>
          <w:color w:val="0000EE"/>
        </w:rPr>
      </w:pPr>
      <w:r>
        <w:rPr>
          <w:rFonts w:ascii="Arial" w:cs="Arial" w:eastAsia="Arial" w:hAnsi="Arial"/>
          <w:sz w:val="16"/>
          <w:szCs w:val="16"/>
          <w:color w:val="auto"/>
        </w:rPr>
        <w:t>Item 2.</w:t>
      </w:r>
      <w:r>
        <w:rPr>
          <w:sz w:val="20"/>
          <w:szCs w:val="20"/>
          <w:color w:val="auto"/>
        </w:rPr>
        <w:tab/>
      </w:r>
      <w:hyperlink w:anchor="page29">
        <w:r>
          <w:rPr>
            <w:rFonts w:ascii="Arial" w:cs="Arial" w:eastAsia="Arial" w:hAnsi="Arial"/>
            <w:sz w:val="14"/>
            <w:szCs w:val="14"/>
            <w:u w:val="single" w:color="auto"/>
            <w:color w:val="0000EE"/>
          </w:rPr>
          <w:t>Management's Discussion and Analysis of Financial Condition and Results of Operations</w:t>
        </w:r>
      </w:hyperlink>
    </w:p>
    <w:p>
      <w:pPr>
        <w:spacing w:after="0" w:line="73" w:lineRule="exact"/>
        <w:rPr>
          <w:sz w:val="20"/>
          <w:szCs w:val="20"/>
          <w:color w:val="auto"/>
        </w:rPr>
      </w:pPr>
    </w:p>
    <w:p>
      <w:pPr>
        <w:ind w:left="40"/>
        <w:spacing w:after="0"/>
        <w:tabs>
          <w:tab w:leader="none" w:pos="1060" w:val="left"/>
        </w:tabs>
        <w:rPr>
          <w:rFonts w:ascii="Arial" w:cs="Arial" w:eastAsia="Arial" w:hAnsi="Arial"/>
          <w:sz w:val="14"/>
          <w:szCs w:val="14"/>
          <w:u w:val="single" w:color="auto"/>
          <w:color w:val="0000EE"/>
        </w:rPr>
      </w:pPr>
      <w:r>
        <w:rPr>
          <w:rFonts w:ascii="Arial" w:cs="Arial" w:eastAsia="Arial" w:hAnsi="Arial"/>
          <w:sz w:val="16"/>
          <w:szCs w:val="16"/>
          <w:color w:val="auto"/>
        </w:rPr>
        <w:t>Item 3.</w:t>
      </w:r>
      <w:r>
        <w:rPr>
          <w:sz w:val="20"/>
          <w:szCs w:val="20"/>
          <w:color w:val="auto"/>
        </w:rPr>
        <w:tab/>
      </w:r>
      <w:hyperlink w:anchor="page51">
        <w:r>
          <w:rPr>
            <w:rFonts w:ascii="Arial" w:cs="Arial" w:eastAsia="Arial" w:hAnsi="Arial"/>
            <w:sz w:val="14"/>
            <w:szCs w:val="14"/>
            <w:u w:val="single" w:color="auto"/>
            <w:color w:val="0000EE"/>
          </w:rPr>
          <w:t>Quantitative and Qualitative Disclosures About Market Risk</w:t>
        </w:r>
      </w:hyperlink>
    </w:p>
    <w:p>
      <w:pPr>
        <w:spacing w:after="0" w:line="73" w:lineRule="exact"/>
        <w:rPr>
          <w:sz w:val="20"/>
          <w:szCs w:val="20"/>
          <w:color w:val="auto"/>
        </w:rPr>
      </w:pPr>
    </w:p>
    <w:p>
      <w:pPr>
        <w:ind w:left="40"/>
        <w:spacing w:after="0"/>
        <w:tabs>
          <w:tab w:leader="none" w:pos="1060" w:val="left"/>
        </w:tabs>
        <w:rPr>
          <w:rFonts w:ascii="Arial" w:cs="Arial" w:eastAsia="Arial" w:hAnsi="Arial"/>
          <w:sz w:val="14"/>
          <w:szCs w:val="14"/>
          <w:u w:val="single" w:color="auto"/>
          <w:color w:val="0000EE"/>
        </w:rPr>
      </w:pPr>
      <w:r>
        <w:rPr>
          <w:rFonts w:ascii="Arial" w:cs="Arial" w:eastAsia="Arial" w:hAnsi="Arial"/>
          <w:sz w:val="16"/>
          <w:szCs w:val="16"/>
          <w:color w:val="auto"/>
        </w:rPr>
        <w:t>Item 4.</w:t>
      </w:r>
      <w:r>
        <w:rPr>
          <w:sz w:val="20"/>
          <w:szCs w:val="20"/>
          <w:color w:val="auto"/>
        </w:rPr>
        <w:tab/>
      </w:r>
      <w:hyperlink w:anchor="page52">
        <w:r>
          <w:rPr>
            <w:rFonts w:ascii="Arial" w:cs="Arial" w:eastAsia="Arial" w:hAnsi="Arial"/>
            <w:sz w:val="14"/>
            <w:szCs w:val="14"/>
            <w:u w:val="single" w:color="auto"/>
            <w:color w:val="0000EE"/>
          </w:rPr>
          <w:t>Controls and Procedures</w:t>
        </w:r>
      </w:hyperlink>
    </w:p>
    <w:p>
      <w:pPr>
        <w:spacing w:after="0" w:line="397" w:lineRule="exact"/>
        <w:rPr>
          <w:sz w:val="20"/>
          <w:szCs w:val="20"/>
          <w:color w:val="auto"/>
        </w:rPr>
      </w:pPr>
    </w:p>
    <w:p>
      <w:pPr>
        <w:jc w:val="center"/>
        <w:ind w:left="1100"/>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PART II. OTHER INFORMATION</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Page</w:t>
      </w:r>
    </w:p>
    <w:p>
      <w:pPr>
        <w:spacing w:after="0" w:line="370" w:lineRule="exact"/>
        <w:rPr>
          <w:sz w:val="20"/>
          <w:szCs w:val="20"/>
          <w:color w:val="auto"/>
        </w:rPr>
      </w:pPr>
    </w:p>
    <w:p>
      <w:pPr>
        <w:jc w:val="right"/>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6</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7</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8</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9</w:t>
        </w:r>
      </w:hyperlink>
    </w:p>
    <w:p>
      <w:pPr>
        <w:spacing w:after="0" w:line="73" w:lineRule="exact"/>
        <w:rPr>
          <w:sz w:val="20"/>
          <w:szCs w:val="20"/>
          <w:color w:val="auto"/>
        </w:rPr>
      </w:pPr>
    </w:p>
    <w:p>
      <w:pPr>
        <w:jc w:val="right"/>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29</w:t>
        </w:r>
      </w:hyperlink>
    </w:p>
    <w:p>
      <w:pPr>
        <w:spacing w:after="0" w:line="73" w:lineRule="exact"/>
        <w:rPr>
          <w:sz w:val="20"/>
          <w:szCs w:val="20"/>
          <w:color w:val="auto"/>
        </w:rPr>
      </w:pPr>
    </w:p>
    <w:p>
      <w:pPr>
        <w:jc w:val="right"/>
        <w:spacing w:after="0"/>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51</w:t>
        </w:r>
      </w:hyperlink>
    </w:p>
    <w:p>
      <w:pPr>
        <w:spacing w:after="0" w:line="73" w:lineRule="exact"/>
        <w:rPr>
          <w:sz w:val="20"/>
          <w:szCs w:val="20"/>
          <w:color w:val="auto"/>
        </w:rPr>
      </w:pPr>
    </w:p>
    <w:p>
      <w:pPr>
        <w:jc w:val="right"/>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52</w:t>
        </w:r>
      </w:hyperlink>
    </w:p>
    <w:p>
      <w:pPr>
        <w:spacing w:after="0" w:line="654" w:lineRule="exact"/>
        <w:rPr>
          <w:sz w:val="20"/>
          <w:szCs w:val="20"/>
          <w:color w:val="auto"/>
        </w:rPr>
      </w:pPr>
    </w:p>
    <w:p>
      <w:pPr>
        <w:sectPr>
          <w:pgSz w:w="11900" w:h="16838" w:orient="portrait"/>
          <w:cols w:equalWidth="0" w:num="2">
            <w:col w:w="10340" w:space="720"/>
            <w:col w:w="340"/>
          </w:cols>
          <w:pgMar w:left="240" w:top="121" w:right="259" w:bottom="1440" w:gutter="0" w:footer="0" w:header="0"/>
        </w:sectPr>
      </w:pPr>
    </w:p>
    <w:tbl>
      <w:tblPr>
        <w:tblLayout w:type="fixed"/>
        <w:tblInd w:w="40" w:type="dxa"/>
        <w:tblCellMar>
          <w:top w:w="0" w:type="dxa"/>
          <w:left w:w="0" w:type="dxa"/>
          <w:bottom w:w="0" w:type="dxa"/>
          <w:right w:w="0" w:type="dxa"/>
        </w:tblCellMar>
      </w:tblPr>
      <w:tr>
        <w:trPr>
          <w:trHeight w:val="184"/>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1200" w:type="dxa"/>
            <w:vAlign w:val="bottom"/>
            <w:gridSpan w:val="5"/>
          </w:tcPr>
          <w:p>
            <w:pPr>
              <w:spacing w:after="0"/>
              <w:rPr>
                <w:rFonts w:ascii="Arial" w:cs="Arial" w:eastAsia="Arial" w:hAnsi="Arial"/>
                <w:sz w:val="16"/>
                <w:szCs w:val="16"/>
                <w:color w:val="0000EE"/>
                <w:w w:val="89"/>
              </w:rPr>
            </w:pPr>
            <w:hyperlink w:anchor="page53">
              <w:r>
                <w:rPr>
                  <w:rFonts w:ascii="Arial" w:cs="Arial" w:eastAsia="Arial" w:hAnsi="Arial"/>
                  <w:sz w:val="16"/>
                  <w:szCs w:val="16"/>
                  <w:color w:val="0000EE"/>
                  <w:w w:val="89"/>
                </w:rPr>
                <w:t>Legal Proceedings</w:t>
              </w:r>
            </w:hyperlink>
          </w:p>
        </w:tc>
        <w:tc>
          <w:tcPr>
            <w:tcW w:w="5840" w:type="dxa"/>
            <w:vAlign w:val="bottom"/>
            <w:gridSpan w:val="2"/>
          </w:tcPr>
          <w:p>
            <w:pPr>
              <w:spacing w:after="0"/>
              <w:rPr>
                <w:sz w:val="16"/>
                <w:szCs w:val="16"/>
                <w:color w:val="auto"/>
              </w:rPr>
            </w:pPr>
          </w:p>
        </w:tc>
        <w:tc>
          <w:tcPr>
            <w:tcW w:w="3280" w:type="dxa"/>
            <w:vAlign w:val="bottom"/>
            <w:gridSpan w:val="2"/>
          </w:tcPr>
          <w:p>
            <w:pPr>
              <w:jc w:val="right"/>
              <w:spacing w:after="0"/>
              <w:rPr>
                <w:rFonts w:ascii="Arial" w:cs="Arial" w:eastAsia="Arial" w:hAnsi="Arial"/>
                <w:sz w:val="16"/>
                <w:szCs w:val="16"/>
                <w:color w:val="0000EE"/>
              </w:rPr>
            </w:pPr>
            <w:hyperlink w:anchor="page53">
              <w:r>
                <w:rPr>
                  <w:rFonts w:ascii="Arial" w:cs="Arial" w:eastAsia="Arial" w:hAnsi="Arial"/>
                  <w:sz w:val="16"/>
                  <w:szCs w:val="16"/>
                  <w:color w:val="0000EE"/>
                </w:rPr>
                <w:t>53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Item 1A.</w:t>
            </w:r>
          </w:p>
        </w:tc>
        <w:tc>
          <w:tcPr>
            <w:tcW w:w="1200" w:type="dxa"/>
            <w:vAlign w:val="bottom"/>
            <w:gridSpan w:val="5"/>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Risk Factors</w:t>
              </w:r>
            </w:hyperlink>
          </w:p>
        </w:tc>
        <w:tc>
          <w:tcPr>
            <w:tcW w:w="5840" w:type="dxa"/>
            <w:vAlign w:val="bottom"/>
            <w:gridSpan w:val="2"/>
          </w:tcPr>
          <w:p>
            <w:pPr>
              <w:spacing w:after="0"/>
              <w:rPr>
                <w:sz w:val="20"/>
                <w:szCs w:val="20"/>
                <w:color w:val="auto"/>
              </w:rPr>
            </w:pPr>
          </w:p>
        </w:tc>
        <w:tc>
          <w:tcPr>
            <w:tcW w:w="3280" w:type="dxa"/>
            <w:vAlign w:val="bottom"/>
            <w:gridSpan w:val="2"/>
          </w:tcPr>
          <w:p>
            <w:pPr>
              <w:jc w:val="right"/>
              <w:spacing w:after="0"/>
              <w:rPr>
                <w:rFonts w:ascii="Arial" w:cs="Arial" w:eastAsia="Arial" w:hAnsi="Arial"/>
                <w:sz w:val="16"/>
                <w:szCs w:val="16"/>
                <w:color w:val="0000EE"/>
              </w:rPr>
            </w:pPr>
            <w:hyperlink w:anchor="page54">
              <w:r>
                <w:rPr>
                  <w:rFonts w:ascii="Arial" w:cs="Arial" w:eastAsia="Arial" w:hAnsi="Arial"/>
                  <w:sz w:val="16"/>
                  <w:szCs w:val="16"/>
                  <w:color w:val="0000EE"/>
                </w:rPr>
                <w:t>54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3920" w:type="dxa"/>
            <w:vAlign w:val="bottom"/>
            <w:gridSpan w:val="6"/>
          </w:tcPr>
          <w:p>
            <w:pPr>
              <w:spacing w:after="0"/>
              <w:rPr>
                <w:rFonts w:ascii="Arial" w:cs="Arial" w:eastAsia="Arial" w:hAnsi="Arial"/>
                <w:sz w:val="16"/>
                <w:szCs w:val="16"/>
                <w:color w:val="0000EE"/>
                <w:w w:val="90"/>
              </w:rPr>
            </w:pPr>
            <w:hyperlink w:anchor="page78">
              <w:r>
                <w:rPr>
                  <w:rFonts w:ascii="Arial" w:cs="Arial" w:eastAsia="Arial" w:hAnsi="Arial"/>
                  <w:sz w:val="16"/>
                  <w:szCs w:val="16"/>
                  <w:color w:val="0000EE"/>
                  <w:w w:val="90"/>
                </w:rPr>
                <w:t>Unregistered Sales of Equity Securities and Use of Proceeds</w:t>
              </w:r>
            </w:hyperlink>
          </w:p>
        </w:tc>
        <w:tc>
          <w:tcPr>
            <w:tcW w:w="3120" w:type="dxa"/>
            <w:vAlign w:val="bottom"/>
          </w:tcPr>
          <w:p>
            <w:pPr>
              <w:spacing w:after="0"/>
              <w:rPr>
                <w:sz w:val="20"/>
                <w:szCs w:val="20"/>
                <w:color w:val="auto"/>
              </w:rPr>
            </w:pPr>
          </w:p>
        </w:tc>
        <w:tc>
          <w:tcPr>
            <w:tcW w:w="3280" w:type="dxa"/>
            <w:vAlign w:val="bottom"/>
            <w:gridSpan w:val="2"/>
          </w:tcPr>
          <w:p>
            <w:pPr>
              <w:jc w:val="right"/>
              <w:spacing w:after="0"/>
              <w:rPr>
                <w:rFonts w:ascii="Arial" w:cs="Arial" w:eastAsia="Arial" w:hAnsi="Arial"/>
                <w:sz w:val="16"/>
                <w:szCs w:val="16"/>
                <w:color w:val="0000EE"/>
              </w:rPr>
            </w:pPr>
            <w:hyperlink w:anchor="page78">
              <w:r>
                <w:rPr>
                  <w:rFonts w:ascii="Arial" w:cs="Arial" w:eastAsia="Arial" w:hAnsi="Arial"/>
                  <w:sz w:val="16"/>
                  <w:szCs w:val="16"/>
                  <w:color w:val="0000EE"/>
                </w:rPr>
                <w:t>78</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Item 6.</w:t>
            </w:r>
          </w:p>
        </w:tc>
        <w:tc>
          <w:tcPr>
            <w:tcW w:w="540" w:type="dxa"/>
            <w:vAlign w:val="bottom"/>
          </w:tcPr>
          <w:p>
            <w:pPr>
              <w:spacing w:after="0"/>
              <w:rPr>
                <w:rFonts w:ascii="Arial" w:cs="Arial" w:eastAsia="Arial" w:hAnsi="Arial"/>
                <w:sz w:val="16"/>
                <w:szCs w:val="16"/>
                <w:color w:val="0000EE"/>
                <w:w w:val="92"/>
              </w:rPr>
            </w:pPr>
            <w:hyperlink w:anchor="page79">
              <w:r>
                <w:rPr>
                  <w:rFonts w:ascii="Arial" w:cs="Arial" w:eastAsia="Arial" w:hAnsi="Arial"/>
                  <w:sz w:val="16"/>
                  <w:szCs w:val="16"/>
                  <w:color w:val="0000EE"/>
                  <w:w w:val="92"/>
                </w:rPr>
                <w:t>Exhibits</w:t>
              </w:r>
            </w:hyperlink>
          </w:p>
        </w:tc>
        <w:tc>
          <w:tcPr>
            <w:tcW w:w="3380" w:type="dxa"/>
            <w:vAlign w:val="bottom"/>
            <w:gridSpan w:val="5"/>
          </w:tcPr>
          <w:p>
            <w:pPr>
              <w:spacing w:after="0"/>
              <w:rPr>
                <w:sz w:val="20"/>
                <w:szCs w:val="20"/>
                <w:color w:val="auto"/>
              </w:rPr>
            </w:pPr>
          </w:p>
        </w:tc>
        <w:tc>
          <w:tcPr>
            <w:tcW w:w="3120" w:type="dxa"/>
            <w:vAlign w:val="bottom"/>
          </w:tcPr>
          <w:p>
            <w:pPr>
              <w:spacing w:after="0"/>
              <w:rPr>
                <w:sz w:val="20"/>
                <w:szCs w:val="20"/>
                <w:color w:val="auto"/>
              </w:rPr>
            </w:pPr>
          </w:p>
        </w:tc>
        <w:tc>
          <w:tcPr>
            <w:tcW w:w="3280" w:type="dxa"/>
            <w:vAlign w:val="bottom"/>
            <w:gridSpan w:val="2"/>
          </w:tcPr>
          <w:p>
            <w:pPr>
              <w:jc w:val="right"/>
              <w:spacing w:after="0"/>
              <w:rPr>
                <w:rFonts w:ascii="Arial" w:cs="Arial" w:eastAsia="Arial" w:hAnsi="Arial"/>
                <w:sz w:val="16"/>
                <w:szCs w:val="16"/>
                <w:color w:val="0000EE"/>
              </w:rPr>
            </w:pPr>
            <w:hyperlink w:anchor="page79">
              <w:r>
                <w:rPr>
                  <w:rFonts w:ascii="Arial" w:cs="Arial" w:eastAsia="Arial" w:hAnsi="Arial"/>
                  <w:sz w:val="16"/>
                  <w:szCs w:val="16"/>
                  <w:color w:val="0000EE"/>
                </w:rPr>
                <w:t>79</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160" w:type="dxa"/>
            <w:vAlign w:val="bottom"/>
            <w:gridSpan w:val="3"/>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7040" w:type="dxa"/>
            <w:vAlign w:val="bottom"/>
            <w:gridSpan w:val="7"/>
          </w:tcPr>
          <w:p>
            <w:pPr>
              <w:spacing w:after="0"/>
              <w:rPr>
                <w:rFonts w:ascii="Arial" w:cs="Arial" w:eastAsia="Arial" w:hAnsi="Arial"/>
                <w:sz w:val="16"/>
                <w:szCs w:val="16"/>
                <w:color w:val="0000EE"/>
              </w:rPr>
            </w:pPr>
            <w:hyperlink w:anchor="page80">
              <w:r>
                <w:rPr>
                  <w:rFonts w:ascii="Arial" w:cs="Arial" w:eastAsia="Arial" w:hAnsi="Arial"/>
                  <w:sz w:val="16"/>
                  <w:szCs w:val="16"/>
                  <w:color w:val="0000EE"/>
                </w:rPr>
                <w:t>Exhibit Index</w:t>
              </w:r>
            </w:hyperlink>
          </w:p>
        </w:tc>
        <w:tc>
          <w:tcPr>
            <w:tcW w:w="3280" w:type="dxa"/>
            <w:vAlign w:val="bottom"/>
            <w:gridSpan w:val="2"/>
          </w:tcPr>
          <w:p>
            <w:pPr>
              <w:jc w:val="right"/>
              <w:spacing w:after="0"/>
              <w:rPr>
                <w:rFonts w:ascii="Arial" w:cs="Arial" w:eastAsia="Arial" w:hAnsi="Arial"/>
                <w:sz w:val="16"/>
                <w:szCs w:val="16"/>
                <w:color w:val="0000EE"/>
              </w:rPr>
            </w:pPr>
            <w:hyperlink w:anchor="page80">
              <w:r>
                <w:rPr>
                  <w:rFonts w:ascii="Arial" w:cs="Arial" w:eastAsia="Arial" w:hAnsi="Arial"/>
                  <w:sz w:val="16"/>
                  <w:szCs w:val="16"/>
                  <w:color w:val="0000EE"/>
                </w:rPr>
                <w:t>80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tcBorders>
              <w:top w:val="single" w:sz="8" w:color="0000EE"/>
            </w:tcBorders>
            <w:gridSpan w:val="2"/>
            <w:vMerge w:val="restart"/>
          </w:tcPr>
          <w:p>
            <w:pPr>
              <w:spacing w:after="0"/>
              <w:rPr>
                <w:rFonts w:ascii="Arial" w:cs="Arial" w:eastAsia="Arial" w:hAnsi="Arial"/>
                <w:sz w:val="16"/>
                <w:szCs w:val="16"/>
                <w:color w:val="0000EE"/>
                <w:w w:val="86"/>
              </w:rPr>
            </w:pPr>
            <w:hyperlink w:anchor="page81">
              <w:r>
                <w:rPr>
                  <w:rFonts w:ascii="Arial" w:cs="Arial" w:eastAsia="Arial" w:hAnsi="Arial"/>
                  <w:sz w:val="16"/>
                  <w:szCs w:val="16"/>
                  <w:color w:val="0000EE"/>
                  <w:w w:val="86"/>
                </w:rPr>
                <w:t>Signatures</w:t>
              </w:r>
            </w:hyperlink>
          </w:p>
        </w:tc>
        <w:tc>
          <w:tcPr>
            <w:tcW w:w="200" w:type="dxa"/>
            <w:vAlign w:val="bottom"/>
            <w:tcBorders>
              <w:top w:val="single" w:sz="8" w:color="0000EE"/>
            </w:tcBorders>
            <w:gridSpan w:val="2"/>
            <w:vMerge w:val="restart"/>
          </w:tcPr>
          <w:p>
            <w:pPr>
              <w:spacing w:after="0" w:line="20" w:lineRule="exact"/>
              <w:rPr>
                <w:sz w:val="1"/>
                <w:szCs w:val="1"/>
                <w:color w:val="auto"/>
              </w:rPr>
            </w:pPr>
          </w:p>
        </w:tc>
        <w:tc>
          <w:tcPr>
            <w:tcW w:w="6160" w:type="dxa"/>
            <w:vAlign w:val="bottom"/>
            <w:gridSpan w:val="3"/>
            <w:vMerge w:val="restart"/>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6160" w:type="dxa"/>
            <w:vAlign w:val="bottom"/>
            <w:gridSpan w:val="3"/>
            <w:vMerge w:val="continue"/>
          </w:tcPr>
          <w:p>
            <w:pPr>
              <w:spacing w:after="0"/>
              <w:rPr>
                <w:sz w:val="20"/>
                <w:szCs w:val="20"/>
                <w:color w:val="auto"/>
              </w:rPr>
            </w:pPr>
          </w:p>
        </w:tc>
        <w:tc>
          <w:tcPr>
            <w:tcW w:w="3280" w:type="dxa"/>
            <w:vAlign w:val="bottom"/>
            <w:gridSpan w:val="2"/>
          </w:tcPr>
          <w:p>
            <w:pPr>
              <w:jc w:val="right"/>
              <w:spacing w:after="0"/>
              <w:rPr>
                <w:rFonts w:ascii="Arial" w:cs="Arial" w:eastAsia="Arial" w:hAnsi="Arial"/>
                <w:sz w:val="16"/>
                <w:szCs w:val="16"/>
                <w:color w:val="0000EE"/>
              </w:rPr>
            </w:pPr>
            <w:hyperlink w:anchor="page81">
              <w:r>
                <w:rPr>
                  <w:rFonts w:ascii="Arial" w:cs="Arial" w:eastAsia="Arial" w:hAnsi="Arial"/>
                  <w:sz w:val="16"/>
                  <w:szCs w:val="16"/>
                  <w:color w:val="0000EE"/>
                </w:rPr>
                <w:t>81</w:t>
              </w:r>
            </w:hyperlink>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1" w:right="25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FORWARD-LOOKING STATEMENTS</w:t>
      </w:r>
    </w:p>
    <w:p>
      <w:pPr>
        <w:spacing w:after="0" w:line="30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89" w:lineRule="exact"/>
        <w:rPr>
          <w:sz w:val="20"/>
          <w:szCs w:val="20"/>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retain and upgrade paying users;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new users or convert registered users to paying users;</w:t>
      </w:r>
    </w:p>
    <w:p>
      <w:pPr>
        <w:spacing w:after="0" w:line="225" w:lineRule="exact"/>
        <w:rPr>
          <w:rFonts w:ascii="Arial" w:cs="Arial" w:eastAsia="Arial" w:hAnsi="Arial"/>
          <w:sz w:val="18"/>
          <w:szCs w:val="18"/>
          <w:color w:val="auto"/>
        </w:rPr>
      </w:pPr>
    </w:p>
    <w:p>
      <w:pPr>
        <w:ind w:left="740" w:right="80" w:hanging="327"/>
        <w:spacing w:after="0" w:line="277"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financial performance, including trends in revenue, costs of revenue, gross profit or gross margin, operating expenses, paying users, and free cash flow;</w:t>
      </w:r>
    </w:p>
    <w:p>
      <w:pPr>
        <w:spacing w:after="0" w:line="170"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achieve or maintain profitability;</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demand for our platform or for content collaboration solutions in general;</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possible harm caused by significant disruption of service or loss or unauthorized access to users’ content;</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effectively integrate our platform with others;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successfully in competitive markets;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respond to rapid technological changes;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and management of future growth;</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grow due to our lack of a significant outbound sales force;</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large organizations as users;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offer high-quality customer support;</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our international expansion;</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key personnel and highly qualified personnel;</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our brand;</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prevent serious errors or defects in our platform;</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and</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identify, acquire, and integrate companies and assets.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Quarterly Report on Form 10-Q.</w:t>
      </w:r>
    </w:p>
    <w:p>
      <w:pPr>
        <w:spacing w:after="0" w:line="22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121"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8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21"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 FINANCIAL INFORMATION</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As of</w:t>
            </w:r>
          </w:p>
        </w:tc>
        <w:tc>
          <w:tcPr>
            <w:tcW w:w="190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2018</w:t>
            </w:r>
          </w:p>
        </w:tc>
        <w:tc>
          <w:tcPr>
            <w:tcW w:w="260" w:type="dxa"/>
            <w:vAlign w:val="bottom"/>
          </w:tcPr>
          <w:p>
            <w:pPr>
              <w:spacing w:after="0"/>
              <w:rPr>
                <w:sz w:val="20"/>
                <w:szCs w:val="20"/>
                <w:color w:val="auto"/>
              </w:rPr>
            </w:pPr>
          </w:p>
        </w:tc>
        <w:tc>
          <w:tcPr>
            <w:tcW w:w="1900" w:type="dxa"/>
            <w:vAlign w:val="bottom"/>
          </w:tcPr>
          <w:p>
            <w:pPr>
              <w:jc w:val="right"/>
              <w:ind w:right="27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430.0</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477.7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and other receivables, net</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58.8</w:t>
            </w:r>
          </w:p>
        </w:tc>
      </w:tr>
      <w:tr>
        <w:trPr>
          <w:trHeight w:val="27"/>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330.8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341.9</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98.9</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1,602.4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1,019.9</w:t>
            </w:r>
          </w:p>
        </w:tc>
      </w:tr>
      <w:tr>
        <w:trPr>
          <w:trHeight w:val="67"/>
        </w:trPr>
        <w:tc>
          <w:tcPr>
            <w:tcW w:w="69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r>
      <w:tr>
        <w:trPr>
          <w:trHeight w:val="231"/>
        </w:trPr>
        <w:tc>
          <w:tcPr>
            <w:tcW w:w="69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Accrued and other current liabilities</w:t>
            </w:r>
          </w:p>
        </w:tc>
        <w:tc>
          <w:tcPr>
            <w:tcW w:w="34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129.8</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compensation and benefits</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r>
      <w:tr>
        <w:trPr>
          <w:trHeight w:val="270"/>
        </w:trPr>
        <w:tc>
          <w:tcPr>
            <w:tcW w:w="6980" w:type="dxa"/>
            <w:vAlign w:val="bottom"/>
          </w:tcPr>
          <w:p>
            <w:pPr>
              <w:ind w:left="280"/>
              <w:spacing w:after="0" w:line="270" w:lineRule="exact"/>
              <w:rPr>
                <w:sz w:val="20"/>
                <w:szCs w:val="20"/>
                <w:color w:val="auto"/>
              </w:rPr>
            </w:pPr>
            <w:r>
              <w:rPr>
                <w:rFonts w:ascii="Arial" w:cs="Arial" w:eastAsia="Arial" w:hAnsi="Arial"/>
                <w:sz w:val="18"/>
                <w:szCs w:val="18"/>
                <w:color w:val="auto"/>
              </w:rPr>
              <w:t>Capital lease obligation</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102.7</w:t>
            </w: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417.9</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793.3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738.4</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9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Capital lease obligation, non-current</w:t>
            </w:r>
            <w:r>
              <w:rPr>
                <w:rFonts w:ascii="Arial" w:cs="Arial" w:eastAsia="Arial" w:hAnsi="Arial"/>
                <w:sz w:val="25"/>
                <w:szCs w:val="25"/>
                <w:color w:val="auto"/>
                <w:vertAlign w:val="superscript"/>
              </w:rPr>
              <w:t>(1)</w:t>
            </w:r>
          </w:p>
        </w:tc>
        <w:tc>
          <w:tcPr>
            <w:tcW w:w="34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Deferred rent, non-current</w:t>
            </w:r>
          </w:p>
        </w:tc>
        <w:tc>
          <w:tcPr>
            <w:tcW w:w="34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69.8</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971.5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917.0</w:t>
            </w:r>
          </w:p>
        </w:tc>
      </w:tr>
      <w:tr>
        <w:trPr>
          <w:trHeight w:val="27"/>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7)</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Convertible preferred stock</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615.3</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340" w:type="dxa"/>
            <w:vAlign w:val="bottom"/>
          </w:tcPr>
          <w:p>
            <w:pPr>
              <w:spacing w:after="0"/>
              <w:rPr>
                <w:sz w:val="21"/>
                <w:szCs w:val="21"/>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2,248.4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533.1</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(1,049.7)</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1,602.4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1,019.9</w:t>
            </w:r>
          </w:p>
        </w:tc>
      </w:tr>
      <w:tr>
        <w:trPr>
          <w:trHeight w:val="27"/>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220" w:hanging="158"/>
        <w:spacing w:after="0"/>
        <w:tabs>
          <w:tab w:leader="none" w:pos="220" w:val="left"/>
        </w:tabs>
        <w:numPr>
          <w:ilvl w:val="0"/>
          <w:numId w:val="3"/>
        </w:numPr>
        <w:rPr>
          <w:rFonts w:ascii="Arial" w:cs="Arial" w:eastAsia="Arial" w:hAnsi="Arial"/>
          <w:sz w:val="19"/>
          <w:szCs w:val="19"/>
          <w:color w:val="auto"/>
          <w:vertAlign w:val="superscript"/>
        </w:rPr>
      </w:pPr>
      <w:r>
        <w:rPr>
          <w:rFonts w:ascii="Arial" w:cs="Arial" w:eastAsia="Arial" w:hAnsi="Arial"/>
          <w:sz w:val="15"/>
          <w:szCs w:val="15"/>
          <w:color w:val="auto"/>
        </w:rPr>
        <w:t>Includes amounts attributable to related party transactions. See Note 12 for further details.</w:t>
      </w:r>
    </w:p>
    <w:p>
      <w:pPr>
        <w:sectPr>
          <w:pgSz w:w="11900" w:h="16838" w:orient="portrait"/>
          <w:cols w:equalWidth="0" w:num="1">
            <w:col w:w="11420"/>
          </w:cols>
          <w:pgMar w:left="240" w:top="121" w:right="239" w:bottom="1440"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5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June 30,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339.2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266.7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514.6</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Cost of revenue</w:t>
            </w:r>
            <w:r>
              <w:rPr>
                <w:rFonts w:ascii="Arial" w:cs="Arial" w:eastAsia="Arial" w:hAnsi="Arial"/>
                <w:sz w:val="25"/>
                <w:szCs w:val="25"/>
                <w:color w:val="auto"/>
                <w:vertAlign w:val="superscript"/>
              </w:rPr>
              <w:t>(1)</w:t>
            </w:r>
          </w:p>
        </w:tc>
        <w:tc>
          <w:tcPr>
            <w:tcW w:w="9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89.5</w:t>
            </w:r>
          </w:p>
        </w:tc>
        <w:tc>
          <w:tcPr>
            <w:tcW w:w="12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210.1</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249.7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174.5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328.9</w:t>
            </w: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9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119.7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5"/>
                <w:szCs w:val="25"/>
                <w:color w:val="auto"/>
                <w:vertAlign w:val="superscript"/>
              </w:rPr>
              <w:t>(2)</w:t>
            </w:r>
          </w:p>
        </w:tc>
        <w:tc>
          <w:tcPr>
            <w:tcW w:w="9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49.8</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175.9</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96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256.9</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918.5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loss</w:t>
            </w: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94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(469.6)</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16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6"/>
              </w:rPr>
              <w:t>Net loss per share attributable to common stockholders, basic and</w:t>
            </w:r>
          </w:p>
        </w:tc>
        <w:tc>
          <w:tcPr>
            <w:tcW w:w="960" w:type="dxa"/>
            <w:vAlign w:val="bottom"/>
            <w:vMerge w:val="restart"/>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(0.01)</w:t>
            </w: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Weighted-average shares used in computing net loss per share</w:t>
            </w: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6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color w:val="auto"/>
                <w:w w:val="88"/>
              </w:rPr>
              <w:t>401.3</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vMerge w:val="restart"/>
          </w:tcPr>
          <w:p>
            <w:pPr>
              <w:jc w:val="right"/>
              <w:ind w:right="10"/>
              <w:spacing w:after="0"/>
              <w:rPr>
                <w:sz w:val="20"/>
                <w:szCs w:val="20"/>
                <w:color w:val="auto"/>
              </w:rPr>
            </w:pPr>
            <w:r>
              <w:rPr>
                <w:rFonts w:ascii="Arial" w:cs="Arial" w:eastAsia="Arial" w:hAnsi="Arial"/>
                <w:sz w:val="18"/>
                <w:szCs w:val="18"/>
                <w:color w:val="auto"/>
                <w:w w:val="93"/>
              </w:rPr>
              <w:t>195.4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rPr>
              <w:t>310.5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attributable to common stockholders, basic and diluted</w:t>
            </w:r>
          </w:p>
        </w:tc>
        <w:tc>
          <w:tcPr>
            <w:tcW w:w="9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Includes stock-based compensation as follows (in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62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20" w:type="dxa"/>
            <w:vAlign w:val="bottom"/>
            <w:gridSpan w:val="3"/>
          </w:tcPr>
          <w:p>
            <w:pPr>
              <w:jc w:val="center"/>
              <w:ind w:right="410"/>
              <w:spacing w:after="0"/>
              <w:rPr>
                <w:sz w:val="20"/>
                <w:szCs w:val="20"/>
                <w:color w:val="auto"/>
              </w:rPr>
            </w:pPr>
            <w:r>
              <w:rPr>
                <w:rFonts w:ascii="Arial" w:cs="Arial" w:eastAsia="Arial" w:hAnsi="Arial"/>
                <w:sz w:val="18"/>
                <w:szCs w:val="18"/>
                <w:b w:val="1"/>
                <w:bCs w:val="1"/>
                <w:color w:val="auto"/>
                <w:w w:val="88"/>
              </w:rPr>
              <w:t>June 30,</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10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43.5</w:t>
            </w: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12.2</w:t>
            </w:r>
          </w:p>
        </w:tc>
      </w:tr>
    </w:tbl>
    <w:p>
      <w:pPr>
        <w:spacing w:after="0" w:line="314" w:lineRule="exact"/>
        <w:rPr>
          <w:sz w:val="20"/>
          <w:szCs w:val="20"/>
          <w:color w:val="auto"/>
        </w:rPr>
      </w:pPr>
    </w:p>
    <w:p>
      <w:pPr>
        <w:ind w:left="340" w:right="60" w:hanging="332"/>
        <w:spacing w:after="0" w:line="225" w:lineRule="auto"/>
        <w:tabs>
          <w:tab w:leader="none" w:pos="34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General and administrative expense for the three and six months ended June 30, 2017 includes $9.4 million related to a non-cash charitable contribution of common stock to the Dropbox Charitable Foundation, which is a related party of the Company. The Company made additional cash contributions to the Foundation of $0.2 million and $0.4 million during the three and six months ended June 30, 2017, respectively. See Note 12 for further details.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5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6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foreign currency translation adjustments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Change in net unrealized losses on short-term investments</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10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(25.7)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(471.9)</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w:t>
            </w:r>
          </w:p>
        </w:tc>
      </w:tr>
      <w:tr>
        <w:trPr>
          <w:trHeight w:val="27"/>
        </w:trPr>
        <w:tc>
          <w:tcPr>
            <w:tcW w:w="5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74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Six months ended June 30,</w:t>
            </w:r>
          </w:p>
        </w:tc>
        <w:tc>
          <w:tcPr>
            <w:tcW w:w="56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20"/>
                <w:szCs w:val="20"/>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 from operating activities</w:t>
            </w: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60"/>
        </w:trPr>
        <w:tc>
          <w:tcPr>
            <w:tcW w:w="81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Net loss</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8"/>
              </w:rPr>
              <w:t>(469.6)</w:t>
            </w:r>
          </w:p>
        </w:tc>
        <w:tc>
          <w:tcPr>
            <w:tcW w:w="100" w:type="dxa"/>
            <w:vAlign w:val="bottom"/>
          </w:tcPr>
          <w:p>
            <w:pPr>
              <w:spacing w:after="0"/>
              <w:rPr>
                <w:sz w:val="20"/>
                <w:szCs w:val="20"/>
                <w:color w:val="auto"/>
              </w:rPr>
            </w:pP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(59.9)</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75.9</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94.4</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541.6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77.5</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Amortization of deferred commissions</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Donation of common stock to charitable foundation</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Other</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Trade and other receivables, net</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Other assets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Accrued and other current liabilities</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11.8</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compensation and benefits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32.2</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Non-current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173.7</w:t>
            </w: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147.7</w:t>
            </w:r>
          </w:p>
        </w:tc>
      </w:tr>
      <w:tr>
        <w:trPr>
          <w:trHeight w:val="33"/>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 from investing activities</w:t>
            </w: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60"/>
        </w:trPr>
        <w:tc>
          <w:tcPr>
            <w:tcW w:w="81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intangible assets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Cash received from equipment rebates</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short-term investments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(495.9)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Proceeds from maturities of short-term investments</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sales of short-term investments</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(497.6)</w:t>
            </w: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w:t>
            </w:r>
          </w:p>
        </w:tc>
      </w:tr>
      <w:tr>
        <w:trPr>
          <w:trHeight w:val="33"/>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 from financing activities</w:t>
            </w: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60"/>
        </w:trPr>
        <w:tc>
          <w:tcPr>
            <w:tcW w:w="81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r>
    </w:tbl>
    <w:p>
      <w:pPr>
        <w:spacing w:after="0" w:line="17" w:lineRule="exact"/>
        <w:rPr>
          <w:sz w:val="20"/>
          <w:szCs w:val="20"/>
          <w:color w:val="auto"/>
        </w:rPr>
      </w:pPr>
    </w:p>
    <w:p>
      <w:pPr>
        <w:sectPr>
          <w:pgSz w:w="11900" w:h="16838" w:orient="portrait"/>
          <w:cols w:equalWidth="0" w:num="1">
            <w:col w:w="11420"/>
          </w:cols>
          <w:pgMar w:left="240" w:top="121" w:right="239" w:bottom="1440" w:gutter="0" w:footer="0" w:header="0"/>
        </w:sectPr>
      </w:pPr>
    </w:p>
    <w:p>
      <w:pPr>
        <w:ind w:left="280"/>
        <w:spacing w:after="0"/>
        <w:rPr>
          <w:sz w:val="20"/>
          <w:szCs w:val="20"/>
          <w:color w:val="auto"/>
        </w:rPr>
      </w:pPr>
      <w:r>
        <w:rPr>
          <w:rFonts w:ascii="Arial" w:cs="Arial" w:eastAsia="Arial" w:hAnsi="Arial"/>
          <w:sz w:val="14"/>
          <w:szCs w:val="14"/>
          <w:color w:val="auto"/>
        </w:rPr>
        <w:t>Proceeds from initial public offering and private placement, net of underwriters' discounts and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Payments of deferred offering costs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Shares repurchased for tax withholdings on release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Principal payments against capital lease obligations</w:t>
      </w:r>
      <w:r>
        <w:rPr>
          <w:rFonts w:ascii="Arial" w:cs="Arial" w:eastAsia="Arial" w:hAnsi="Arial"/>
          <w:sz w:val="21"/>
          <w:szCs w:val="21"/>
          <w:color w:val="auto"/>
          <w:vertAlign w:val="superscript"/>
        </w:rPr>
        <w:t>(1)</w:t>
      </w:r>
    </w:p>
    <w:p>
      <w:pPr>
        <w:spacing w:after="0" w:line="2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120" w:type="dxa"/>
            <w:vAlign w:val="bottom"/>
          </w:tcPr>
          <w:p>
            <w:pPr>
              <w:jc w:val="right"/>
              <w:ind w:right="619"/>
              <w:spacing w:after="0"/>
              <w:rPr>
                <w:sz w:val="20"/>
                <w:szCs w:val="20"/>
                <w:color w:val="auto"/>
              </w:rPr>
            </w:pPr>
            <w:r>
              <w:rPr>
                <w:rFonts w:ascii="Arial" w:cs="Arial" w:eastAsia="Arial" w:hAnsi="Arial"/>
                <w:sz w:val="16"/>
                <w:szCs w:val="16"/>
                <w:color w:val="auto"/>
                <w:w w:val="99"/>
              </w:rPr>
              <w:t>746.6</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1120" w:type="dxa"/>
            <w:vAlign w:val="bottom"/>
          </w:tcPr>
          <w:p>
            <w:pPr>
              <w:jc w:val="right"/>
              <w:ind w:right="579"/>
              <w:spacing w:after="0"/>
              <w:rPr>
                <w:sz w:val="20"/>
                <w:szCs w:val="20"/>
                <w:color w:val="auto"/>
              </w:rPr>
            </w:pPr>
            <w:r>
              <w:rPr>
                <w:rFonts w:ascii="Arial" w:cs="Arial" w:eastAsia="Arial" w:hAnsi="Arial"/>
                <w:sz w:val="16"/>
                <w:szCs w:val="16"/>
                <w:color w:val="auto"/>
              </w:rPr>
              <w:t>(3.4)</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1120" w:type="dxa"/>
            <w:vAlign w:val="bottom"/>
          </w:tcPr>
          <w:p>
            <w:pPr>
              <w:jc w:val="right"/>
              <w:ind w:right="579"/>
              <w:spacing w:after="0"/>
              <w:rPr>
                <w:sz w:val="20"/>
                <w:szCs w:val="20"/>
                <w:color w:val="auto"/>
              </w:rPr>
            </w:pPr>
            <w:r>
              <w:rPr>
                <w:rFonts w:ascii="Arial" w:cs="Arial" w:eastAsia="Arial" w:hAnsi="Arial"/>
                <w:sz w:val="16"/>
                <w:szCs w:val="16"/>
                <w:color w:val="auto"/>
                <w:w w:val="86"/>
              </w:rPr>
              <w:t>(282.4)</w:t>
            </w:r>
          </w:p>
        </w:tc>
        <w:tc>
          <w:tcPr>
            <w:tcW w:w="104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70"/>
        </w:trPr>
        <w:tc>
          <w:tcPr>
            <w:tcW w:w="1120" w:type="dxa"/>
            <w:vAlign w:val="bottom"/>
          </w:tcPr>
          <w:p>
            <w:pPr>
              <w:jc w:val="right"/>
              <w:ind w:right="579"/>
              <w:spacing w:after="0"/>
              <w:rPr>
                <w:sz w:val="20"/>
                <w:szCs w:val="20"/>
                <w:color w:val="auto"/>
              </w:rPr>
            </w:pPr>
            <w:r>
              <w:rPr>
                <w:rFonts w:ascii="Arial" w:cs="Arial" w:eastAsia="Arial" w:hAnsi="Arial"/>
                <w:sz w:val="16"/>
                <w:szCs w:val="16"/>
                <w:color w:val="auto"/>
              </w:rPr>
              <w:t>(58.3)</w:t>
            </w:r>
          </w:p>
        </w:tc>
        <w:tc>
          <w:tcPr>
            <w:tcW w:w="1040" w:type="dxa"/>
            <w:vAlign w:val="bottom"/>
          </w:tcPr>
          <w:p>
            <w:pPr>
              <w:jc w:val="right"/>
              <w:spacing w:after="0"/>
              <w:rPr>
                <w:sz w:val="20"/>
                <w:szCs w:val="20"/>
                <w:color w:val="auto"/>
              </w:rPr>
            </w:pPr>
            <w:r>
              <w:rPr>
                <w:rFonts w:ascii="Arial" w:cs="Arial" w:eastAsia="Arial" w:hAnsi="Arial"/>
                <w:sz w:val="16"/>
                <w:szCs w:val="16"/>
                <w:color w:val="auto"/>
              </w:rPr>
              <w:t>(69.3)</w:t>
            </w:r>
          </w:p>
        </w:tc>
      </w:tr>
      <w:tr>
        <w:trPr>
          <w:trHeight w:val="270"/>
        </w:trPr>
        <w:tc>
          <w:tcPr>
            <w:tcW w:w="1120" w:type="dxa"/>
            <w:vAlign w:val="bottom"/>
          </w:tcPr>
          <w:p>
            <w:pPr>
              <w:jc w:val="right"/>
              <w:ind w:right="579"/>
              <w:spacing w:after="0"/>
              <w:rPr>
                <w:sz w:val="20"/>
                <w:szCs w:val="20"/>
                <w:color w:val="auto"/>
              </w:rPr>
            </w:pPr>
            <w:r>
              <w:rPr>
                <w:rFonts w:ascii="Arial" w:cs="Arial" w:eastAsia="Arial" w:hAnsi="Arial"/>
                <w:sz w:val="16"/>
                <w:szCs w:val="16"/>
                <w:color w:val="auto"/>
              </w:rPr>
              <w:t>(3.1)</w:t>
            </w:r>
          </w:p>
        </w:tc>
        <w:tc>
          <w:tcPr>
            <w:tcW w:w="1040" w:type="dxa"/>
            <w:vAlign w:val="bottom"/>
          </w:tcPr>
          <w:p>
            <w:pPr>
              <w:jc w:val="right"/>
              <w:spacing w:after="0"/>
              <w:rPr>
                <w:sz w:val="20"/>
                <w:szCs w:val="20"/>
                <w:color w:val="auto"/>
              </w:rPr>
            </w:pPr>
            <w:r>
              <w:rPr>
                <w:rFonts w:ascii="Arial" w:cs="Arial" w:eastAsia="Arial" w:hAnsi="Arial"/>
                <w:sz w:val="16"/>
                <w:szCs w:val="16"/>
                <w:color w:val="auto"/>
              </w:rPr>
              <w:t>(5.1)</w:t>
            </w:r>
          </w:p>
        </w:tc>
      </w:tr>
    </w:tbl>
    <w:p>
      <w:pPr>
        <w:spacing w:after="0" w:line="13" w:lineRule="exact"/>
        <w:rPr>
          <w:sz w:val="20"/>
          <w:szCs w:val="20"/>
          <w:color w:val="auto"/>
        </w:rPr>
      </w:pPr>
    </w:p>
    <w:p>
      <w:pPr>
        <w:sectPr>
          <w:pgSz w:w="11900" w:h="16838" w:orient="portrait"/>
          <w:cols w:equalWidth="0" w:num="2">
            <w:col w:w="8480" w:space="720"/>
            <w:col w:w="222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62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60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(98.4)</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6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r>
      <w:tr>
        <w:trPr>
          <w:trHeight w:val="33"/>
        </w:trPr>
        <w:tc>
          <w:tcPr>
            <w:tcW w:w="8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cash and cash equivalents</w:t>
            </w:r>
          </w:p>
        </w:tc>
        <w:tc>
          <w:tcPr>
            <w:tcW w:w="6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74.1</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Cash and cash equivalents—beginning of period</w:t>
            </w:r>
          </w:p>
        </w:tc>
        <w:tc>
          <w:tcPr>
            <w:tcW w:w="6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430.0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352.7</w:t>
            </w:r>
          </w:p>
        </w:tc>
      </w:tr>
      <w:tr>
        <w:trPr>
          <w:trHeight w:val="33"/>
        </w:trPr>
        <w:tc>
          <w:tcPr>
            <w:tcW w:w="8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equivalents—end of period</w:t>
            </w: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504.1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8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cash flow data:</w:t>
            </w: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4"/>
        </w:trPr>
        <w:tc>
          <w:tcPr>
            <w:tcW w:w="8120" w:type="dxa"/>
            <w:vAlign w:val="bottom"/>
          </w:tcPr>
          <w:p>
            <w:pPr>
              <w:ind w:left="280"/>
              <w:spacing w:after="0"/>
              <w:rPr>
                <w:sz w:val="20"/>
                <w:szCs w:val="20"/>
                <w:color w:val="auto"/>
              </w:rPr>
            </w:pPr>
            <w:r>
              <w:rPr>
                <w:rFonts w:ascii="Arial" w:cs="Arial" w:eastAsia="Arial" w:hAnsi="Arial"/>
                <w:sz w:val="16"/>
                <w:szCs w:val="16"/>
                <w:color w:val="auto"/>
              </w:rPr>
              <w:t>Property and equipment acquired under capital leases</w:t>
            </w: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44.2</w:t>
            </w:r>
          </w:p>
        </w:tc>
        <w:tc>
          <w:tcPr>
            <w:tcW w:w="100" w:type="dxa"/>
            <w:vAlign w:val="bottom"/>
          </w:tcPr>
          <w:p>
            <w:pPr>
              <w:spacing w:after="0"/>
              <w:rPr>
                <w:sz w:val="19"/>
                <w:szCs w:val="19"/>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15.4</w:t>
            </w:r>
          </w:p>
        </w:tc>
      </w:tr>
      <w:tr>
        <w:trPr>
          <w:trHeight w:val="33"/>
        </w:trPr>
        <w:tc>
          <w:tcPr>
            <w:tcW w:w="8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Includes amounts attributable to related party transactions. See Note 12 for further details.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21"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the Business and Summary of Significant Accounting Policies</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Dropbox, Inc. (the “Company” or “Dropbox”) is a global collaboration platform. Dropbox was incorporated in May 2007 as Evenflow, Inc., a Delaware corporation, and changed its name to Dropbox, Inc. in October 2009. The Company is headquartered in San Francisco, California.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1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the United States of America generally accepted accounting principles (“GAAP”) and applicable rules and regulations of the Securities and Exchange Commission ("SEC") regarding interim financial reporting. The accompanying unaudited condensed consolidated financial statements include the accounts of Dropbox and its wholly owned subsidiaries. All intercompany balances and transactions have been eliminated in consolidation.</w:t>
      </w:r>
    </w:p>
    <w:p>
      <w:pPr>
        <w:spacing w:after="0" w:line="187"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The condensed consolidated balance sheet as of December 31, 2017 included herein was derived from the audited financial statements as of that date. The unaudited condensed consolidated financial statements reflect all normal recurring adjustments necessary to present fairly the balance sheets, statements of operations, statements of comprehensive loss and the statements of cash flows for the interim periods, but are not necessarily indicative of the results of operations to be anticipated for the full fiscal year ended December 31, 2018 or any future period.</w:t>
      </w:r>
    </w:p>
    <w:p>
      <w:pPr>
        <w:spacing w:after="0" w:line="17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unaudited condensed consolidated financial statements should be read in conjunction with the audited consolidated financial statements and the related notes thereto as of and for the year ended December 31, 2017, included in the Company's prospectus filed pursuant to Rule 424(b) under the Securities Act of 1933, as amended, on March 23, 2018, referred to as the Prospectus.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Initial public offering and private placement</w:t>
      </w:r>
    </w:p>
    <w:p>
      <w:pPr>
        <w:spacing w:after="0" w:line="117"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On March 27, 2018, the Company closed its initial public offering ("IPO"), in which the Company issued and sold 26,822,409 shares of Class A common stock at $21.00 per share. The Company received aggregate proceeds of $538.2 million, net of underwriters' discounts and commissions, before deducting offering costs of $6.9 million, net of reimbursements.</w:t>
      </w:r>
    </w:p>
    <w:p>
      <w:pPr>
        <w:spacing w:after="0" w:line="18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Immediately prior to the closing of the Company’s IPO, 147,310,563 shares of convertible preferred stock outstanding converted into an equivalent number of shares of Class B common stock. Further, pursuant to transfer agreements with certain of the Company’s stockholders, 258,620 shares of the Company’s convertible preferred stock and 2,609,951 shares of the Company’s Class B common stock automatically converted into an equivalent number of shares of Class A common stock.</w:t>
      </w:r>
    </w:p>
    <w:p>
      <w:pPr>
        <w:spacing w:after="0" w:line="187"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Immediately subsequent to the closing of the Company's IPO, Salesforce Ventures LLC purchased 4,761,905 shares of Class A common stock from the Company at $21.00 per share. The Company received aggregate proceeds of $100.0 million and did not pay any underwriting discounts or commissions with respect to the shares that were sold in the private placement.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March 28, 2018, the underwriters exercised their option to purchase an additional 5,400,000 shares of the Company's Class A common stock 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$21.00 per share. This transaction closed on April 3, 2018, resulting in additional proceeds of $108.4 million, net of underwriters' discounts and commissions.</w:t>
      </w:r>
    </w:p>
    <w:p>
      <w:pPr>
        <w:spacing w:after="0" w:line="23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Company’s net proceeds from the IPO, the concurrent private placement, and underwriters' option totaled $746.6 million, before deducting offering costs of $6.9 million, net of reimbursements.</w:t>
      </w:r>
    </w:p>
    <w:p>
      <w:pPr>
        <w:spacing w:after="0" w:line="170"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Upon the effectiveness of the registration statement for the Company's IPO, which was March 22, 2018, the liquidity event-related performance vesting condition, referred to as the Performance Vesting Condition, associated with the Company's two-tier RSUs was satisfied. As a result, the Company recognized the cumulative unrecognized stock-based compensation related to its two-tier restricted stock units ("RSUs") using the accelerated attribution method of $418.7 million attributable to service prior to such effective date. As of June 30, 2018, the remaining unamortized stock-based compensation related to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two-tier RSUs was $1.2 million, which will be recognized if the requisite service is provided over a weighted average period of 0.4 years.</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During the first quarter of 2018, the Company's Board of Directors approved the acceleration of the Performance Vesting Condition for which the service condition was satisfied, to occur upon the effectiveness of the registration statement for the Company's IPO, rather than six months following an IPO. As a result, the Company released 26.8 million shares of common stock underlying the two-tier RSUs for which the Performance Vesting Condition was satisfied, and recorded $13.9 million in employer related payroll tax expenses associated with these same awards. See “—Stock-Based Compensation” for further discussion regarding the Company's two-tier RSUs.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 Split</w:t>
      </w:r>
    </w:p>
    <w:p>
      <w:pPr>
        <w:spacing w:after="0" w:line="11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On March 7, 2018, the Company effected a 1-for-1.5 reverse stock split of its capital stock. All of the share and per share information referenced throughout the condensed consolidated financial statements and notes to the condensed consolidated financial statements have been retroactively adjusted to reflect this reverse stock split.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Management evaluates these estimates and assumptions on a regular basis. Actual results may differ materially from these estimates.</w:t>
      </w:r>
    </w:p>
    <w:p>
      <w:pPr>
        <w:spacing w:after="0" w:line="187" w:lineRule="exact"/>
        <w:rPr>
          <w:sz w:val="20"/>
          <w:szCs w:val="20"/>
          <w:color w:val="auto"/>
        </w:rPr>
      </w:pPr>
    </w:p>
    <w:p>
      <w:pPr>
        <w:ind w:right="680" w:firstLine="432"/>
        <w:spacing w:after="0" w:line="312" w:lineRule="auto"/>
        <w:rPr>
          <w:sz w:val="20"/>
          <w:szCs w:val="20"/>
          <w:color w:val="auto"/>
        </w:rPr>
      </w:pPr>
      <w:r>
        <w:rPr>
          <w:rFonts w:ascii="Arial" w:cs="Arial" w:eastAsia="Arial" w:hAnsi="Arial"/>
          <w:sz w:val="16"/>
          <w:szCs w:val="16"/>
          <w:color w:val="auto"/>
        </w:rPr>
        <w:t>The Company’s most significant estimates and judgments involve recognition of revenue, the measurement of the Company’s stock-based compensation, including the estimation of the underlying deemed fair value of common stock in periods prior to the date of the Company's IPO, the estimation of the fair value of market-based awards, and the valuation of acquired intangible assets and goodwill from business combinations.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Financial information about segments and geographic areas</w:t>
      </w:r>
    </w:p>
    <w:p>
      <w:pPr>
        <w:spacing w:after="0" w:line="117"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For information regarding the Company’s long-lived assets and revenue by geographic area, see Note 13.</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1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income (loss).</w:t>
      </w:r>
    </w:p>
    <w:p>
      <w:pPr>
        <w:spacing w:after="0" w:line="18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Gains and losses realized from foreign currency transactions (those transactions denominated in currencies other than the foreign subsidiaries’ functional currency) are included in other income (expense), net. Monetary assets and liabilities are remeasured using foreign currency exchange rates at the end of the period, and non-monetary assets are remeasured based on historical exchange rates. The Company recorded net foreign currency transaction losses of $1.1 million and $0.4 million during the three and six months ended June 30, 2018, respectively, and net foreign currency transaction gains of $1.3 million and $4.0 million during the three and six months ended June 30, 2017, respectively.</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through the following steps:</w:t>
      </w:r>
    </w:p>
    <w:p>
      <w:pPr>
        <w:spacing w:after="0" w:line="73"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121"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376"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2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Company’s subscription agreements generally have monthly or annual contractual terms and a small percentage have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 The Company’s contracts are generally non-cancelable.</w:t>
      </w:r>
    </w:p>
    <w:p>
      <w:pPr>
        <w:spacing w:after="0" w:line="193"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The Company bills in advance for monthly contracts and typically bills annually in advance for contracts with terms of one year or longer. The Company also recognizes an immaterial amount of contract assets, or unbilled receivables, primarily relating to rights to consideration for services completed but not billed at the reporting date. Unbilled receivables are classified as receivables when the Company has the right to invoice the customer.</w:t>
      </w:r>
    </w:p>
    <w:p>
      <w:pPr>
        <w:spacing w:after="0" w:line="147"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7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18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Company recognized $208.7 million and $313.0 million of revenue during the three and six months ended June 30, 2018, respectively, and recognized $166.6 million and $254.4 million of revenue during the three and six months ended June 30, 2017, respectively, that was included in the deferred revenue balances at the beginning of their respective periods.</w:t>
      </w:r>
    </w:p>
    <w:p>
      <w:pPr>
        <w:spacing w:after="0" w:line="18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As of June 30, 2018, future estimated revenue related to performance obligations that were unsatisfied or partially unsatisfied was $510.7 million. The substantial majority of the unsatisfied performance obligations will be satisfied over the next twelve months.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 has granted RSUs to its employees and members of the Board of Directors under the 2008 Equity Incentive Plan (“2008 Plan”), the 2017 Equity Incentive Plan (“2017 Plan”), and the 2018 Equity Incentive Plan ("2018 Plan"). The Company had two types of RSUs outstanding as of June 30, 2018:</w:t>
      </w:r>
    </w:p>
    <w:p>
      <w:pPr>
        <w:spacing w:after="0" w:line="181" w:lineRule="exact"/>
        <w:rPr>
          <w:sz w:val="20"/>
          <w:szCs w:val="20"/>
          <w:color w:val="auto"/>
        </w:rPr>
      </w:pPr>
    </w:p>
    <w:p>
      <w:pPr>
        <w:ind w:left="980" w:hanging="324"/>
        <w:spacing w:after="0" w:line="279"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One-tier RSUs, which have a service-based vesting condition over a four year period. These awards typically have a cliff vesting period of one year and continue to vest quarterly thereafter. The Company began granting one-tier RSUs under its 2008 Plan in August 2015 and it continues to grant one-tier RSUs under its 2018 Plan. The Company recognizes compensation expense associated with one-tier RSUs ratably on a straight-line basis over the requisite service period and accounts for forfeitures in the period in which they occur.</w:t>
      </w:r>
    </w:p>
    <w:p>
      <w:pPr>
        <w:spacing w:after="0" w:line="171" w:lineRule="exact"/>
        <w:rPr>
          <w:rFonts w:ascii="Arial" w:cs="Arial" w:eastAsia="Arial" w:hAnsi="Arial"/>
          <w:sz w:val="17"/>
          <w:szCs w:val="17"/>
          <w:color w:val="auto"/>
        </w:rPr>
      </w:pPr>
    </w:p>
    <w:p>
      <w:pPr>
        <w:ind w:left="980" w:right="20" w:hanging="324"/>
        <w:spacing w:after="0" w:line="25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Two-tier RSUs, which have both a service-based vesting condition and a Performance Vesting Condition. The service-based vesting period for these awards is typically four years with a cliff vesting period of one year and continue to vest monthly thereafter. Upon satisfaction of the Performance Vesting Condition, these awards vest quarterly. The Performance Vesting Condition is satisfied on the earlier of (i) an acquisition or change in control of the Company or (ii) the earlier of (a) six months after the Company’s initial public offering or (b) March 15 of the year following the Company’s initial public offering. During the first quarter of 2018, the Company's Board of Directors approved the acceleration of the Performance Vesting Condition for which the service condition was satisfied, to occur upon the effectiveness of the registration statement related to the Company's IPO. Prior to August 2015, the Company granted two-tier RSUs under the 2008 Plan. The last grant date for two-tier RSUs was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1"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95" w:lineRule="exact"/>
        <w:rPr>
          <w:sz w:val="20"/>
          <w:szCs w:val="20"/>
          <w:color w:val="auto"/>
        </w:rPr>
      </w:pPr>
    </w:p>
    <w:p>
      <w:pPr>
        <w:ind w:left="980" w:right="120"/>
        <w:spacing w:after="0" w:line="324" w:lineRule="auto"/>
        <w:rPr>
          <w:sz w:val="20"/>
          <w:szCs w:val="20"/>
          <w:color w:val="auto"/>
        </w:rPr>
      </w:pPr>
      <w:r>
        <w:rPr>
          <w:rFonts w:ascii="Arial" w:cs="Arial" w:eastAsia="Arial" w:hAnsi="Arial"/>
          <w:sz w:val="18"/>
          <w:szCs w:val="18"/>
          <w:color w:val="auto"/>
        </w:rPr>
        <w:t>in May 2015. The Company recognizes compensation expense associated with two-tier RSUs using the accelerated attribution method over the requisite service period.</w:t>
      </w:r>
    </w:p>
    <w:p>
      <w:pPr>
        <w:spacing w:after="0" w:line="143"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Performance Vesting Condition for the two-tier RSUs was satisfied upon the effectiveness of the registration statement related to the Company's IPO, which was March 22, 2018. On that date, the Company recognized the cumulative unrecognized expense of the two-tier RSUs, using the accelerated attribution method, which is included in the Company's results for the six months ended June 30, 2018. See "—Initial Public Offering and Private Placement” for further discussion. As of June 30, 2018, the remaining unamortized stock-based compensation related to the two-tier RSUs was $1.2 million, which will be recognized if the requisite service is provided over a weighted average period of 0.4 years.</w:t>
      </w:r>
    </w:p>
    <w:p>
      <w:pPr>
        <w:spacing w:after="0" w:line="173"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Since August 2015, the Company has granted RSUs as the only stock-based payment awards to its employees, with the exception of awards granted to its co-founders, and has not granted any stock options since then. The fair values of the common stock underlying the RSUs granted in periods prior to the date of the Company's IPO were determined by the Board of Directors, with input from management and contemporaneous third-party valuations, which were performed at least quarterly. For valuations after the Company's IPO, the Board of Directors will determine the fair value of each share of underlying common stock based on the closing price of the Company's Class A common stock as reported on the Nasdaq Global Select Market on the date of the grant.</w:t>
      </w:r>
    </w:p>
    <w:p>
      <w:pPr>
        <w:spacing w:after="0" w:line="158"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In December 2017, the Board of Directors approved a grant to the Company’s co-founders of restricted stock awards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Director. These Co-Founder Grants have service-based, market-based, and performance-based vesting conditions.</w:t>
      </w:r>
    </w:p>
    <w:p>
      <w:pPr>
        <w:spacing w:after="0" w:line="171"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The Co-Founder Grants comprise nine tranches that are eligible to vest based on the achievement of stock price goals, or, each, a Stock Price Target. The Company estimated the grant date fair value of the Co-Founder Grants using a model based on multiple stock price paths developed through the use of a Monte Carlo simulation that incorporates into the valuation the possibility that the Stock Price Targets may not be satisfied. The average grant date fair value of each Co-Founder Grant was estimated to be $10.60 per share, and the Company will recognize aggregate stock-based compensation expense of $156.2 million over the requisite service period of each tranche, which ranged from 2.9 to 6.9 years, using the accelerated attribution method. If the Stock Price Targets are met sooner than the derived service period, the Company will adjust its stock-based compensation to reflect the cumulative expense associated with the vested awards. The Company will recognize expense if the requisite service is provided, regardless of whether the market conditions are achieved.</w:t>
      </w:r>
    </w:p>
    <w:p>
      <w:pPr>
        <w:spacing w:after="0" w:line="167" w:lineRule="exact"/>
        <w:rPr>
          <w:sz w:val="20"/>
          <w:szCs w:val="20"/>
          <w:color w:val="auto"/>
        </w:rPr>
      </w:pPr>
    </w:p>
    <w:p>
      <w:pPr>
        <w:ind w:right="340" w:firstLine="432"/>
        <w:spacing w:after="0" w:line="255" w:lineRule="auto"/>
        <w:rPr>
          <w:sz w:val="20"/>
          <w:szCs w:val="20"/>
          <w:color w:val="auto"/>
        </w:rPr>
      </w:pPr>
      <w:r>
        <w:rPr>
          <w:rFonts w:ascii="Arial" w:cs="Arial" w:eastAsia="Arial" w:hAnsi="Arial"/>
          <w:sz w:val="18"/>
          <w:szCs w:val="18"/>
          <w:color w:val="auto"/>
        </w:rPr>
        <w:t>The Co-Founder Grants contain an implied performance-based vesting condition because the Stock Price Targets are based on the trailing 30-day average price of the shares from an established national securities exchange or automated quotation system. Accordingly, no vesting could occur until the completion of the Company’s IPO. The relevant performance-based vesting condition for the Co-Founder Grants was satisfied on the date the Company’s shares of Class A common stock commenced trading on the Nasdaq Global Select Market, in connection with the Company’s IPO, which was March 23, 2018. The Company recognized $8.7 million and $19.3 million in stock-based compensation related to the Co-Founder Grants during the three and six months ended June 30, 2018, respectively.</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Cash consists primarily of cash on deposit with banks and includes amounts in transit from payment processors for credit and debit card transactions, which typically settle within five days. Cash equivalents include highly liquid investments purchased with an original maturity date of 90 days or less from the date of purchase.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color w:val="auto"/>
        </w:rPr>
        <w:t>The Company’s short-term investments are primarily comprised of U.S. treasury securities, corporate notes and obligations, U.S. agency obligations, commercial paper, and certificates of deposits.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condensed consolidated balance sheets.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The Company's short-term investments are classified as available-for-sale securities and are recorded at fair value each reporting period. Unrealized gains and losses on these short-term investments are reported as a separate component of accumulated other comprehensive income (loss) in the condensed consolidated balance sheets until realized. Interest income is reported within interest income (expense), net in the condensed consolidated statements of operations. The Company periodically evaluates its short-term investments to assess whether those with unrealized loss positions are other-than-temporarily impaired. The Company considers various factors in determining whether to recognize an impairment charge, including the length of time the investment has been in a loss position, the extent to which the fair value is less than the Company’s cost basis, and the financial condition and near-term prospects of the investee. Realized gains and losses are determined based on the specific identification method and are reported in other income (expense), net in the condensed consolidated statements of operations. If the Company determines that the decline in an investment’s fair value is other-than-temporary, the difference is recognized as an impairment loss in the condensed consolidated statements of operations.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520" w:firstLine="432"/>
        <w:spacing w:after="0" w:line="264"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cash equivalents, accounts receivable, and short-term investments. The Company places its cash and cash equivalents and short-term investments with well-established financial institutions.</w:t>
      </w:r>
    </w:p>
    <w:p>
      <w:pPr>
        <w:spacing w:after="0" w:line="181"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Trade accounts receivables are typically unsecured and are derived from revenue earned from customers located around the world. Two customers accounted for 12% and 32% of total trade and other receivables, net as of June 30, 2018. Two customers accounted for 18% and 27% of total trade and other receivables, net as of December 31, 2017. No customer accounted for more than 10% of the Company’s revenue in the periods presented.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Non-trade receivables</w:t>
      </w:r>
    </w:p>
    <w:p>
      <w:pPr>
        <w:spacing w:after="0" w:line="117"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Company records non-trade receivables to reflect amounts due for activities outside of its subscription agreements. Historically, the Company’s non-trade receivables have related primarily to receivables resulting from tenant improvement allowances. Non-trade receivables totaled $45.4 million and $5.2 million, as of June 30, 2018 and December 31, 2017, respectively, and are classified within prepaid expenses and other current assets and other assets in the accompanying condensed consolidated balance sheets. The Company recognized its initial tenant improvement allowance receivable related to its new corporate headquarters of $40.2 million once it took initial possession of the first phase in June 2018, of which $29.5 million is included in prepaid expenses and other current assets and $10.7 million is included in other assets. See "—Lease obligations” for further discussion on the corresponding recording of the lease incentive obligation.</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Deferred commissions, net</w:t>
      </w:r>
    </w:p>
    <w:p>
      <w:pPr>
        <w:spacing w:after="0" w:line="117"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Deferred commissions, net is stated as gross deferred commissions less accumulated amortization. Sales commissions earned by the Company’s sales force and third-party resellers, as well as related payroll taxes, are considered to be incremental and recoverable costs of obtaining a contract with a customer. These amounts have been capitalized as deferred commissions within prepaid and other current assets and other assets on the condensed consolidated balance sheet. The Company deferred incremental costs of obtaining a contract of $7.7 million and $17.5 million during the three and six months ended June 30, 2018, respectively, and $5.0 million and $9.7 million during the three and six months ended June 30, 2017, respectively.</w:t>
      </w:r>
    </w:p>
    <w:p>
      <w:pPr>
        <w:spacing w:after="0" w:line="158" w:lineRule="exact"/>
        <w:rPr>
          <w:sz w:val="20"/>
          <w:szCs w:val="20"/>
          <w:color w:val="auto"/>
        </w:rPr>
      </w:pPr>
    </w:p>
    <w:p>
      <w:pPr>
        <w:jc w:val="both"/>
        <w:ind w:right="360" w:firstLine="432"/>
        <w:spacing w:after="0" w:line="264" w:lineRule="auto"/>
        <w:rPr>
          <w:sz w:val="20"/>
          <w:szCs w:val="20"/>
          <w:color w:val="auto"/>
        </w:rPr>
      </w:pPr>
      <w:r>
        <w:rPr>
          <w:rFonts w:ascii="Arial" w:cs="Arial" w:eastAsia="Arial" w:hAnsi="Arial"/>
          <w:sz w:val="18"/>
          <w:szCs w:val="18"/>
          <w:color w:val="auto"/>
        </w:rPr>
        <w:t>Deferred commissions, net included in prepaid and other current assets were $11.4 million and $8.1 million as of June 30, 2018 and December 31, 2017, respectively. Deferred commissions, net included in other assets were $33.7 million and $24.8 million as of June 30, 2018 and December 31, 2017, respectively.</w:t>
      </w:r>
    </w:p>
    <w:p>
      <w:pPr>
        <w:spacing w:after="0" w:line="18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Deferred commissions are amortized over a period of benefit of five years. The period of benefit was estimated by considering factors such as historical customer attrition rates, the useful life of the Company’s technology, and the impact of competition in its industry. Amortized costs were $2.9 million and $5.3 million for the three and six months ended June 30, 2018, respectively, and $1.4 million and $2.6 million for the three and six months ended June 30, 2017, respectively. Amortized costs are included in sales and marketing expense in the accompanying condensed consolidated statements of operations. There was no impairment loss in relation to the deferred costs for any period presented.</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1"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 In the first quarter of 2018, the Company determined that the useful lives of certain infrastructure equipment, which are depreciated through cost of revenue, should be increased from three to four years. The Company accounted for this as a change in estimate that was applied prospectively, effective as of January 1, 2018. This change in useful life resulted in a reduction in depreciation expense within cost of revenue of $4.7 million and $10.8 million during the three and six months ended June 30, 2018, respectively.</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estimated useful lives of property and equipment:</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w:t>
            </w:r>
          </w:p>
        </w:tc>
        <w:tc>
          <w:tcPr>
            <w:tcW w:w="6580" w:type="dxa"/>
            <w:vAlign w:val="bottom"/>
          </w:tcPr>
          <w:p>
            <w:pPr>
              <w:jc w:val="center"/>
              <w:ind w:left="790"/>
              <w:spacing w:after="0"/>
              <w:rPr>
                <w:sz w:val="20"/>
                <w:szCs w:val="20"/>
                <w:color w:val="auto"/>
              </w:rPr>
            </w:pPr>
            <w:r>
              <w:rPr>
                <w:rFonts w:ascii="Arial" w:cs="Arial" w:eastAsia="Arial" w:hAnsi="Arial"/>
                <w:sz w:val="18"/>
                <w:szCs w:val="18"/>
                <w:b w:val="1"/>
                <w:bCs w:val="1"/>
                <w:color w:val="auto"/>
                <w:w w:val="90"/>
              </w:rPr>
              <w:t>Useful life</w:t>
            </w:r>
          </w:p>
        </w:tc>
      </w:tr>
      <w:tr>
        <w:trPr>
          <w:trHeight w:val="27"/>
        </w:trPr>
        <w:tc>
          <w:tcPr>
            <w:tcW w:w="4820" w:type="dxa"/>
            <w:vAlign w:val="bottom"/>
            <w:tcBorders>
              <w:bottom w:val="single" w:sz="8" w:color="auto"/>
            </w:tcBorders>
          </w:tcPr>
          <w:p>
            <w:pPr>
              <w:spacing w:after="0"/>
              <w:rPr>
                <w:sz w:val="2"/>
                <w:szCs w:val="2"/>
                <w:color w:val="auto"/>
              </w:rPr>
            </w:pPr>
          </w:p>
        </w:tc>
        <w:tc>
          <w:tcPr>
            <w:tcW w:w="65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6580" w:type="dxa"/>
            <w:vAlign w:val="bottom"/>
            <w:tcBorders>
              <w:bottom w:val="single" w:sz="8" w:color="CCEEFF"/>
            </w:tcBorders>
            <w:shd w:val="clear" w:color="auto" w:fill="CCEEFF"/>
          </w:tcPr>
          <w:p>
            <w:pPr>
              <w:jc w:val="center"/>
              <w:ind w:left="790"/>
              <w:spacing w:after="0"/>
              <w:rPr>
                <w:sz w:val="20"/>
                <w:szCs w:val="20"/>
                <w:color w:val="auto"/>
              </w:rPr>
            </w:pPr>
            <w:r>
              <w:rPr>
                <w:rFonts w:ascii="Arial" w:cs="Arial" w:eastAsia="Arial" w:hAnsi="Arial"/>
                <w:sz w:val="18"/>
                <w:szCs w:val="18"/>
                <w:color w:val="auto"/>
                <w:w w:val="89"/>
              </w:rPr>
              <w:t>20 to 30 years</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Datacenter and other computer equipment</w:t>
            </w:r>
          </w:p>
        </w:tc>
        <w:tc>
          <w:tcPr>
            <w:tcW w:w="6580" w:type="dxa"/>
            <w:vAlign w:val="bottom"/>
          </w:tcPr>
          <w:p>
            <w:pPr>
              <w:jc w:val="center"/>
              <w:ind w:left="790"/>
              <w:spacing w:after="0"/>
              <w:rPr>
                <w:sz w:val="20"/>
                <w:szCs w:val="20"/>
                <w:color w:val="auto"/>
              </w:rPr>
            </w:pPr>
            <w:r>
              <w:rPr>
                <w:rFonts w:ascii="Arial" w:cs="Arial" w:eastAsia="Arial" w:hAnsi="Arial"/>
                <w:sz w:val="18"/>
                <w:szCs w:val="18"/>
                <w:color w:val="auto"/>
                <w:w w:val="87"/>
              </w:rPr>
              <w:t>3 to 5 years</w:t>
            </w:r>
          </w:p>
        </w:tc>
      </w:tr>
      <w:tr>
        <w:trPr>
          <w:trHeight w:val="27"/>
        </w:trPr>
        <w:tc>
          <w:tcPr>
            <w:tcW w:w="482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equipment and other</w:t>
            </w:r>
          </w:p>
        </w:tc>
        <w:tc>
          <w:tcPr>
            <w:tcW w:w="6580" w:type="dxa"/>
            <w:vAlign w:val="bottom"/>
            <w:tcBorders>
              <w:bottom w:val="single" w:sz="8" w:color="CCEEFF"/>
            </w:tcBorders>
            <w:shd w:val="clear" w:color="auto" w:fill="CCEEFF"/>
          </w:tcPr>
          <w:p>
            <w:pPr>
              <w:jc w:val="center"/>
              <w:ind w:left="790"/>
              <w:spacing w:after="0"/>
              <w:rPr>
                <w:sz w:val="20"/>
                <w:szCs w:val="20"/>
                <w:color w:val="auto"/>
              </w:rPr>
            </w:pPr>
            <w:r>
              <w:rPr>
                <w:rFonts w:ascii="Arial" w:cs="Arial" w:eastAsia="Arial" w:hAnsi="Arial"/>
                <w:sz w:val="18"/>
                <w:szCs w:val="18"/>
                <w:color w:val="auto"/>
                <w:w w:val="87"/>
              </w:rPr>
              <w:t>3 to 7 years</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6580" w:type="dxa"/>
            <w:vAlign w:val="bottom"/>
          </w:tcPr>
          <w:p>
            <w:pPr>
              <w:jc w:val="center"/>
              <w:ind w:left="790"/>
              <w:spacing w:after="0"/>
              <w:rPr>
                <w:sz w:val="20"/>
                <w:szCs w:val="20"/>
                <w:color w:val="auto"/>
              </w:rPr>
            </w:pPr>
            <w:r>
              <w:rPr>
                <w:rFonts w:ascii="Arial" w:cs="Arial" w:eastAsia="Arial" w:hAnsi="Arial"/>
                <w:sz w:val="18"/>
                <w:szCs w:val="18"/>
                <w:color w:val="auto"/>
                <w:w w:val="90"/>
              </w:rPr>
              <w:t>Lesser of estimated useful life or remaining lease term</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1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 Company leases office space, datacenters, and equipment under non-cancelable capital and operating leases with various expiration dates through 2033. Certain of the Company’s operating lease agreements contain tenant improvement allowances from its landlords. These allowances are accounted for as lease incentive obligations and are amortized as reductions to rent expense over the lease term. In June 2018, the Company took initial possession of the first phase of its new corporate headquarters and recorded a lease incentive obligation in the amount of $40.2 million, recorded in accrued and other current liabilities and non-current deferred rent in the Company's condensed consolidated balance sheet.</w:t>
      </w:r>
    </w:p>
    <w:p>
      <w:pPr>
        <w:spacing w:after="0" w:line="173"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In addition, certain of the operating lease agreements contain rent concession, rent escalation, and option to renew provisions. Rent concession and rent escalation provisions are considered in determining the straight-line rent expense to be recorded over the lease term. Lease expense is recognized on a straight-line basis over the lease term commencing on the date the Company has the right to use the leased property. The Company does not assume renewals in its determination of the lease term unless the renewals are deemed to be reasonably assured at lease inception.</w:t>
      </w:r>
    </w:p>
    <w:p>
      <w:pPr>
        <w:spacing w:after="0" w:line="17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Company leases certain equipment from various third parties, including from a related party, through equipment financing leases under capital leases. See Note 12, “Related Party Transactions” for additional details. These leases either include a bargain purchase option, a full transfer of ownership at the completion of the lease term, or the terms of the leases are at least 75 percent of the useful lives of the assets and are therefore classified as capital leases. These leases are capitalized in property and equipment and the related amortization of assets under capital leases is included in depreciation and amortization expense in the Company’s condensed consolidated statements of operations. Initial asset values and lease obligations are based on the present value of future minimum lease payments.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Long-lived assets, including goodwill and other acquired intangible assets, net</w:t>
      </w:r>
    </w:p>
    <w:p>
      <w:pPr>
        <w:spacing w:after="0" w:line="11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15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Company reviews goodwill for impairment at least annually in the fourth quarter, or more frequently if events or changes in circumstances would more likely than not reduce the fair value of its single reporting unit below its carrying value.</w:t>
      </w:r>
    </w:p>
    <w:p>
      <w:pPr>
        <w:spacing w:after="0" w:line="170"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The Company has not recorded impairment charges on property and equipment, goodwill, or intangible assets for the periods presented in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1"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amortization. If the Company revises the estimated useful life assumption for any asset, the remaining unamortized balance is amortized or depreciated over the revised estimated useful life on a prospective basis. See "—Property and Equipment, Net” for further discussion regarding a change in useful life applied during the six months ended June 30, 2018.</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181"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spacing w:after="0" w:line="18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w:t>
      </w:r>
    </w:p>
    <w:p>
      <w:pPr>
        <w:spacing w:after="0" w:line="187" w:lineRule="exact"/>
        <w:rPr>
          <w:sz w:val="20"/>
          <w:szCs w:val="20"/>
          <w:color w:val="auto"/>
        </w:rPr>
      </w:pPr>
    </w:p>
    <w:p>
      <w:pPr>
        <w:jc w:val="both"/>
        <w:ind w:right="120" w:firstLine="432"/>
        <w:spacing w:after="0" w:line="279" w:lineRule="auto"/>
        <w:rPr>
          <w:sz w:val="20"/>
          <w:szCs w:val="20"/>
          <w:color w:val="auto"/>
        </w:rPr>
      </w:pPr>
      <w:r>
        <w:rPr>
          <w:rFonts w:ascii="Arial" w:cs="Arial" w:eastAsia="Arial" w:hAnsi="Arial"/>
          <w:sz w:val="17"/>
          <w:szCs w:val="17"/>
          <w:color w:val="auto"/>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such as the 2017 Tax Cuts and Jobs Act ("2017 Tax Reform Act"), correspondence with tax authorities during the course of an audit, and effective settlement of audit issues.</w:t>
      </w:r>
    </w:p>
    <w:p>
      <w:pPr>
        <w:spacing w:after="0" w:line="171" w:lineRule="exact"/>
        <w:rPr>
          <w:sz w:val="20"/>
          <w:szCs w:val="20"/>
          <w:color w:val="auto"/>
        </w:rPr>
      </w:pPr>
    </w:p>
    <w:p>
      <w:pPr>
        <w:jc w:val="both"/>
        <w:ind w:right="340" w:firstLine="432"/>
        <w:spacing w:after="0" w:line="342" w:lineRule="auto"/>
        <w:rPr>
          <w:sz w:val="20"/>
          <w:szCs w:val="20"/>
          <w:color w:val="auto"/>
        </w:rPr>
      </w:pPr>
      <w:r>
        <w:rPr>
          <w:rFonts w:ascii="Arial" w:cs="Arial" w:eastAsia="Arial" w:hAnsi="Arial"/>
          <w:sz w:val="16"/>
          <w:szCs w:val="16"/>
          <w:color w:val="auto"/>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17"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71" w:lineRule="exact"/>
        <w:rPr>
          <w:sz w:val="20"/>
          <w:szCs w:val="20"/>
          <w:color w:val="auto"/>
        </w:rPr>
      </w:pPr>
    </w:p>
    <w:p>
      <w:pPr>
        <w:jc w:val="both"/>
        <w:ind w:left="500" w:right="8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left="500" w:right="42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 xml:space="preserve">In February 2016, the Financial Accounting Standards Board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Most prominent among the changes in the standard is the recognition of right of use assets and lease liabilities by lessees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those leases classified as operating leases under current GAAP. Under the standard, disclosures are required to meet the objective of enabling users of financial statements to assess the amount, timing, and uncertainty of cash flows arising from leases. The Company is required to adopt the standard using the modified retrospective approach and is currently evaluating the use of the optional transition method related to comparative reporting at adoption. The new standard is effective for fiscal years beginning after December 15, 2018. Early adoption by public entities is permitted. The Company is in the process of evaluating changes to its systems, processes, disclosures and controls in order to adopt the new standard on January 1, 2019. The Company anticipates the adoption of this standard will result in a substantial increase in its non-current assets and liabilities recorded on the condensed consolidated balance sheets. The adoption of the standard is not expected to have a material impact on the consolidated statement of operations. While the Company is assessing all potential impacts of the adoption of the standard, it currently expects the most significant impact to be the capitalization of right-of-use assets and lease liabilities for its office space and datacenter operating leases. The Company expects its accounting for capital leases related to infrastructure equipment to remain substantially unchanged under the new standard.</w:t>
      </w:r>
    </w:p>
    <w:p>
      <w:pPr>
        <w:spacing w:after="0" w:line="178"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 xml:space="preserve">In February 2018, the FASB issued ASU No. 2018-02, </w:t>
      </w:r>
      <w:r>
        <w:rPr>
          <w:rFonts w:ascii="Arial" w:cs="Arial" w:eastAsia="Arial" w:hAnsi="Arial"/>
          <w:sz w:val="16"/>
          <w:szCs w:val="16"/>
          <w:i w:val="1"/>
          <w:iCs w:val="1"/>
          <w:color w:val="auto"/>
        </w:rPr>
        <w:t>Reclassification of Certain Tax Effects from Accumulated Other Comprehensive Income</w:t>
      </w:r>
      <w:r>
        <w:rPr>
          <w:rFonts w:ascii="Arial" w:cs="Arial" w:eastAsia="Arial" w:hAnsi="Arial"/>
          <w:sz w:val="16"/>
          <w:szCs w:val="16"/>
          <w:color w:val="auto"/>
        </w:rPr>
        <w:t>. Under existing U.S. GAAP, the effects of changes in tax rates and laws on deferred tax balances are recorded as a component of income tax expense in the period in which the law was enacted. When deferred tax balances related to items originally recorded in accumulated other comprehensive income are adjusted, certain tax effects become stranded in accumulated other comprehensive income. The amendments in ASU No. 2018-02 allow a reclassification from accumulated other comprehensive income to retained earnings for stranded tax effects resulting from the 2017 Tax Reform Act. The amendments in ASU No. 2018-02 also require certain disclosures about stranded tax effects. The guidance is effective for fiscal years beginning after December 15, 2018 and interim periods within those fiscal years. Early adoption in any period is permitted. The Company is currently evaluating the timing and impact of adopting ASU No. 2018-02.</w:t>
      </w:r>
    </w:p>
    <w:p>
      <w:pPr>
        <w:spacing w:after="0" w:line="16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xml:space="preserve"> Under existing U.S. GAAP, the measurement date for equity awards granted to nonemployees is the earlier of the performance commitment date or the date the performance is complete. The amendments in ASU No. 2018-07 allow for measurement of these awards on the grant date, consistent with equity awards granted to employees. The guidance is effective for fiscal years beginning after December 15, 2018 and interim periods within those fiscal years. Early adoption in any period is permitted. The Company does not expect the impact of adoption to have a material impact on its condensed consolidated financial statements and is currently evaluating the timing of adopting ASU No. 2018-07.</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 Overall: Recognition and Measurement of Financial Assets and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 (Subtopic 825)</w:t>
      </w:r>
      <w:r>
        <w:rPr>
          <w:rFonts w:ascii="Arial" w:cs="Arial" w:eastAsia="Arial" w:hAnsi="Arial"/>
          <w:sz w:val="17"/>
          <w:szCs w:val="17"/>
          <w:color w:val="auto"/>
        </w:rPr>
        <w:t>, which primarily affects the accounting for equity investments, financial liabilities under the fair value option and the presentation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disclosure requirements for financial instruments. In addition, the FASB clarified guidance related to the valuation allowance assessment when recognizing deferred tax assets resulting from unrealized losses on available-for-sale debt securities. The accounting for other financial instruments, such as loans, investments in debt securities and financial liabilities is largely unchanged. The Company adopted ASU No. 2016-01 on January 1, 2018. The adoption of the standard did not have a material impact on the Company's condensed consolidated financial statements.</w:t>
      </w:r>
    </w:p>
    <w:p>
      <w:pPr>
        <w:spacing w:after="0" w:line="178"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 xml:space="preserve">In October 2016, the FASB issued ASU No. 2016-16, </w:t>
      </w:r>
      <w:r>
        <w:rPr>
          <w:rFonts w:ascii="Arial" w:cs="Arial" w:eastAsia="Arial" w:hAnsi="Arial"/>
          <w:sz w:val="16"/>
          <w:szCs w:val="16"/>
          <w:i w:val="1"/>
          <w:iCs w:val="1"/>
          <w:color w:val="auto"/>
        </w:rPr>
        <w:t>Income Taxes: Intra-Entity Transfers Other than Inventory (Topic 740)</w:t>
      </w:r>
      <w:r>
        <w:rPr>
          <w:rFonts w:ascii="Arial" w:cs="Arial" w:eastAsia="Arial" w:hAnsi="Arial"/>
          <w:sz w:val="16"/>
          <w:szCs w:val="16"/>
          <w:color w:val="auto"/>
        </w:rPr>
        <w:t>, which requires entities to recognize the income tax consequences of an intra-entity transfer of an asset other than inventory when the transfer occurs. The Company adopted ASU No. 2016-16 on January 1, 2018. The adoption of the guidance did not have a material impact on the Company's condensed consolidated financial statements.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1"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Short-Term Investments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amortized cost, unrealized gains and losses and estimated fair value of the Company's cash, cash equivalents and short-term investments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2018 consisted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40" w:type="dxa"/>
            <w:vAlign w:val="bottom"/>
            <w:gridSpan w:val="5"/>
          </w:tcPr>
          <w:p>
            <w:pPr>
              <w:ind w:left="960"/>
              <w:spacing w:after="0"/>
              <w:rPr>
                <w:sz w:val="20"/>
                <w:szCs w:val="20"/>
                <w:color w:val="auto"/>
              </w:rPr>
            </w:pPr>
            <w:r>
              <w:rPr>
                <w:rFonts w:ascii="Arial" w:cs="Arial" w:eastAsia="Arial" w:hAnsi="Arial"/>
                <w:sz w:val="18"/>
                <w:szCs w:val="18"/>
                <w:b w:val="1"/>
                <w:bCs w:val="1"/>
                <w:color w:val="auto"/>
              </w:rPr>
              <w:t>As of June 30, 2018</w:t>
            </w: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Amortized Cost</w:t>
            </w:r>
          </w:p>
        </w:tc>
        <w:tc>
          <w:tcPr>
            <w:tcW w:w="220" w:type="dxa"/>
            <w:vAlign w:val="bottom"/>
          </w:tcPr>
          <w:p>
            <w:pPr>
              <w:spacing w:after="0"/>
              <w:rPr>
                <w:sz w:val="20"/>
                <w:szCs w:val="20"/>
                <w:color w:val="auto"/>
              </w:rPr>
            </w:pPr>
          </w:p>
        </w:tc>
        <w:tc>
          <w:tcPr>
            <w:tcW w:w="1820" w:type="dxa"/>
            <w:vAlign w:val="bottom"/>
            <w:gridSpan w:val="2"/>
          </w:tcPr>
          <w:p>
            <w:pPr>
              <w:ind w:left="120"/>
              <w:spacing w:after="0"/>
              <w:rPr>
                <w:sz w:val="20"/>
                <w:szCs w:val="20"/>
                <w:color w:val="auto"/>
              </w:rPr>
            </w:pPr>
            <w:r>
              <w:rPr>
                <w:rFonts w:ascii="Arial" w:cs="Arial" w:eastAsia="Arial" w:hAnsi="Arial"/>
                <w:sz w:val="18"/>
                <w:szCs w:val="18"/>
                <w:b w:val="1"/>
                <w:bCs w:val="1"/>
                <w:color w:val="auto"/>
              </w:rPr>
              <w:t>Unrealized Gain</w:t>
            </w:r>
          </w:p>
        </w:tc>
        <w:tc>
          <w:tcPr>
            <w:tcW w:w="200" w:type="dxa"/>
            <w:vAlign w:val="bottom"/>
          </w:tcPr>
          <w:p>
            <w:pPr>
              <w:spacing w:after="0"/>
              <w:rPr>
                <w:sz w:val="20"/>
                <w:szCs w:val="20"/>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b w:val="1"/>
                <w:bCs w:val="1"/>
                <w:color w:val="auto"/>
              </w:rPr>
              <w:t>Unrealized Loss</w:t>
            </w:r>
          </w:p>
        </w:tc>
        <w:tc>
          <w:tcPr>
            <w:tcW w:w="140" w:type="dxa"/>
            <w:vAlign w:val="bottom"/>
          </w:tcPr>
          <w:p>
            <w:pPr>
              <w:spacing w:after="0"/>
              <w:rPr>
                <w:sz w:val="20"/>
                <w:szCs w:val="20"/>
                <w:color w:val="auto"/>
              </w:rPr>
            </w:pPr>
          </w:p>
        </w:tc>
        <w:tc>
          <w:tcPr>
            <w:tcW w:w="180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Estimated Fair Value</w:t>
            </w:r>
          </w:p>
        </w:tc>
      </w:tr>
      <w:tr>
        <w:trPr>
          <w:trHeight w:val="27"/>
        </w:trPr>
        <w:tc>
          <w:tcPr>
            <w:tcW w:w="3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110.8</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344.3</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45.5</w:t>
            </w: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Certificates of deposit</w:t>
            </w:r>
          </w:p>
        </w:tc>
        <w:tc>
          <w:tcPr>
            <w:tcW w:w="2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97"/>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cash and cash equivalents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504.1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504.1</w:t>
            </w:r>
          </w:p>
        </w:tc>
      </w:tr>
      <w:tr>
        <w:trPr>
          <w:trHeight w:val="23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Corporate notes and obligations</w:t>
            </w:r>
          </w:p>
        </w:tc>
        <w:tc>
          <w:tcPr>
            <w:tcW w:w="240" w:type="dxa"/>
            <w:vAlign w:val="bottom"/>
          </w:tcPr>
          <w:p>
            <w:pPr>
              <w:spacing w:after="0"/>
              <w:rPr>
                <w:sz w:val="21"/>
                <w:szCs w:val="21"/>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192.0</w:t>
            </w: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Treasury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165.5</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21"/>
                <w:szCs w:val="21"/>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53.5</w:t>
            </w: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agency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27.6</w:t>
            </w:r>
          </w:p>
        </w:tc>
      </w:tr>
      <w:tr>
        <w:trPr>
          <w:trHeight w:val="27"/>
        </w:trPr>
        <w:tc>
          <w:tcPr>
            <w:tcW w:w="3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investments</w:t>
            </w:r>
          </w:p>
        </w:tc>
        <w:tc>
          <w:tcPr>
            <w:tcW w:w="2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477.7</w:t>
            </w:r>
          </w:p>
        </w:tc>
      </w:tr>
      <w:tr>
        <w:trPr>
          <w:trHeight w:val="257"/>
        </w:trPr>
        <w:tc>
          <w:tcPr>
            <w:tcW w:w="344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982.0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981.8</w:t>
            </w:r>
          </w:p>
        </w:tc>
      </w:tr>
      <w:tr>
        <w:trPr>
          <w:trHeight w:val="20"/>
        </w:trPr>
        <w:tc>
          <w:tcPr>
            <w:tcW w:w="3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Company's cash and cash equivalents at December 31, 2017 consisted of cash of $62.9 million and money market funds of $367.1 million. The Company did not have short-term investments as of December 31, 2017.</w:t>
      </w:r>
    </w:p>
    <w:p>
      <w:pPr>
        <w:spacing w:after="0" w:line="170"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Included in cash and cash equivalents is cash in transit from payment processors for credit and debit card transactions of $12.4 million and $13.3 million as of June 30, 2018 and December 31, 2017, respectively.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short-term investments were designated as available-for-sale securities as of June 30, 2018.</w:t>
      </w:r>
    </w:p>
    <w:p>
      <w:pPr>
        <w:spacing w:after="0" w:line="225"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The Company had 138 short-term investments in unrealized loss positions as of June 30, 2018. There were no material gross unrealized losses from available-for-sale securities and no material realized gains or losses from available-for-sale securities that were reclassified out of accumulated other comprehensive income for the three and six months ended June 30, 2018.</w:t>
      </w:r>
    </w:p>
    <w:p>
      <w:pPr>
        <w:spacing w:after="0" w:line="18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For investments in available-for-sale debt securities that have unrealized losses, the Company evaluates whether (i) it has the intention to sell any of these investments and (ii) whether it is not more likely than not that it will be required to sell any of these investments before recovery of the entire amortized cost basis. Based on this evaluation, the Company determined that there were no other-than-temporary impairments associated with short-term investments as of June 30, 2018.</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contractual maturities of the Company’s short-term investments as of June 30,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40" w:type="dxa"/>
            <w:vAlign w:val="bottom"/>
            <w:gridSpan w:val="4"/>
          </w:tcPr>
          <w:p>
            <w:pPr>
              <w:jc w:val="right"/>
              <w:ind w:right="1370"/>
              <w:spacing w:after="0"/>
              <w:rPr>
                <w:sz w:val="20"/>
                <w:szCs w:val="20"/>
                <w:color w:val="auto"/>
              </w:rPr>
            </w:pPr>
            <w:r>
              <w:rPr>
                <w:rFonts w:ascii="Arial" w:cs="Arial" w:eastAsia="Arial" w:hAnsi="Arial"/>
                <w:sz w:val="18"/>
                <w:szCs w:val="18"/>
                <w:b w:val="1"/>
                <w:bCs w:val="1"/>
                <w:color w:val="auto"/>
              </w:rPr>
              <w:t>As of June 30, 2018</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2"/>
          </w:tcPr>
          <w:p>
            <w:pPr>
              <w:ind w:left="180"/>
              <w:spacing w:after="0"/>
              <w:rPr>
                <w:sz w:val="20"/>
                <w:szCs w:val="20"/>
                <w:color w:val="auto"/>
              </w:rPr>
            </w:pPr>
            <w:r>
              <w:rPr>
                <w:rFonts w:ascii="Arial" w:cs="Arial" w:eastAsia="Arial" w:hAnsi="Arial"/>
                <w:sz w:val="18"/>
                <w:szCs w:val="18"/>
                <w:b w:val="1"/>
                <w:bCs w:val="1"/>
                <w:color w:val="auto"/>
              </w:rPr>
              <w:t>Amortized Cost</w:t>
            </w:r>
          </w:p>
        </w:tc>
        <w:tc>
          <w:tcPr>
            <w:tcW w:w="180" w:type="dxa"/>
            <w:vAlign w:val="bottom"/>
          </w:tcPr>
          <w:p>
            <w:pPr>
              <w:spacing w:after="0"/>
              <w:rPr>
                <w:sz w:val="20"/>
                <w:szCs w:val="20"/>
                <w:color w:val="auto"/>
              </w:rPr>
            </w:pPr>
          </w:p>
        </w:tc>
        <w:tc>
          <w:tcPr>
            <w:tcW w:w="198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Estimated Fair Value</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3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298.3</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Due between one to three years</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477.9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477.7</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bottom w:val="single" w:sz="8" w:color="CCEEFF"/>
            </w:tcBorders>
            <w:vMerge w:val="restart"/>
          </w:tcPr>
          <w:p>
            <w:pPr>
              <w:jc w:val="right"/>
              <w:ind w:right="1090"/>
              <w:spacing w:after="0"/>
              <w:rPr>
                <w:sz w:val="20"/>
                <w:szCs w:val="20"/>
                <w:color w:val="auto"/>
              </w:rPr>
            </w:pPr>
            <w:r>
              <w:rPr>
                <w:rFonts w:ascii="Arial" w:cs="Arial" w:eastAsia="Arial" w:hAnsi="Arial"/>
                <w:sz w:val="18"/>
                <w:szCs w:val="18"/>
                <w:color w:val="auto"/>
              </w:rPr>
              <w:t>17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96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22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 measures its financial instruments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spacing w:after="0" w:line="18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 presents information about the Company’s financial instruments that are measured at fair value on a recurring basis using the input categories further discussed in Note 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As of June 30, 2018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1</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rPr>
              <w:t>Level 3</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1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21"/>
                <w:szCs w:val="21"/>
                <w:color w:val="auto"/>
              </w:rPr>
            </w:pP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1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Certificates of deposit</w:t>
            </w:r>
          </w:p>
        </w:tc>
        <w:tc>
          <w:tcPr>
            <w:tcW w:w="13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cash equivalents</w:t>
            </w: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344.3</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393.3</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Short-term investments</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40" w:type="dxa"/>
            <w:vAlign w:val="bottom"/>
            <w:vMerge w:val="continue"/>
          </w:tcPr>
          <w:p>
            <w:pPr>
              <w:spacing w:after="0"/>
              <w:rPr>
                <w:sz w:val="20"/>
                <w:szCs w:val="20"/>
                <w:color w:val="auto"/>
              </w:rPr>
            </w:pPr>
          </w:p>
        </w:tc>
        <w:tc>
          <w:tcPr>
            <w:tcW w:w="1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notes and obligations</w:t>
            </w: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13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165.5</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Certificates of deposit</w:t>
            </w:r>
          </w:p>
        </w:tc>
        <w:tc>
          <w:tcPr>
            <w:tcW w:w="1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U.S. agency obligations</w:t>
            </w:r>
          </w:p>
        </w:tc>
        <w:tc>
          <w:tcPr>
            <w:tcW w:w="13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13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Total short-term investments</w:t>
            </w:r>
          </w:p>
        </w:tc>
        <w:tc>
          <w:tcPr>
            <w:tcW w:w="1360" w:type="dxa"/>
            <w:vAlign w:val="bottom"/>
            <w:tcBorders>
              <w:top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477.7</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477.7</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cash equivalents and short-term</w:t>
            </w:r>
          </w:p>
        </w:tc>
        <w:tc>
          <w:tcPr>
            <w:tcW w:w="1360" w:type="dxa"/>
            <w:vAlign w:val="bottom"/>
            <w:vMerge w:val="restart"/>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344.3</w:t>
            </w:r>
          </w:p>
        </w:tc>
        <w:tc>
          <w:tcPr>
            <w:tcW w:w="100" w:type="dxa"/>
            <w:vAlign w:val="bottom"/>
            <w:shd w:val="clear" w:color="auto" w:fill="CCEEFF"/>
          </w:tcPr>
          <w:p>
            <w:pPr>
              <w:spacing w:after="0"/>
              <w:rPr>
                <w:sz w:val="18"/>
                <w:szCs w:val="18"/>
                <w:color w:val="auto"/>
              </w:rPr>
            </w:pPr>
          </w:p>
        </w:tc>
        <w:tc>
          <w:tcPr>
            <w:tcW w:w="1320" w:type="dxa"/>
            <w:vAlign w:val="bottom"/>
            <w:vMerge w:val="restart"/>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526.7</w:t>
            </w:r>
          </w:p>
        </w:tc>
        <w:tc>
          <w:tcPr>
            <w:tcW w:w="1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56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871.0</w:t>
            </w:r>
          </w:p>
        </w:tc>
        <w:tc>
          <w:tcPr>
            <w:tcW w:w="0" w:type="dxa"/>
            <w:vAlign w:val="bottom"/>
          </w:tcPr>
          <w:p>
            <w:pPr>
              <w:spacing w:after="0"/>
              <w:rPr>
                <w:sz w:val="1"/>
                <w:szCs w:val="1"/>
                <w:color w:val="auto"/>
              </w:rPr>
            </w:pPr>
          </w:p>
        </w:tc>
      </w:tr>
      <w:tr>
        <w:trPr>
          <w:trHeight w:val="23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1360" w:type="dxa"/>
            <w:vAlign w:val="bottom"/>
            <w:vMerge w:val="continue"/>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560" w:type="dxa"/>
            <w:vAlign w:val="bottom"/>
            <w:gridSpan w:val="2"/>
            <w:vMerge w:val="continue"/>
            <w:shd w:val="clear" w:color="auto" w:fill="CCEEFF"/>
          </w:tcPr>
          <w:p>
            <w:pPr>
              <w:spacing w:after="0"/>
              <w:rPr>
                <w:sz w:val="20"/>
                <w:szCs w:val="20"/>
                <w:color w:val="auto"/>
              </w:rPr>
            </w:pPr>
          </w:p>
        </w:tc>
        <w:tc>
          <w:tcPr>
            <w:tcW w:w="460" w:type="dxa"/>
            <w:vAlign w:val="bottom"/>
            <w:vMerge w:val="continue"/>
            <w:shd w:val="clear" w:color="auto" w:fill="CCEEFF"/>
          </w:tcPr>
          <w:p>
            <w:pPr>
              <w:spacing w:after="0"/>
              <w:rPr>
                <w:sz w:val="20"/>
                <w:szCs w:val="20"/>
                <w:color w:val="auto"/>
              </w:rPr>
            </w:pPr>
          </w:p>
        </w:tc>
        <w:tc>
          <w:tcPr>
            <w:tcW w:w="14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total cash equivalents held by the Company as of December 31, 2017 were $367.1 million and were entirely comprised of money market funds classified within Level 1 of the fair value hierarchy.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no transfers between levels of the fair value hierarchy.</w:t>
      </w:r>
    </w:p>
    <w:p>
      <w:pPr>
        <w:spacing w:after="0" w:line="22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and Equipment, Net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ind w:left="440"/>
              <w:spacing w:after="0"/>
              <w:rPr>
                <w:sz w:val="20"/>
                <w:szCs w:val="20"/>
                <w:color w:val="auto"/>
              </w:rPr>
            </w:pPr>
            <w:r>
              <w:rPr>
                <w:rFonts w:ascii="Arial" w:cs="Arial" w:eastAsia="Arial" w:hAnsi="Arial"/>
                <w:sz w:val="18"/>
                <w:szCs w:val="18"/>
                <w:color w:val="auto"/>
              </w:rPr>
              <w:t>Property and equipment, net consisted of the following:</w:t>
            </w:r>
          </w:p>
        </w:tc>
        <w:tc>
          <w:tcPr>
            <w:tcW w:w="3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635"/>
        </w:trPr>
        <w:tc>
          <w:tcPr>
            <w:tcW w:w="6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As of</w:t>
            </w:r>
          </w:p>
        </w:tc>
        <w:tc>
          <w:tcPr>
            <w:tcW w:w="1900" w:type="dxa"/>
            <w:vAlign w:val="bottom"/>
          </w:tcPr>
          <w:p>
            <w:pPr>
              <w:spacing w:after="0"/>
              <w:rPr>
                <w:sz w:val="24"/>
                <w:szCs w:val="24"/>
                <w:color w:val="auto"/>
              </w:rPr>
            </w:pPr>
          </w:p>
        </w:tc>
      </w:tr>
      <w:tr>
        <w:trPr>
          <w:trHeight w:val="27"/>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2018</w:t>
            </w:r>
          </w:p>
        </w:tc>
        <w:tc>
          <w:tcPr>
            <w:tcW w:w="260" w:type="dxa"/>
            <w:vAlign w:val="bottom"/>
          </w:tcPr>
          <w:p>
            <w:pPr>
              <w:spacing w:after="0"/>
              <w:rPr>
                <w:sz w:val="20"/>
                <w:szCs w:val="20"/>
                <w:color w:val="auto"/>
              </w:rPr>
            </w:pPr>
          </w:p>
        </w:tc>
        <w:tc>
          <w:tcPr>
            <w:tcW w:w="1900" w:type="dxa"/>
            <w:vAlign w:val="bottom"/>
          </w:tcPr>
          <w:p>
            <w:pPr>
              <w:jc w:val="right"/>
              <w:ind w:right="27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Datacenter and other computer equipment</w:t>
            </w:r>
          </w:p>
        </w:tc>
        <w:tc>
          <w:tcPr>
            <w:tcW w:w="34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711.7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663.1</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118.6</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process</w:t>
            </w:r>
          </w:p>
        </w:tc>
        <w:tc>
          <w:tcPr>
            <w:tcW w:w="3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37"/>
        </w:trPr>
        <w:tc>
          <w:tcPr>
            <w:tcW w:w="6980" w:type="dxa"/>
            <w:vAlign w:val="bottom"/>
          </w:tcPr>
          <w:p>
            <w:pPr>
              <w:ind w:left="280"/>
              <w:spacing w:after="0"/>
              <w:rPr>
                <w:sz w:val="20"/>
                <w:szCs w:val="20"/>
                <w:color w:val="auto"/>
              </w:rPr>
            </w:pPr>
            <w:r>
              <w:rPr>
                <w:rFonts w:ascii="Arial" w:cs="Arial" w:eastAsia="Arial" w:hAnsi="Arial"/>
                <w:sz w:val="18"/>
                <w:szCs w:val="18"/>
                <w:color w:val="auto"/>
              </w:rPr>
              <w:t>Total property and equipment</w:t>
            </w:r>
          </w:p>
        </w:tc>
        <w:tc>
          <w:tcPr>
            <w:tcW w:w="34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906.2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846.7</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(504.8)</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330.8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341.9</w:t>
            </w:r>
          </w:p>
        </w:tc>
      </w:tr>
      <w:tr>
        <w:trPr>
          <w:trHeight w:val="27"/>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The Company leases certain infrastructure from various third parties, including from a related party, through equipment financing leases that are accounted for as capital leases. See Note 12, “Related Party Transactions” for additional details. Infrastructure assets as of June 30, 2018 and December 31, 2017, respectively included a total of $385.4 million and $417.9 million acquired under capital lease agreements. These leases are capitalized in property and equipment, and the related amortization of assets under capital leases is included in depreciation and amortization expense. The accumulated depreciation of the infrastructure under capital leases totaled $235.7 million and $259.0 million as of June 30, 2018 and December 31, 2017, respectively.</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Construction in process includes costs primarily related to construction of leasehold improvements for office buildings and datacenters.</w:t>
      </w:r>
    </w:p>
    <w:p>
      <w:pPr>
        <w:spacing w:after="0" w:line="225"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Depreciation expense related to property and equipment was $38.0 million and $72.1 million for the three and six months ended June 30, 2018, respectively, and $43.6 million and $88.1 million for the three and six months ended June 30,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w:t>
      </w:r>
    </w:p>
    <w:p>
      <w:pPr>
        <w:spacing w:after="0" w:line="229" w:lineRule="exact"/>
        <w:rPr>
          <w:sz w:val="20"/>
          <w:szCs w:val="20"/>
          <w:color w:val="auto"/>
        </w:rPr>
      </w:pPr>
    </w:p>
    <w:p>
      <w:pPr>
        <w:ind w:right="580" w:firstLine="432"/>
        <w:spacing w:after="0" w:line="286" w:lineRule="auto"/>
        <w:rPr>
          <w:sz w:val="20"/>
          <w:szCs w:val="20"/>
          <w:color w:val="auto"/>
        </w:rPr>
      </w:pPr>
      <w:r>
        <w:rPr>
          <w:rFonts w:ascii="Arial" w:cs="Arial" w:eastAsia="Arial" w:hAnsi="Arial"/>
          <w:sz w:val="17"/>
          <w:szCs w:val="17"/>
          <w:color w:val="auto"/>
        </w:rPr>
        <w:t>Goodwill represents the excess of the purchase price in a business combination over the fair value of net tangible and intangible assets acquired. Goodwill amounts are not amortized, but tested for impairment on an annual basis. There was no impairment of goodwill as of June 30, 2018 and December 31, 2017. The Company did not complete any business combinations in any of the periods presented.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Revolving Credit Facility</w:t>
      </w:r>
    </w:p>
    <w:p>
      <w:pPr>
        <w:spacing w:after="0" w:line="229"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In April 2017, the Company entered into an amended and restated credit and guaranty agreement which provided for a $600.0 million revolving loan facility (the “revolving credit facility”). In conjunction with the revolving credit facility, the Company paid upfront issuance fees of $2.6 million, which are being amortized over the five-year term of the agreement.</w:t>
      </w:r>
    </w:p>
    <w:p>
      <w:pPr>
        <w:spacing w:after="0" w:line="18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In February 2018, the Company amended its revolving credit facility to, among other things, permit the Company to make certain investments, enter into an unsecured standby letter of credit facility and increase its standby letter of credit sublimit to $187.5 million. The Company increased its borrowing capacity under the revolving credit facility from $600.0 million to $725.0 million. The Company may from time to time request increases in its borrowing capacity under the revolving credit facility of up to $275.0 million, provided no event of default has occurred or is continuing or would result from such increase. In conjunction with the amendment, the Company paid upfront issuance fees of $0.4 million, which are being amortized over the remaining term of the agreement.</w:t>
      </w:r>
    </w:p>
    <w:p>
      <w:pPr>
        <w:spacing w:after="0" w:line="19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1.5% per annum on the amount of such letters of credit outstanding. There is an additional fronting fee of 0.125% per annum multiplied by the average aggregate daily maximum amount available under all letters of credit. Borrowings under the revolving credit facility bear interest, at the Company’s option, at an annual rate based on LIBOR plus a spread of 1.50% or at an alternative base rate plus a spread of 0.50%.</w:t>
      </w:r>
    </w:p>
    <w:p>
      <w:pPr>
        <w:spacing w:after="0" w:line="178"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covenant and a minimum liquidity balance of $100.0 million, which includes any available borrowing capacity. The Company was in compliance with the covenants of the revolving credit facility as of June 30, 2018 and December 31, 2017, respectively.</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The Company had an aggregate of $73.4 million of letters of credit outstanding under the revolving credit facility as of June 30, 2018, and the Company’s total available borrowing capacity under the revolving credit facility was $651.6 million as of June 30, 2018. The Company’s letters of credit expire between April of 2019 and April of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Company has entered into various non-cancelable operating lease agreements for certain offices and datacenters with contractual lease periods expiring at various dates through 2033. The facility lease agreements generally provide for escalating rental payments and for options to renew, which could increase future minimum lease payments if exercised. The Company recognizes rent expense on a straight-line basis over the lease period and accounts for the difference between straight-line rent and actual lease payments as deferred rent.</w:t>
      </w:r>
    </w:p>
    <w:p>
      <w:pPr>
        <w:spacing w:after="0" w:line="18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Gross rent expense was $21.1 million and $43.0 million for the three and six months ended June 30, 2018, respectively, and $16.4 million and $32.4 million for the three and six months ended June 30, 2017, respectively. Sublease income, which is recorded as a reduction of rental expense, was $3.1 million and $6.6 million for the three and six months ended June 30, 2018, respectively, and $1.9 million and $3.8 million for the three and six months ended June 30, 2017, respectively. Sublease income in excess of the Company’s original lease obligation is split with the original lessor per the terms of the sublease agreement, with the Company’s portion recorded to other income (expense), net.</w:t>
      </w:r>
    </w:p>
    <w:p>
      <w:pPr>
        <w:spacing w:after="0" w:line="188"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In 2017, the Company entered into a new lease agreement for office space in San Francisco, California, to serve as its new corporate headquarters. The Company took initial possession of the new corporate headquarters in June 2018 and began to recognize rent expense during the three months ended June 30, 2018. The Company expects to start making recurring rental payments under the lease in the third quarter of 2019. Included in the operating lease commitments below are total expected minimum obligations under the lease agreement of $831.5 million, which exclude expected tenant improvement reimbursements from the landlord of approximately $75.0 million and variable operating expenses. The Company’s obligations under the lease are supported by a $34.2 million letter of credit, which reduced the borrowing capacity under the revolving credit facility.</w:t>
      </w:r>
    </w:p>
    <w:p>
      <w:pPr>
        <w:spacing w:after="0" w:line="165" w:lineRule="exact"/>
        <w:rPr>
          <w:sz w:val="20"/>
          <w:szCs w:val="20"/>
          <w:color w:val="auto"/>
        </w:rPr>
      </w:pPr>
    </w:p>
    <w:p>
      <w:pPr>
        <w:jc w:val="both"/>
        <w:ind w:right="40" w:firstLine="405"/>
        <w:spacing w:after="0" w:line="286" w:lineRule="auto"/>
        <w:rPr>
          <w:sz w:val="20"/>
          <w:szCs w:val="20"/>
          <w:color w:val="auto"/>
        </w:rPr>
      </w:pPr>
      <w:r>
        <w:rPr>
          <w:rFonts w:ascii="Arial" w:cs="Arial" w:eastAsia="Arial" w:hAnsi="Arial"/>
          <w:sz w:val="17"/>
          <w:szCs w:val="17"/>
          <w:color w:val="auto"/>
        </w:rPr>
        <w:t>In May 2018, the Company amended its lease agreement for its current corporate headquarters, modifying the original lease termination date from 2027 to 2019. As a result of the amendment, the Company expects to vacate its current corporate headquarters in August 2019, but is obligated to pay rent through February 2020. Accordingly, the Company has removed $192.4 million in future minimum rental payments from the table below.</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Other commitments include payments to third-party vendors for services related to the Company’s infrastructure, infrastructure warranty contracts, payments related to the imputed financing obligation for its previous headquarters, asset retirement obligations for office modifications, and a note payable related to financing of infrastructure.</w:t>
      </w:r>
    </w:p>
    <w:p>
      <w:pPr>
        <w:spacing w:after="0" w:line="181"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Future minimum payments under the Company’s capital leases, non-cancelable operating leases, and other commitments as of June 30, 2018, are as follows.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1180" w:type="dxa"/>
            <w:vAlign w:val="bottom"/>
          </w:tcPr>
          <w:p>
            <w:pPr>
              <w:jc w:val="center"/>
              <w:ind w:left="470"/>
              <w:spacing w:after="0"/>
              <w:rPr>
                <w:sz w:val="20"/>
                <w:szCs w:val="20"/>
                <w:color w:val="auto"/>
              </w:rPr>
            </w:pPr>
            <w:r>
              <w:rPr>
                <w:rFonts w:ascii="Arial" w:cs="Arial" w:eastAsia="Arial" w:hAnsi="Arial"/>
                <w:sz w:val="18"/>
                <w:szCs w:val="18"/>
                <w:b w:val="1"/>
                <w:bCs w:val="1"/>
                <w:color w:val="auto"/>
                <w:w w:val="96"/>
              </w:rPr>
              <w:t>Capital</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Operating</w:t>
            </w:r>
          </w:p>
        </w:tc>
        <w:tc>
          <w:tcPr>
            <w:tcW w:w="220" w:type="dxa"/>
            <w:vAlign w:val="bottom"/>
          </w:tcPr>
          <w:p>
            <w:pPr>
              <w:spacing w:after="0"/>
              <w:rPr>
                <w:sz w:val="18"/>
                <w:szCs w:val="18"/>
                <w:color w:val="auto"/>
              </w:rPr>
            </w:pPr>
          </w:p>
        </w:tc>
        <w:tc>
          <w:tcPr>
            <w:tcW w:w="148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108"/>
        </w:trPr>
        <w:tc>
          <w:tcPr>
            <w:tcW w:w="6040" w:type="dxa"/>
            <w:vAlign w:val="bottom"/>
          </w:tcPr>
          <w:p>
            <w:pPr>
              <w:spacing w:after="0"/>
              <w:rPr>
                <w:sz w:val="9"/>
                <w:szCs w:val="9"/>
                <w:color w:val="auto"/>
              </w:rPr>
            </w:pPr>
          </w:p>
        </w:tc>
        <w:tc>
          <w:tcPr>
            <w:tcW w:w="1180" w:type="dxa"/>
            <w:vAlign w:val="bottom"/>
            <w:vMerge w:val="restart"/>
          </w:tcPr>
          <w:p>
            <w:pPr>
              <w:jc w:val="center"/>
              <w:ind w:left="470"/>
              <w:spacing w:after="0"/>
              <w:rPr>
                <w:sz w:val="20"/>
                <w:szCs w:val="20"/>
                <w:color w:val="auto"/>
              </w:rPr>
            </w:pPr>
            <w:r>
              <w:rPr>
                <w:rFonts w:ascii="Arial" w:cs="Arial" w:eastAsia="Arial" w:hAnsi="Arial"/>
                <w:sz w:val="18"/>
                <w:szCs w:val="18"/>
                <w:b w:val="1"/>
                <w:bCs w:val="1"/>
                <w:color w:val="auto"/>
                <w:w w:val="84"/>
              </w:rPr>
              <w:t>lease</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4"/>
              </w:rPr>
              <w:t>lease</w:t>
            </w:r>
          </w:p>
        </w:tc>
        <w:tc>
          <w:tcPr>
            <w:tcW w:w="22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5"/>
              </w:rPr>
              <w:t>commitments</w:t>
            </w:r>
          </w:p>
        </w:tc>
        <w:tc>
          <w:tcPr>
            <w:tcW w:w="0" w:type="dxa"/>
            <w:vAlign w:val="bottom"/>
          </w:tcPr>
          <w:p>
            <w:pPr>
              <w:spacing w:after="0"/>
              <w:rPr>
                <w:sz w:val="1"/>
                <w:szCs w:val="1"/>
                <w:color w:val="auto"/>
              </w:rPr>
            </w:pPr>
          </w:p>
        </w:tc>
      </w:tr>
      <w:tr>
        <w:trPr>
          <w:trHeight w:val="126"/>
        </w:trPr>
        <w:tc>
          <w:tcPr>
            <w:tcW w:w="6040" w:type="dxa"/>
            <w:vAlign w:val="bottom"/>
          </w:tcPr>
          <w:p>
            <w:pPr>
              <w:spacing w:after="0"/>
              <w:rPr>
                <w:sz w:val="10"/>
                <w:szCs w:val="10"/>
                <w:color w:val="auto"/>
              </w:rPr>
            </w:pPr>
          </w:p>
        </w:tc>
        <w:tc>
          <w:tcPr>
            <w:tcW w:w="17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8"/>
              </w:rPr>
              <w:t>commitments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vMerge w:val="restart"/>
          </w:tcPr>
          <w:p>
            <w:pPr>
              <w:jc w:val="center"/>
              <w:ind w:right="90"/>
              <w:spacing w:after="0" w:line="262" w:lineRule="exact"/>
              <w:rPr>
                <w:sz w:val="20"/>
                <w:szCs w:val="20"/>
                <w:color w:val="auto"/>
              </w:rPr>
            </w:pPr>
            <w:r>
              <w:rPr>
                <w:rFonts w:ascii="Arial" w:cs="Arial" w:eastAsia="Arial" w:hAnsi="Arial"/>
                <w:sz w:val="18"/>
                <w:szCs w:val="18"/>
                <w:b w:val="1"/>
                <w:bCs w:val="1"/>
                <w:color w:val="auto"/>
                <w:w w:val="85"/>
              </w:rPr>
              <w:t>commitments</w:t>
            </w:r>
            <w:r>
              <w:rPr>
                <w:rFonts w:ascii="Arial" w:cs="Arial" w:eastAsia="Arial" w:hAnsi="Arial"/>
                <w:sz w:val="25"/>
                <w:szCs w:val="25"/>
                <w:b w:val="1"/>
                <w:bCs w:val="1"/>
                <w:color w:val="auto"/>
                <w:w w:val="85"/>
                <w:vertAlign w:val="superscript"/>
              </w:rPr>
              <w:t>(1)</w:t>
            </w:r>
          </w:p>
        </w:tc>
        <w:tc>
          <w:tcPr>
            <w:tcW w:w="12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040" w:type="dxa"/>
            <w:vAlign w:val="bottom"/>
            <w:tcBorders>
              <w:bottom w:val="single" w:sz="8" w:color="CCEEFF"/>
            </w:tcBorders>
          </w:tcPr>
          <w:p>
            <w:pPr>
              <w:spacing w:after="0"/>
              <w:rPr>
                <w:sz w:val="11"/>
                <w:szCs w:val="11"/>
                <w:color w:val="auto"/>
              </w:rPr>
            </w:pPr>
          </w:p>
        </w:tc>
        <w:tc>
          <w:tcPr>
            <w:tcW w:w="1740" w:type="dxa"/>
            <w:vAlign w:val="bottom"/>
            <w:tcBorders>
              <w:bottom w:val="single" w:sz="8" w:color="auto"/>
            </w:tcBorders>
            <w:gridSpan w:val="2"/>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2018</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2019</w:t>
            </w:r>
          </w:p>
        </w:tc>
        <w:tc>
          <w:tcPr>
            <w:tcW w:w="11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2021</w:t>
            </w:r>
          </w:p>
        </w:tc>
        <w:tc>
          <w:tcPr>
            <w:tcW w:w="11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1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710.6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Future minimum payments</w:t>
            </w:r>
          </w:p>
        </w:tc>
        <w:tc>
          <w:tcPr>
            <w:tcW w:w="118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171.4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1,138.5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Less interest and taxes</w:t>
            </w:r>
          </w:p>
        </w:tc>
        <w:tc>
          <w:tcPr>
            <w:tcW w:w="1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40" w:type="dxa"/>
            <w:vAlign w:val="bottom"/>
            <w:vMerge w:val="continue"/>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the present value of minimum lease payments</w:t>
            </w:r>
          </w:p>
        </w:tc>
        <w:tc>
          <w:tcPr>
            <w:tcW w:w="1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Capital lease obligations, net of current portion</w:t>
            </w:r>
          </w:p>
        </w:tc>
        <w:tc>
          <w:tcPr>
            <w:tcW w:w="1180" w:type="dxa"/>
            <w:vAlign w:val="bottom"/>
            <w:tcBorders>
              <w:top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right="120" w:hanging="332"/>
        <w:spacing w:after="0" w:line="226" w:lineRule="auto"/>
        <w:tabs>
          <w:tab w:leader="none" w:pos="34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Consists of future non-cancelable minimum rental payments under operating leases for the Company’s offices and datacenters, excluding rent payments from the Company’s sub-tenants, variable operating expenses, and tenant improvement reimbursements. Non-cancelable rent payments from the Company’s sub-tenants as of June 30, 2018, are expected to be $57.1 million through 2023.</w:t>
      </w:r>
    </w:p>
    <w:p>
      <w:pPr>
        <w:spacing w:after="0" w:line="31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In its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Accrued and Other Current Liabilities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ind w:left="420"/>
              <w:spacing w:after="0"/>
              <w:rPr>
                <w:sz w:val="20"/>
                <w:szCs w:val="20"/>
                <w:color w:val="auto"/>
              </w:rPr>
            </w:pPr>
            <w:r>
              <w:rPr>
                <w:rFonts w:ascii="Arial" w:cs="Arial" w:eastAsia="Arial" w:hAnsi="Arial"/>
                <w:sz w:val="18"/>
                <w:szCs w:val="18"/>
                <w:color w:val="auto"/>
              </w:rPr>
              <w:t>Accrued and other current liabilities consisted of the following:</w:t>
            </w:r>
          </w:p>
        </w:tc>
        <w:tc>
          <w:tcPr>
            <w:tcW w:w="1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594"/>
        </w:trPr>
        <w:tc>
          <w:tcPr>
            <w:tcW w:w="6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As of</w:t>
            </w:r>
          </w:p>
        </w:tc>
        <w:tc>
          <w:tcPr>
            <w:tcW w:w="1900" w:type="dxa"/>
            <w:vAlign w:val="bottom"/>
          </w:tcPr>
          <w:p>
            <w:pPr>
              <w:spacing w:after="0"/>
              <w:rPr>
                <w:sz w:val="24"/>
                <w:szCs w:val="24"/>
                <w:color w:val="auto"/>
              </w:rPr>
            </w:pPr>
          </w:p>
        </w:tc>
      </w:tr>
      <w:tr>
        <w:trPr>
          <w:trHeight w:val="27"/>
        </w:trPr>
        <w:tc>
          <w:tcPr>
            <w:tcW w:w="69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June 30, 2018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tcPr>
          <w:p>
            <w:pPr>
              <w:jc w:val="right"/>
              <w:ind w:right="27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69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Non-income taxes payable</w:t>
            </w:r>
          </w:p>
        </w:tc>
        <w:tc>
          <w:tcPr>
            <w:tcW w:w="1640" w:type="dxa"/>
            <w:vAlign w:val="bottom"/>
            <w:tcBorders>
              <w:bottom w:val="single" w:sz="8" w:color="CCEEFF"/>
            </w:tcBorders>
            <w:shd w:val="clear" w:color="auto" w:fill="CCEEFF"/>
          </w:tcPr>
          <w:p>
            <w:pPr>
              <w:jc w:val="right"/>
              <w:ind w:right="14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16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14.6</w:t>
            </w:r>
          </w:p>
        </w:tc>
      </w:tr>
      <w:tr>
        <w:trPr>
          <w:trHeight w:val="27"/>
        </w:trPr>
        <w:tc>
          <w:tcPr>
            <w:tcW w:w="6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legal and other external fees</w:t>
            </w:r>
          </w:p>
        </w:tc>
        <w:tc>
          <w:tcPr>
            <w:tcW w:w="16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Financing obligations, current</w:t>
            </w:r>
          </w:p>
        </w:tc>
        <w:tc>
          <w:tcPr>
            <w:tcW w:w="16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7"/>
        </w:trPr>
        <w:tc>
          <w:tcPr>
            <w:tcW w:w="6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infrastructure costs</w:t>
            </w:r>
          </w:p>
        </w:tc>
        <w:tc>
          <w:tcPr>
            <w:tcW w:w="16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Accrued property and equipment purchases</w:t>
            </w:r>
          </w:p>
        </w:tc>
        <w:tc>
          <w:tcPr>
            <w:tcW w:w="16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6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16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 accrued and current liabilities</w:t>
            </w:r>
          </w:p>
        </w:tc>
        <w:tc>
          <w:tcPr>
            <w:tcW w:w="16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7"/>
        </w:trPr>
        <w:tc>
          <w:tcPr>
            <w:tcW w:w="69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accrued and other current liabilities</w:t>
            </w:r>
          </w:p>
        </w:tc>
        <w:tc>
          <w:tcPr>
            <w:tcW w:w="1640" w:type="dxa"/>
            <w:vAlign w:val="bottom"/>
            <w:tcBorders>
              <w:bottom w:val="single" w:sz="8" w:color="CCEEFF"/>
            </w:tcBorders>
            <w:shd w:val="clear" w:color="auto" w:fill="CCEEFF"/>
          </w:tcPr>
          <w:p>
            <w:pPr>
              <w:jc w:val="right"/>
              <w:ind w:right="14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172.3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129.8</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Deferred rent as of June 30, 2018 increased from December 31, 2017 primarily due to the amendment of the lease for the Company's current corporate headquarters and the shortening of its lease term as described further in Note 7. This lease modification resulted in a reclassification of deferred rent from deferred rent, non-current to accrued and other current liabilities, and is included in the deferred rent amount in the table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Company’s amended and restated certificate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 During the three months ended June 30, 2018, holders of 40.6 million shares of Class B common stock voluntarily converted into an equivalent number of shares of Class A common stock.</w:t>
      </w:r>
    </w:p>
    <w:p>
      <w:pPr>
        <w:spacing w:after="0" w:line="178"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As of June 30, 2018, the Company had authorized 2,400.0 million shares of Class A common stock, 475.0 million shares of Class B common stock, and 800.0 million shares of Class C common stock, each at par value of $0.00001. As of June 30, 2018, 101.0 million shares of Class A common stock, 301.3 million shares of Class B common stock, and no shares of Class C common stock were issued and outstanding. As of December 31, 2017, 8.9 million shares of Class A common stock, 187.9 million shares of Class B common stock, and no shares of Class C common stock were issued and outstanding. Class A shares issued and outstanding as of June 30, 2018 and December 31, 2017 exclude 14.7 million unvested restricted stock awards granted to the Company’s co-founders. See "Co-Founder Grants" section below for further details.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Immediately prior to the closing of the Company’s IPO, all of the 147.3 million shares of convertible preferred stock converted into an equivalent number of shares of Class B common stock. Further, pursuant to transfer agreements with certain of the Company’s stockholders, 0.3 million shares of the Company’s convertible preferred stock automatically converted into an equivalent number of shares of Class A common stock.</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The Company's Board of Directors will have the authority, without further action by the Company's stockholders, to issue up to 240.0 million shares of undesignated preferred stock with rights and preferences, including voting rights, designated from time to time by the Board of Directors.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Under the 2018 Plan, the Company may grant stock-based awards to purchase or directly issue shares of common stock to employees, directors, and consultants. Options are granted at a price per share equal to the fair market value of the Company's common stock at the date of grant. Options granted are exercisable over a maximum term of 10 years from the date of grant and generally vest over a period of four years. No options have been granted since August of 2015. RSUs and RSAs are also granted under the 2018 Plan. The 2018 Plan will terminate 10 years after the later of (i) its adoption or (ii) the most recent stockholder-approved increase in the number of shares reserved under the 2018 Plan, unless terminated earlier by the Company's Board of Directors. The 2018 Plan was adopted on March 22, 2018 with a reserve of 41.4 million shares of our Class A common stock for future issuance. As of June 30, 2018, there were 35.2 million shares issued and outstanding and 55.4 million available for issuance under the 2008 Equity Incentive Plan, the 2017 Equity Incentive Plan, and the 2018 Plan ("the Plans").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option and restricted stock activity for the Plans was as follows for the six months ended June 30, 2018:</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Restricted stock</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6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8"/>
              </w:rPr>
              <w:t>Options outstanding</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outstanding</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340" w:type="dxa"/>
            <w:vAlign w:val="bottom"/>
          </w:tcPr>
          <w:p>
            <w:pPr>
              <w:spacing w:after="0"/>
              <w:rPr>
                <w:sz w:val="19"/>
                <w:szCs w:val="19"/>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Weighted-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shares</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Weighted-</w:t>
            </w: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average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available for</w:t>
            </w:r>
          </w:p>
        </w:tc>
        <w:tc>
          <w:tcPr>
            <w:tcW w:w="1220" w:type="dxa"/>
            <w:vAlign w:val="bottom"/>
          </w:tcPr>
          <w:p>
            <w:pPr>
              <w:jc w:val="center"/>
              <w:spacing w:after="0"/>
              <w:rPr>
                <w:sz w:val="20"/>
                <w:szCs w:val="20"/>
                <w:color w:val="auto"/>
              </w:rPr>
            </w:pPr>
            <w:r>
              <w:rPr>
                <w:rFonts w:ascii="Arial" w:cs="Arial" w:eastAsia="Arial" w:hAnsi="Arial"/>
                <w:sz w:val="18"/>
                <w:szCs w:val="18"/>
                <w:color w:val="auto"/>
                <w:w w:val="81"/>
              </w:rPr>
              <w:t>shares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8"/>
                <w:szCs w:val="18"/>
                <w:color w:val="auto"/>
                <w:w w:val="86"/>
              </w:rPr>
              <w:t>average</w:t>
            </w: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remaining</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issuance</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outstanding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center"/>
              <w:ind w:right="420"/>
              <w:spacing w:after="0"/>
              <w:rPr>
                <w:sz w:val="20"/>
                <w:szCs w:val="20"/>
                <w:color w:val="auto"/>
              </w:rPr>
            </w:pPr>
            <w:r>
              <w:rPr>
                <w:rFonts w:ascii="Arial" w:cs="Arial" w:eastAsia="Arial" w:hAnsi="Arial"/>
                <w:sz w:val="18"/>
                <w:szCs w:val="18"/>
                <w:color w:val="auto"/>
                <w:w w:val="86"/>
              </w:rPr>
              <w:t>exercise</w:t>
            </w: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contractual</w:t>
            </w:r>
          </w:p>
        </w:tc>
        <w:tc>
          <w:tcPr>
            <w:tcW w:w="1240" w:type="dxa"/>
            <w:vAlign w:val="bottom"/>
          </w:tcPr>
          <w:p>
            <w:pPr>
              <w:jc w:val="center"/>
              <w:spacing w:after="0"/>
              <w:rPr>
                <w:sz w:val="20"/>
                <w:szCs w:val="20"/>
                <w:color w:val="auto"/>
              </w:rPr>
            </w:pPr>
            <w:r>
              <w:rPr>
                <w:rFonts w:ascii="Arial" w:cs="Arial" w:eastAsia="Arial" w:hAnsi="Arial"/>
                <w:sz w:val="18"/>
                <w:szCs w:val="18"/>
                <w:color w:val="auto"/>
                <w:w w:val="85"/>
              </w:rPr>
              <w:t>shares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color w:val="auto"/>
                <w:w w:val="86"/>
              </w:rPr>
              <w:t>grant date</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under the</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under the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8"/>
                <w:szCs w:val="18"/>
                <w:color w:val="auto"/>
                <w:w w:val="92"/>
              </w:rPr>
              <w:t>price</w:t>
            </w: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term</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outstanding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color w:val="auto"/>
                <w:w w:val="95"/>
              </w:rPr>
              <w:t>fair value</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Plans</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Plans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jc w:val="center"/>
              <w:ind w:right="420"/>
              <w:spacing w:after="0"/>
              <w:rPr>
                <w:sz w:val="20"/>
                <w:szCs w:val="20"/>
                <w:color w:val="auto"/>
              </w:rPr>
            </w:pPr>
            <w:r>
              <w:rPr>
                <w:rFonts w:ascii="Arial" w:cs="Arial" w:eastAsia="Arial" w:hAnsi="Arial"/>
                <w:sz w:val="18"/>
                <w:szCs w:val="18"/>
                <w:color w:val="auto"/>
                <w:w w:val="86"/>
              </w:rPr>
              <w:t>per share</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(In years)</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under the Plans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color w:val="auto"/>
                <w:w w:val="86"/>
              </w:rPr>
              <w:t>per share</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w w:val="94"/>
              </w:rPr>
              <w:t>Reserved for issuance under the 2018 Plan</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shares authorized</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Options exercised and RSUs released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and RSUs canceled</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4"/>
              </w:rPr>
              <w:t>Shares repurchased for tax withholdings on</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release of restricted stock</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granted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at June 30, 2018</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55.4</w:t>
            </w:r>
          </w:p>
        </w:tc>
        <w:tc>
          <w:tcPr>
            <w:tcW w:w="12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60" w:type="dxa"/>
            <w:vAlign w:val="bottom"/>
            <w:tcBorders>
              <w:top w:val="single" w:sz="8" w:color="auto"/>
              <w:bottom w:val="single" w:sz="8" w:color="auto"/>
            </w:tcBorders>
          </w:tcPr>
          <w:p>
            <w:pPr>
              <w:spacing w:after="0"/>
              <w:rPr>
                <w:sz w:val="24"/>
                <w:szCs w:val="24"/>
                <w:color w:val="auto"/>
              </w:rPr>
            </w:pP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30.4</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51"/>
        </w:trPr>
        <w:tc>
          <w:tcPr>
            <w:tcW w:w="33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Vested at June 30, 2018</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40"/>
              <w:spacing w:after="0"/>
              <w:rPr>
                <w:sz w:val="20"/>
                <w:szCs w:val="20"/>
                <w:color w:val="auto"/>
              </w:rPr>
            </w:pPr>
            <w:r>
              <w:rPr>
                <w:rFonts w:ascii="Arial" w:cs="Arial" w:eastAsia="Arial" w:hAnsi="Arial"/>
                <w:sz w:val="18"/>
                <w:szCs w:val="18"/>
                <w:color w:val="auto"/>
              </w:rPr>
              <w:t>Unvested at June 30, 2018</w:t>
            </w: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340" w:type="dxa"/>
            <w:vAlign w:val="bottom"/>
            <w:vMerge w:val="continue"/>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30.4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following table summarizes information about the pre-tax intrinsic value of options exercised during the three and six months ended June 30, 2018 and 2017:</w:t>
      </w:r>
    </w:p>
    <w:p>
      <w:pPr>
        <w:sectPr>
          <w:pgSz w:w="11900" w:h="16838" w:orient="portrait"/>
          <w:cols w:equalWidth="0" w:num="1">
            <w:col w:w="11420"/>
          </w:cols>
          <w:pgMar w:left="240" w:top="121" w:right="239"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48895</wp:posOffset>
            </wp:positionV>
            <wp:extent cx="2109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80" w:lineRule="exact"/>
        <w:rPr>
          <w:sz w:val="20"/>
          <w:szCs w:val="20"/>
          <w:color w:val="auto"/>
        </w:rPr>
      </w:pPr>
    </w:p>
    <w:p>
      <w:pPr>
        <w:ind w:left="5320"/>
        <w:spacing w:after="0"/>
        <w:tabs>
          <w:tab w:leader="none" w:pos="702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56515</wp:posOffset>
            </wp:positionV>
            <wp:extent cx="20923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91" w:lineRule="exact"/>
        <w:rPr>
          <w:sz w:val="20"/>
          <w:szCs w:val="20"/>
          <w:color w:val="auto"/>
        </w:rPr>
      </w:pPr>
    </w:p>
    <w:p>
      <w:pPr>
        <w:spacing w:after="0"/>
        <w:tabs>
          <w:tab w:leader="none" w:pos="168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89" w:lineRule="exact"/>
        <w:rPr>
          <w:sz w:val="20"/>
          <w:szCs w:val="20"/>
          <w:color w:val="auto"/>
        </w:rPr>
      </w:pPr>
    </w:p>
    <w:p>
      <w:pPr>
        <w:sectPr>
          <w:pgSz w:w="11900" w:h="16838" w:orient="portrait"/>
          <w:cols w:equalWidth="0" w:num="2">
            <w:col w:w="8020" w:space="720"/>
            <w:col w:w="2680"/>
          </w:cols>
          <w:pgMar w:left="240" w:top="121" w:right="239" w:bottom="1440" w:gutter="0" w:footer="0" w:header="0"/>
          <w:type w:val="continuous"/>
        </w:sectPr>
      </w:pPr>
    </w:p>
    <w:p>
      <w:pPr>
        <w:ind w:left="40"/>
        <w:spacing w:after="0"/>
        <w:tabs>
          <w:tab w:leader="none" w:pos="4700" w:val="left"/>
          <w:tab w:leader="none" w:pos="5960" w:val="left"/>
          <w:tab w:leader="none" w:pos="6440" w:val="left"/>
          <w:tab w:leader="none" w:pos="7700" w:val="left"/>
          <w:tab w:leader="none" w:pos="8140" w:val="left"/>
          <w:tab w:leader="none" w:pos="9360" w:val="left"/>
          <w:tab w:leader="none" w:pos="9840" w:val="left"/>
          <w:tab w:leader="none" w:pos="11060" w:val="left"/>
        </w:tabs>
        <w:rPr>
          <w:sz w:val="20"/>
          <w:szCs w:val="20"/>
          <w:color w:val="auto"/>
        </w:rPr>
      </w:pPr>
      <w:r>
        <w:rPr>
          <w:rFonts w:ascii="Arial" w:cs="Arial" w:eastAsia="Arial" w:hAnsi="Arial"/>
          <w:sz w:val="18"/>
          <w:szCs w:val="18"/>
          <w:color w:val="auto"/>
        </w:rPr>
        <w:t>Intrinsic value of options exercised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0.3</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2.0</w:t>
        <w:tab/>
        <w:t>$</w:t>
      </w:r>
      <w:r>
        <w:rPr>
          <w:sz w:val="20"/>
          <w:szCs w:val="20"/>
          <w:color w:val="auto"/>
        </w:rPr>
        <w:tab/>
      </w:r>
      <w:r>
        <w:rPr>
          <w:rFonts w:ascii="Arial" w:cs="Arial" w:eastAsia="Arial" w:hAnsi="Arial"/>
          <w:sz w:val="17"/>
          <w:szCs w:val="17"/>
          <w:color w:val="auto"/>
        </w:rPr>
        <w:t>1.0</w:t>
      </w:r>
    </w:p>
    <w:p>
      <w:pPr>
        <w:spacing w:after="0" w:line="266"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As of June 30, 2018, unamortized stock-based compensation related to unvested stock options, restricted stock awards (excluding the Co-Founder Grants), and RSUs was $454.2 million. The weighted-average period over which such compensation expense will be recognized if the requisite service is provided is approximately 2.9 years as of June 30, 2018.</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Co-Founder Grants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In December 2017, the Board of Directors approved a grant to the Company’s co-founders of non-Plan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Director. These Co-Founder Grants have service-based, market-based, and performance-based vesting conditions. The Co-Founder Grants are excluded from Class A common stock issued and outstanding until the satisfaction of these vesting conditions. The Co-Founder Grants also provide the holders with certain stockholder rights, such as the right to vote the shares with the other holders of Class A common stock and a right to cumulative declared dividends. However, the Co-Founder Grants are not considered a participating security for purposes of calculating net loss per share attributable to common stockholders in Note 9 as the right to the cumulative declared dividends is forfeitable if the service condition is not met.</w:t>
      </w:r>
    </w:p>
    <w:p>
      <w:pPr>
        <w:spacing w:after="0" w:line="179"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The Co-Founder Grants are eligible to vest over the ten-year period following the date the Company’s shares of Class A common stock commenced trading on the Nasdaq Global Select Market in connection with the Company’s IPO. The Co-Founder Grants comprise nine tranches that are eligible to vest based on the achievement of stock price goals, or, each, a Stock Price Target, measured over a consecutive thirty-day trading period during the Performance Period. The Performance Period will begin on January 1, 2019.</w:t>
      </w:r>
    </w:p>
    <w:p>
      <w:pPr>
        <w:spacing w:after="0" w:line="18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During the first four years of the Performance Period, no more than 20% of the shares subject to each Co-Founder Grant would be eligible to vest in any calendar year. After the first four years, all shares are eligible to vest based on the achievement of the Stock Price Targets.</w:t>
      </w:r>
    </w:p>
    <w:p>
      <w:pPr>
        <w:spacing w:after="0" w:line="170" w:lineRule="exact"/>
        <w:rPr>
          <w:sz w:val="20"/>
          <w:szCs w:val="20"/>
          <w:color w:val="auto"/>
        </w:rPr>
      </w:pPr>
    </w:p>
    <w:p>
      <w:pPr>
        <w:ind w:right="140" w:firstLine="432"/>
        <w:spacing w:after="0" w:line="270" w:lineRule="auto"/>
        <w:rPr>
          <w:sz w:val="20"/>
          <w:szCs w:val="20"/>
          <w:color w:val="auto"/>
        </w:rPr>
      </w:pPr>
      <w:r>
        <w:rPr>
          <w:rFonts w:ascii="Arial" w:cs="Arial" w:eastAsia="Arial" w:hAnsi="Arial"/>
          <w:sz w:val="17"/>
          <w:szCs w:val="17"/>
          <w:color w:val="auto"/>
        </w:rPr>
        <w:t>The Company calculated the grant date fair value of the Co-Founder Grants based on multiple stock price paths developed through the use of a Monte Carlo simulation. A Monte Carlo simulation also calculates a derived service period for each of the nine vesting tranches, which is the measure of the expected time to achieve each Stock Price Target. A Monte Carlo simulation requires the use of various assumptions, including the underlying stock price, volatility, and the risk-free interest rate as of the valuation date, corresponding to the length of time remaining in the performance period, and expected dividend yield. The weighted-average grant date fair value of each Co-Founder Grant was estimated to be $10.60 per share. The weighted-average derived service period of each Co-Founder Grant was estimated to be 5.2 years, and ranged from 2.9 - 6.9 years. The Company will recognize aggregate stock-based compensation expense of $156.2 million over the derived service period of each tranche using the accelerated attribution method as long as the co-founders satisfy their service-based vesting conditions. If the Stock Price Targets are met sooner than the derived service period, the Company will adjust its stock-based compensation to reflect the cumulative expense associated with the vested awards. The Company will recognize expense if the requisite service is provided, regardless of whether the market conditions are achieved.</w:t>
      </w:r>
    </w:p>
    <w:p>
      <w:pPr>
        <w:spacing w:after="0" w:line="178"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The Performance Vesting Condition for the Co-Founder Grants was satisfied on the date the Company’s shares of Class A common stock commenced trading on the Nasdaq Global Select Market in connection with the Company’s IPO, which was March 23, 2018. The Company recognized $8.7 million and $19.3 million in stock-based compensation related to the Co-Founder Grants during the three and six months ended June 30, 2018, respectively. As of June 30, 2018, unamortized stock-based compensation expense related to the Co-Founder Grants was $136.9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10.Net Loss Per Share</w:t>
      </w:r>
    </w:p>
    <w:p>
      <w:pPr>
        <w:spacing w:after="0" w:line="229"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The Company computes net loss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losses. Before the IPO, the Company’s participating securities also included convertible preferred stock. The holders of convertible preferred stock did not have a contractual obligation to share in the Company’s losses, and as a result net losses were not allocated to these participating securities.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following table sets forth the calculation of basic and diluted net loss per share attributable to common stockholders during the periods presented. The shares issued in the IPO and the private placement and the shares of Class A and Class B common stock issued upon conversion of the outstanding shares of convertible preferred stock in the IPO are included in the table below weighted for the period outstanding in the three and six months ended June 30, 2018. Additionally, the voluntary conversions of Class B common stock into Class A common stock are included in the table below weighted for the period outstanding in the three months ended June 30, 2018:</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8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gridSpan w:val="2"/>
          </w:tcPr>
          <w:p>
            <w:pPr>
              <w:ind w:left="220"/>
              <w:spacing w:after="0"/>
              <w:rPr>
                <w:sz w:val="20"/>
                <w:szCs w:val="20"/>
                <w:color w:val="auto"/>
              </w:rPr>
            </w:pPr>
            <w:r>
              <w:rPr>
                <w:rFonts w:ascii="Arial" w:cs="Arial" w:eastAsia="Arial" w:hAnsi="Arial"/>
                <w:sz w:val="18"/>
                <w:szCs w:val="18"/>
                <w:color w:val="auto"/>
              </w:rPr>
              <w:t>Class A</w:t>
            </w:r>
          </w:p>
        </w:tc>
        <w:tc>
          <w:tcPr>
            <w:tcW w:w="340" w:type="dxa"/>
            <w:vAlign w:val="bottom"/>
          </w:tcPr>
          <w:p>
            <w:pPr>
              <w:spacing w:after="0"/>
              <w:rPr>
                <w:sz w:val="20"/>
                <w:szCs w:val="20"/>
                <w:color w:val="auto"/>
              </w:rPr>
            </w:pPr>
          </w:p>
        </w:tc>
        <w:tc>
          <w:tcPr>
            <w:tcW w:w="1460" w:type="dxa"/>
            <w:vAlign w:val="bottom"/>
            <w:gridSpan w:val="2"/>
          </w:tcPr>
          <w:p>
            <w:pPr>
              <w:ind w:left="240"/>
              <w:spacing w:after="0"/>
              <w:rPr>
                <w:sz w:val="20"/>
                <w:szCs w:val="20"/>
                <w:color w:val="auto"/>
              </w:rPr>
            </w:pPr>
            <w:r>
              <w:rPr>
                <w:rFonts w:ascii="Arial" w:cs="Arial" w:eastAsia="Arial" w:hAnsi="Arial"/>
                <w:sz w:val="18"/>
                <w:szCs w:val="18"/>
                <w:color w:val="auto"/>
              </w:rPr>
              <w:t>Class B</w:t>
            </w:r>
          </w:p>
        </w:tc>
        <w:tc>
          <w:tcPr>
            <w:tcW w:w="360" w:type="dxa"/>
            <w:vAlign w:val="bottom"/>
          </w:tcPr>
          <w:p>
            <w:pPr>
              <w:spacing w:after="0"/>
              <w:rPr>
                <w:sz w:val="20"/>
                <w:szCs w:val="20"/>
                <w:color w:val="auto"/>
              </w:rPr>
            </w:pPr>
          </w:p>
        </w:tc>
        <w:tc>
          <w:tcPr>
            <w:tcW w:w="1460" w:type="dxa"/>
            <w:vAlign w:val="bottom"/>
            <w:gridSpan w:val="2"/>
          </w:tcPr>
          <w:p>
            <w:pPr>
              <w:ind w:left="220"/>
              <w:spacing w:after="0"/>
              <w:rPr>
                <w:sz w:val="20"/>
                <w:szCs w:val="20"/>
                <w:color w:val="auto"/>
              </w:rPr>
            </w:pPr>
            <w:r>
              <w:rPr>
                <w:rFonts w:ascii="Arial" w:cs="Arial" w:eastAsia="Arial" w:hAnsi="Arial"/>
                <w:sz w:val="18"/>
                <w:szCs w:val="18"/>
                <w:color w:val="auto"/>
              </w:rPr>
              <w:t>Class A</w:t>
            </w:r>
          </w:p>
        </w:tc>
        <w:tc>
          <w:tcPr>
            <w:tcW w:w="3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Class B</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2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3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40"/>
              <w:spacing w:after="0"/>
              <w:rPr>
                <w:sz w:val="20"/>
                <w:szCs w:val="20"/>
                <w:color w:val="auto"/>
              </w:rPr>
            </w:pPr>
            <w:r>
              <w:rPr>
                <w:rFonts w:ascii="Arial" w:cs="Arial" w:eastAsia="Arial" w:hAnsi="Arial"/>
                <w:sz w:val="18"/>
                <w:szCs w:val="18"/>
                <w:color w:val="auto"/>
                <w:w w:val="90"/>
              </w:rPr>
              <w:t>Weighted-average number of common shares outstanding</w:t>
            </w: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40"/>
              <w:spacing w:after="0"/>
              <w:rPr>
                <w:sz w:val="20"/>
                <w:szCs w:val="20"/>
                <w:color w:val="auto"/>
              </w:rPr>
            </w:pPr>
            <w:r>
              <w:rPr>
                <w:rFonts w:ascii="Arial" w:cs="Arial" w:eastAsia="Arial" w:hAnsi="Arial"/>
                <w:sz w:val="18"/>
                <w:szCs w:val="18"/>
                <w:color w:val="auto"/>
                <w:w w:val="91"/>
              </w:rPr>
              <w:t>used in computing basic and diluted net loss per common</w:t>
            </w:r>
          </w:p>
        </w:tc>
        <w:tc>
          <w:tcPr>
            <w:tcW w:w="360" w:type="dxa"/>
            <w:vAlign w:val="bottom"/>
          </w:tcPr>
          <w:p>
            <w:pPr>
              <w:spacing w:after="0"/>
              <w:rPr>
                <w:sz w:val="18"/>
                <w:szCs w:val="18"/>
                <w:color w:val="auto"/>
              </w:rPr>
            </w:pPr>
          </w:p>
        </w:tc>
        <w:tc>
          <w:tcPr>
            <w:tcW w:w="1380" w:type="dxa"/>
            <w:vAlign w:val="bottom"/>
            <w:vMerge w:val="restart"/>
          </w:tcPr>
          <w:p>
            <w:pPr>
              <w:jc w:val="right"/>
              <w:ind w:right="30"/>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vMerge w:val="restart"/>
          </w:tcPr>
          <w:p>
            <w:pPr>
              <w:jc w:val="right"/>
              <w:ind w:right="10"/>
              <w:spacing w:after="0"/>
              <w:rPr>
                <w:sz w:val="20"/>
                <w:szCs w:val="20"/>
                <w:color w:val="auto"/>
              </w:rPr>
            </w:pPr>
            <w:r>
              <w:rPr>
                <w:rFonts w:ascii="Arial" w:cs="Arial" w:eastAsia="Arial" w:hAnsi="Arial"/>
                <w:sz w:val="18"/>
                <w:szCs w:val="18"/>
                <w:color w:val="auto"/>
              </w:rPr>
              <w:t>322.7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vMerge w:val="restart"/>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vMerge w:val="restart"/>
          </w:tcPr>
          <w:p>
            <w:pPr>
              <w:jc w:val="right"/>
              <w:ind w:right="1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7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w:t>
            </w:r>
          </w:p>
        </w:tc>
        <w:tc>
          <w:tcPr>
            <w:tcW w:w="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2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Net loss per common share, basic and 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80" w:type="dxa"/>
            <w:vAlign w:val="bottom"/>
            <w:gridSpan w:val="5"/>
          </w:tcPr>
          <w:p>
            <w:pPr>
              <w:ind w:left="300"/>
              <w:spacing w:after="0"/>
              <w:rPr>
                <w:sz w:val="20"/>
                <w:szCs w:val="20"/>
                <w:color w:val="auto"/>
              </w:rPr>
            </w:pPr>
            <w:r>
              <w:rPr>
                <w:rFonts w:ascii="Arial" w:cs="Arial" w:eastAsia="Arial" w:hAnsi="Arial"/>
                <w:sz w:val="18"/>
                <w:szCs w:val="18"/>
                <w:b w:val="1"/>
                <w:bCs w:val="1"/>
                <w:color w:val="auto"/>
              </w:rPr>
              <w:t>Six months ended June 30,</w:t>
            </w: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color w:val="auto"/>
              </w:rPr>
              <w:t>Class A</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Class B</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Class A</w:t>
            </w:r>
          </w:p>
        </w:tc>
        <w:tc>
          <w:tcPr>
            <w:tcW w:w="3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Class B</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(399.0)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1"/>
              </w:rPr>
              <w:t>Weighted-average number of common shares outstanding used</w:t>
            </w:r>
          </w:p>
        </w:tc>
        <w:tc>
          <w:tcPr>
            <w:tcW w:w="320" w:type="dxa"/>
            <w:vAlign w:val="bottom"/>
          </w:tcPr>
          <w:p>
            <w:pPr>
              <w:spacing w:after="0"/>
              <w:rPr>
                <w:sz w:val="19"/>
                <w:szCs w:val="19"/>
                <w:color w:val="auto"/>
              </w:rPr>
            </w:pPr>
          </w:p>
        </w:tc>
        <w:tc>
          <w:tcPr>
            <w:tcW w:w="1300" w:type="dxa"/>
            <w:vAlign w:val="bottom"/>
            <w:vMerge w:val="restart"/>
          </w:tcPr>
          <w:p>
            <w:pPr>
              <w:jc w:val="right"/>
              <w:ind w:right="3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vMerge w:val="restart"/>
          </w:tcPr>
          <w:p>
            <w:pPr>
              <w:jc w:val="right"/>
              <w:ind w:right="30"/>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vMerge w:val="restart"/>
          </w:tcPr>
          <w:p>
            <w:pPr>
              <w:jc w:val="right"/>
              <w:ind w:right="10"/>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9"/>
              </w:rPr>
              <w:t>in computing basic and diluted net loss per common share</w:t>
            </w: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7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Net loss per common share, basic and 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432"/>
        <w:spacing w:after="0" w:line="291" w:lineRule="auto"/>
        <w:rPr>
          <w:sz w:val="20"/>
          <w:szCs w:val="20"/>
          <w:color w:val="auto"/>
        </w:rPr>
      </w:pPr>
      <w:r>
        <w:rPr>
          <w:rFonts w:ascii="Arial" w:cs="Arial" w:eastAsia="Arial" w:hAnsi="Arial"/>
          <w:sz w:val="16"/>
          <w:szCs w:val="16"/>
          <w:color w:val="auto"/>
        </w:rPr>
        <w:t>Since the Company was in a loss position for all periods presented, basic net loss per share attributable to common stockholders is the same as diluted net loss per share for all periods as the inclusion of all potential common shares outstanding would have been anti-dilutive. The weighted-average impact of</w:t>
      </w:r>
    </w:p>
    <w:tbl>
      <w:tblPr>
        <w:tblLayout w:type="fixed"/>
        <w:tblInd w:w="0" w:type="dxa"/>
        <w:tblCellMar>
          <w:top w:w="0" w:type="dxa"/>
          <w:left w:w="0" w:type="dxa"/>
          <w:bottom w:w="0" w:type="dxa"/>
          <w:right w:w="0" w:type="dxa"/>
        </w:tblCellMar>
      </w:tblPr>
      <w:tr>
        <w:trPr>
          <w:trHeight w:val="230"/>
        </w:trPr>
        <w:tc>
          <w:tcPr>
            <w:tcW w:w="10280" w:type="dxa"/>
            <w:vAlign w:val="bottom"/>
            <w:gridSpan w:val="9"/>
          </w:tcPr>
          <w:p>
            <w:pPr>
              <w:spacing w:after="0"/>
              <w:rPr>
                <w:sz w:val="20"/>
                <w:szCs w:val="20"/>
                <w:color w:val="auto"/>
              </w:rPr>
            </w:pPr>
            <w:r>
              <w:rPr>
                <w:rFonts w:ascii="Arial" w:cs="Arial" w:eastAsia="Arial" w:hAnsi="Arial"/>
                <w:sz w:val="18"/>
                <w:szCs w:val="18"/>
                <w:color w:val="auto"/>
                <w:w w:val="93"/>
              </w:rPr>
              <w:t>potentially dilutive securities that were not included in the diluted per share calculations because they would be anti-dilutive was as follows:</w:t>
            </w:r>
          </w:p>
        </w:tc>
        <w:tc>
          <w:tcPr>
            <w:tcW w:w="1140" w:type="dxa"/>
            <w:vAlign w:val="bottom"/>
          </w:tcPr>
          <w:p>
            <w:pPr>
              <w:spacing w:after="0"/>
              <w:rPr>
                <w:sz w:val="20"/>
                <w:szCs w:val="20"/>
                <w:color w:val="auto"/>
              </w:rPr>
            </w:pPr>
          </w:p>
        </w:tc>
      </w:tr>
      <w:tr>
        <w:trPr>
          <w:trHeight w:val="364"/>
        </w:trPr>
        <w:tc>
          <w:tcPr>
            <w:tcW w:w="4700" w:type="dxa"/>
            <w:vAlign w:val="bottom"/>
          </w:tcPr>
          <w:p>
            <w:pPr>
              <w:spacing w:after="0"/>
              <w:rPr>
                <w:sz w:val="24"/>
                <w:szCs w:val="24"/>
                <w:color w:val="auto"/>
              </w:rPr>
            </w:pPr>
          </w:p>
        </w:tc>
        <w:tc>
          <w:tcPr>
            <w:tcW w:w="3460" w:type="dxa"/>
            <w:vAlign w:val="bottom"/>
            <w:gridSpan w:val="5"/>
          </w:tcPr>
          <w:p>
            <w:pPr>
              <w:ind w:left="540"/>
              <w:spacing w:after="0"/>
              <w:rPr>
                <w:sz w:val="20"/>
                <w:szCs w:val="20"/>
                <w:color w:val="auto"/>
              </w:rPr>
            </w:pPr>
            <w:r>
              <w:rPr>
                <w:rFonts w:ascii="Arial" w:cs="Arial" w:eastAsia="Arial" w:hAnsi="Arial"/>
                <w:sz w:val="18"/>
                <w:szCs w:val="18"/>
                <w:b w:val="1"/>
                <w:bCs w:val="1"/>
                <w:color w:val="auto"/>
              </w:rPr>
              <w:t>Three months ended June 30,</w:t>
            </w:r>
          </w:p>
        </w:tc>
        <w:tc>
          <w:tcPr>
            <w:tcW w:w="32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780" w:type="dxa"/>
            <w:vAlign w:val="bottom"/>
            <w:gridSpan w:val="2"/>
          </w:tcPr>
          <w:p>
            <w:pPr>
              <w:ind w:left="532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preferred stock</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147.6</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w:t>
            </w:r>
          </w:p>
        </w:tc>
      </w:tr>
      <w:tr>
        <w:trPr>
          <w:trHeight w:val="243"/>
        </w:trPr>
        <w:tc>
          <w:tcPr>
            <w:tcW w:w="5780" w:type="dxa"/>
            <w:vAlign w:val="bottom"/>
            <w:gridSpan w:val="2"/>
          </w:tcPr>
          <w:p>
            <w:pPr>
              <w:ind w:left="40"/>
              <w:spacing w:after="0"/>
              <w:rPr>
                <w:sz w:val="20"/>
                <w:szCs w:val="20"/>
                <w:color w:val="auto"/>
              </w:rPr>
            </w:pPr>
            <w:r>
              <w:rPr>
                <w:rFonts w:ascii="Arial" w:cs="Arial" w:eastAsia="Arial" w:hAnsi="Arial"/>
                <w:sz w:val="18"/>
                <w:szCs w:val="18"/>
                <w:color w:val="auto"/>
              </w:rPr>
              <w:t>Restricted stock units</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51.3</w:t>
            </w: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to purchase shares of common stock</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43"/>
        </w:trPr>
        <w:tc>
          <w:tcPr>
            <w:tcW w:w="5780" w:type="dxa"/>
            <w:vAlign w:val="bottom"/>
            <w:gridSpan w:val="2"/>
          </w:tcPr>
          <w:p>
            <w:pPr>
              <w:ind w:left="40"/>
              <w:spacing w:after="0"/>
              <w:rPr>
                <w:sz w:val="20"/>
                <w:szCs w:val="20"/>
                <w:color w:val="auto"/>
              </w:rPr>
            </w:pPr>
            <w:r>
              <w:rPr>
                <w:rFonts w:ascii="Arial" w:cs="Arial" w:eastAsia="Arial" w:hAnsi="Arial"/>
                <w:sz w:val="18"/>
                <w:szCs w:val="18"/>
                <w:color w:val="auto"/>
              </w:rPr>
              <w:t>Co-Founder Grants</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5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Shares subject to repurchase from early-exercised options and</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7"/>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unvested restricted stock</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0"/>
                <w:szCs w:val="20"/>
                <w:color w:val="auto"/>
              </w:rPr>
            </w:pPr>
          </w:p>
        </w:tc>
        <w:tc>
          <w:tcPr>
            <w:tcW w:w="16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206.4</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204.4</w:t>
            </w:r>
          </w:p>
        </w:tc>
      </w:tr>
      <w:tr>
        <w:trPr>
          <w:trHeight w:val="27"/>
        </w:trPr>
        <w:tc>
          <w:tcPr>
            <w:tcW w:w="4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Company computed the year-to-date income tax provision by applying the estimated annual effective tax rate to the year-to-date pre-tax loss and adjusted for discrete tax items in the period. The Company's income tax expense was $1.1 million</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and $2.9 million for the three and six months ended June 30, 2018, respectively and $0.4 million and $0.7 million for the three and six months ended June 30, 2017, respectively.</w:t>
      </w:r>
    </w:p>
    <w:p>
      <w:pPr>
        <w:spacing w:after="0" w:line="17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Income tax expense for the three and six months ended June 30, 2018, was primarily attributable to U.S. state income taxes, foreign taxes, and increases in uncertain tax positions.</w:t>
      </w:r>
    </w:p>
    <w:p>
      <w:pPr>
        <w:spacing w:after="0" w:line="170"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For the periods presented, the difference between the U.S. statutory rate and the Company's effective tax rate is primarily due to the full valuation allowance on its U.S. and Irish deferred tax assets. The effective tax rate is also impacted by earnings realized in foreign jurisdictions with statutory tax rates lower than the federal statutory tax rate.</w:t>
      </w:r>
    </w:p>
    <w:p>
      <w:pPr>
        <w:spacing w:after="0" w:line="181"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Company periodically evaluates the realizability of its net deferred tax assets based on all available evidence, both positive and negative. The realization of net deferred tax assets is dependent on the Company's ability to generate sufficient future taxable income during periods prior to the expiration of tax attributes to fully utilize these assets. As of June 30, 2018, the Company continues to maintain a full valuation allowance on its deferred tax assets in the U.S. and Ireland. However, the Company has partially benefited from its deferred tax assets due to the recognition of forecasted future income which is more likely than not to be earned in one of its foreign jurisdictions.</w:t>
      </w:r>
    </w:p>
    <w:p>
      <w:pPr>
        <w:spacing w:after="0" w:line="18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Company is subject to income tax audits in the U.S. and foreign jurisdictions. The Company records liabilities related to uncertain tax positions and believes that it has provided adequate reserves for income tax uncertainties in all open tax years. Unrecognized tax benefits increased by approximately $8.5 million and $16.2 million for the three and six months ended June 30, 2018, of which $0.6 million, if recognized, would affect the Company's effective tax rate.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Impact of the Tax Cuts and Jobs Act ("2017 Tax Reform Act")</w:t>
      </w:r>
    </w:p>
    <w:p>
      <w:pPr>
        <w:spacing w:after="0" w:line="22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2017 Tax Reform Act was enacted on December 22, 2017 and provides for significant changes to U.S. tax law. Among other provisions, the 2017 Tax Reform Act reduces the U.S. corporate income tax rate to 21% effective in 2018. The 2017 Tax Reform Act also contains a number of provisions that may impact the Company in future years.</w:t>
      </w:r>
    </w:p>
    <w:p>
      <w:pPr>
        <w:spacing w:after="0" w:line="181"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Since ongoing guidance and accounting interpretation is expected in the 12 months following enactment, the Company has made certain provisional accounting estimates, as permitted under Staff Accounting Bulletin No. 118, and continues to analyze its accounting policies in this area. The U.S. Treasury Department, the IRS, and other standard-setting bodies could interpret or issue guidance on how provisions of the 2017 Tax Reform Act will be applied or otherwise administered that is different from the Company’s interpretation. As the Company completes its analysis of the 2017 Tax Reform Act, collects and prepares necessary data, and interprets any additional guidance, the Company may make adjustments to provisional amounts that it has recorded that may materially impact the provision for income taxes in the period in which the adjustments are made. The final accounting analysis will occur no later than one year from the date the 2017 Tax Reform Act was enacted.</w:t>
      </w:r>
    </w:p>
    <w:p>
      <w:pPr>
        <w:spacing w:after="0" w:line="178"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As a result of the reduction in the corporate rate, the Company remeasured its U.S. deferred tax assets and liabilities as of December 31, 2017 to reflect the lower rate expected to apply when these temporary differences reverse. The Company provisionally estimated that the remeasurement resulted in a reduction in deferred tax assets of $63.1 million, which was fully offset by a corresponding change to the Company’s valuation allowance. Although the tax rate reduction was known, the Company had not collected the necessary data to complete its analysis of the effect of the 2017 Tax Reform Act on the underlying deferred taxes and as such, the amounts recorded as of December 31, 2017 were provisional. However, the Company anticipates that any adjustment to provisional amounts recorded would be fully offset by a corresponding change to the Company’s valuation allowance. The Company has not made any additional measurement-period adjustments related to these items during the quarter because the Company is continuing to gather additional information and expects to complete its accounting within the prescribed measurement period.</w:t>
      </w:r>
    </w:p>
    <w:p>
      <w:pPr>
        <w:spacing w:after="0" w:line="1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also considered and estimated a number of provisions of the 2017 Tax Reform Act effective January 1, 2018 as part of the estimated annual effective tax rate as of March 31, 2018. Due to forecasted tax losses and a full valuation allowance in the U.S., these provisions had no material impact to the income tax provision as of June 30, 2018.</w:t>
      </w:r>
    </w:p>
    <w:p>
      <w:pPr>
        <w:spacing w:after="0" w:line="18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2017 Tax Reform Act also repealed the corporate alternative minimum tax (“AMT”) effective beginning in 2018, and permits AMT credit carryforwards to be refunded to the extent unused through 2021. Since the Company does not anticipate the use of these credits to reduce future federal taxes, the Company was able to reasonably estimate the income tax benefit and income tax receivable of $1.4 million during the year ended December 31, 2017. The Company had not collected the necessary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data to complete its analysis of the classification of the AMT credit as a receivable and as such, the amounts recorded as an income tax receivable as of December 31, 2017 were provisional. There have not been material changes to the provisional amounts as of June 30, 2018.</w:t>
      </w:r>
    </w:p>
    <w:p>
      <w:pPr>
        <w:spacing w:after="0" w:line="14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2017 Tax Reform Act also provides for a transition to a new territorial system of taxation and generally requires companies to include certain untaxed foreign earnings of non-U.S. subsidiaries into taxable income in 2017 (“Transition Tax”). As a result of the cumulative deficits in the Company’s foreign subsidiaries, the Company estimated that it has no Transition Tax inclusion. As of June 30, 2018, the Company has made no changes to its estimated Transition Tax inclusion.</w:t>
      </w:r>
    </w:p>
    <w:p>
      <w:pPr>
        <w:spacing w:after="0" w:line="18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2017 Tax Reform Act subjects a US shareholder to tax on global intangible low-taxed income (“GILTI”) earned by certain foreign subsidiaries. The FASB Staff Q&amp;A, Topic 740, No. 5 Accounting for GILTI, states that an entity can make an accounting policy election to either recognize deferred taxes for temporary basis differences expected to reverse as GILTI in future years or provide for the tax expense related to GILTI in the year the tax is incurred as a period expense only. Given the complexity of this provision, the Company is still evaluating the effects of the provision on its condensed consolidated financial statements and has not yet determined its accounting policy as of June 30, 2018. The Company has, however, included the estimated impact related to current year operations only in its annual effective tax rate for 2018 and has not provided for additional impact on deferred items. The Company expects to complete its accounting within the prescribed measurement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12.Related Party Transactions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Dropbox Charitable Foundation</w:t>
      </w:r>
    </w:p>
    <w:p>
      <w:pPr>
        <w:spacing w:after="0" w:line="117"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During the year ended December 31, 2016, two of the Company’s controlling shareholders formed the Dropbox Charitable Foundation, a Delaware non-stock corporation (the “Foundation”). The primary purpose of the Foundation is to engage in charitable and educational activities within the meaning of Section 501(c)(3) of the Code. The Foundation is governed by a Board of Directors, a majority of which are independent. Both shareholders made contributions to the Foundation during the year ended December 31, 2016, comprised entirely of shares of Dropbox common stock. The Company has not consolidated the Foundation in the accompanying condensed consolidated financial statements, as the Company does not have control of the entity.</w:t>
      </w:r>
    </w:p>
    <w:p>
      <w:pPr>
        <w:spacing w:after="0" w:line="158"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During the three and six months ended June 30, 2018, the Company did not make cash contributions to the Foundation. During the three months ended June 30, 2017, the Company donated shares of Class B common stock to initially fund the Foundation and recorded $9.4 million of expense to general and administrative expenses based on the Company’s estimate of the then current fair value of the contributed shares. The Company made additional cash contributions to the Foundation of $0.2 million and $0.4 million during the three and six months ended June 30, 2017, respectively.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Hewlett Packard Enterprise</w:t>
      </w:r>
    </w:p>
    <w:p>
      <w:pPr>
        <w:spacing w:after="0" w:line="11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Company has engaged in various commercial relationships with Hewlett Packard Enterprise (“HPE”), whose chief executive officer was appointed to the Dropbox Board of Directors in September 2017. The chief executive officer of HPE resigned effective February 1, 2018. The Company's commercial relationships with HPE include infrastructure equipment under capital leases, the purchase of commercial products and other services, and a multi-year subscription agreement for access to the Dropbox platform. During the six months ended June 30, 2018 and through the date of the resignation of the former chief executive officer of HPE, the Company made payments of $5.5 million for infrastructure equipment under capital leases and for commercial products and services provided by HPE.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13.Geographic Areas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long-lived assets by geographic area:</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88"/>
              </w:rPr>
              <w:t>As of</w:t>
            </w:r>
          </w:p>
        </w:tc>
        <w:tc>
          <w:tcPr>
            <w:tcW w:w="180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 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b w:val="1"/>
                <w:bCs w:val="1"/>
                <w:color w:val="auto"/>
                <w:w w:val="91"/>
              </w:rPr>
              <w:t>December 31, 2017</w:t>
            </w: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323.7</w:t>
            </w:r>
          </w:p>
        </w:tc>
      </w:tr>
      <w:tr>
        <w:trPr>
          <w:trHeight w:val="270"/>
        </w:trPr>
        <w:tc>
          <w:tcPr>
            <w:tcW w:w="73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w:t>
            </w:r>
          </w:p>
        </w:tc>
      </w:tr>
      <w:tr>
        <w:trPr>
          <w:trHeight w:val="269"/>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and equipment,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341.9</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right="620" w:hanging="332"/>
        <w:spacing w:after="0" w:line="232" w:lineRule="auto"/>
        <w:tabs>
          <w:tab w:leader="none" w:pos="34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No single country other than the United States had a property and equipment balance greater than 10% of total property and equipment, net, as of June 30, 2018 and December 31, 2017.</w:t>
      </w:r>
    </w:p>
    <w:p>
      <w:pPr>
        <w:spacing w:after="0" w:line="31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Revenue by geography is generally based on the address of the customer as defined in the Company’s subscription agreement. The following table sets forth revenue by geographic area for the three and six months ended June 30, 2018 and 2017.</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172.4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141.8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271.7</w:t>
            </w: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(1)</w:t>
            </w:r>
          </w:p>
        </w:tc>
        <w:tc>
          <w:tcPr>
            <w:tcW w:w="10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166.8</w:t>
            </w:r>
          </w:p>
        </w:tc>
        <w:tc>
          <w:tcPr>
            <w:tcW w:w="10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4"/>
              </w:rPr>
              <w:t>124.9</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321.5</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242.9</w:t>
            </w: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339.2</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266.7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right="260" w:hanging="332"/>
        <w:spacing w:after="0" w:line="232" w:lineRule="auto"/>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No single country outside of the United States accounted for more than 10% of total revenue during the three and six months ended June 30, 2018 and 2017.</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final prospectus, dated March 22, 2018, and filed pursuant to Rule 424(b) under the Securities Act of 1933, as amended (the “Securities Act”). As discussed in the section titled “Note About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under Part II, Item 1A in this Quarterly Report on Form 10-Q and in our prospectus filed pursuant to Rule 424(b) under the Securities Act of 1933, as amended, on March 23, 2018, referred to as the Prospectus. Our fiscal year ends December 31.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color w:val="auto"/>
        </w:rPr>
        <w:t>Our modern economy runs on knowledge. Today, knowledge lives in the cloud as digital content, and Dropbox is a global collaboration platform where more and more of this content is created, accessed, and shared with the world. We serve more than 500 million registered users across 180 countries.</w:t>
      </w:r>
    </w:p>
    <w:p>
      <w:pPr>
        <w:spacing w:after="0" w:line="124"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Since our founding in 2007, our market opportunity has grown as we’ve expanded from keeping files in sync to keeping teams in sync. We believe the need for our platform will continue to grow as teams become more fluid and global, and content is increasingly fragmented across incompatible tools and devices. Dropbox breaks down silos by centralizing the flow of information between the products and services our users prefer, even if they’re not our own.</w:t>
      </w:r>
    </w:p>
    <w:p>
      <w:pPr>
        <w:spacing w:after="0" w:line="14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By solving these universal problems, we’ve become invaluable to our users. The popularity of our platform drives viral growth, which has allowed us to scale rapidly and efficiently. We’ve built a thriving global business with 11.9 million paying users.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Subscription Plans</w:t>
      </w:r>
    </w:p>
    <w:p>
      <w:pPr>
        <w:spacing w:after="0" w:line="12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generate revenue from individuals, teams, and organizations by selling subscriptions to our platform, which serve the varying needs of our diverse customer base. Subscribers can purchase individual licenses through our Plus and Professional plans, or purchase multiple licenses through a Standard, Advanced, or Enterprise team plan. Each team represents a separately billed deployment that is managed through a single administrative dashboard. Teams must have a minimum of three users, but can also have more than tens of thousands of users. Customers can choose between an annual or monthly plan, with a small number of large organizations on multi-year plans. A majority of our customers opt for our annual plans. We typically bill our customers at the beginning of their respective terms and recognize revenue ratably over the term of the subscription period. International customers can pay in U.S. dollars or a select number of foreign currencies.</w:t>
      </w:r>
    </w:p>
    <w:p>
      <w:pPr>
        <w:spacing w:after="0" w:line="189"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Our premium subscription plans, such as Professional and Advanced, provide more functionality than other subscription plans and have higher per user prices. Our Standard and Advanced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right="240" w:firstLine="432"/>
        <w:spacing w:after="0" w:line="302" w:lineRule="auto"/>
        <w:rPr>
          <w:sz w:val="20"/>
          <w:szCs w:val="20"/>
          <w:color w:val="auto"/>
        </w:rPr>
      </w:pPr>
      <w:r>
        <w:rPr>
          <w:rFonts w:ascii="Arial" w:cs="Arial" w:eastAsia="Arial" w:hAnsi="Arial"/>
          <w:sz w:val="16"/>
          <w:szCs w:val="16"/>
          <w:color w:val="auto"/>
        </w:rPr>
        <w:t>Our customer base is highly diversified, and in the period presented, no customer accounted for more than 1% of our revenue. Our customers include individuals,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Drive new signups</w:t>
      </w:r>
    </w:p>
    <w:p>
      <w:pPr>
        <w:spacing w:after="0" w:line="22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Increase conversion of registered users to our paid subscription plans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generate over 90% of our revenue from self-serve channels—users who purchase a subscription through our app or website. We actively encourage our registered users to become paying users through in-product prompts and notifications, time-limited free trials of paid subscription plans, email campaigns, and lifecycle marketing.</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Upgrade and expand existing customers</w:t>
      </w:r>
    </w:p>
    <w:p>
      <w:pPr>
        <w:spacing w:after="0" w:line="225"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We offer a range of paid subscription plans, from Plus and Professional for individuals to Standard, Advanced, and Enterprise for teams. We analyze usage patterns within our network and run hundreds of targeted marketing campaigns to encourage paying users to upgrade their plans. We prompt individual subscribers who collaborate with others on Dropbox to purchase our Standard or Advanced plans for a better team experience, and we also encourage existing Dropbox Business teams to purchase additional licenses or to upgrade to premium subscription plans.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Paying users</w:t>
      </w:r>
    </w:p>
    <w:p>
      <w:pPr>
        <w:spacing w:after="0" w:line="117"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Business team would count as 50 paying users, and an individual Dropbox Plus user would count as one paying user. If that individual Dropbox Plus user was also part of the 50-person Dropbox Business team, we would count the individual as two paying users.</w:t>
      </w:r>
    </w:p>
    <w:p>
      <w:pPr>
        <w:spacing w:after="0" w:line="18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We have experienced growth in the number of paying users across our products, with the vast majority of paying users for the periods presented coming from our self-serve channels.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below table sets forth the number of paying users as of June 30, 2018, December 31, 2017, and June 30, 2017.</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520" w:type="dxa"/>
            <w:vAlign w:val="bottom"/>
          </w:tcPr>
          <w:p>
            <w:pPr>
              <w:jc w:val="center"/>
              <w:ind w:left="350"/>
              <w:spacing w:after="0"/>
              <w:rPr>
                <w:sz w:val="20"/>
                <w:szCs w:val="20"/>
                <w:color w:val="auto"/>
              </w:rPr>
            </w:pPr>
            <w:r>
              <w:rPr>
                <w:rFonts w:ascii="Arial" w:cs="Arial" w:eastAsia="Arial" w:hAnsi="Arial"/>
                <w:sz w:val="18"/>
                <w:szCs w:val="18"/>
                <w:b w:val="1"/>
                <w:bCs w:val="1"/>
                <w:color w:val="auto"/>
                <w:w w:val="88"/>
              </w:rPr>
              <w:t>As of</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As of</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8"/>
              </w:rPr>
              <w:t>As of</w:t>
            </w:r>
          </w:p>
        </w:tc>
      </w:tr>
      <w:tr>
        <w:trPr>
          <w:trHeight w:val="27"/>
        </w:trPr>
        <w:tc>
          <w:tcPr>
            <w:tcW w:w="53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520" w:type="dxa"/>
            <w:vAlign w:val="bottom"/>
          </w:tcPr>
          <w:p>
            <w:pPr>
              <w:jc w:val="center"/>
              <w:ind w:left="350"/>
              <w:spacing w:after="0"/>
              <w:rPr>
                <w:sz w:val="20"/>
                <w:szCs w:val="20"/>
                <w:color w:val="auto"/>
              </w:rPr>
            </w:pPr>
            <w:r>
              <w:rPr>
                <w:rFonts w:ascii="Arial" w:cs="Arial" w:eastAsia="Arial" w:hAnsi="Arial"/>
                <w:sz w:val="18"/>
                <w:szCs w:val="18"/>
                <w:b w:val="1"/>
                <w:bCs w:val="1"/>
                <w:color w:val="auto"/>
                <w:w w:val="88"/>
              </w:rPr>
              <w:t>June 30, 2018</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 2017</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8"/>
              </w:rPr>
              <w:t>June 30, 2017</w:t>
            </w:r>
          </w:p>
        </w:tc>
      </w:tr>
      <w:tr>
        <w:trPr>
          <w:trHeight w:val="27"/>
        </w:trPr>
        <w:tc>
          <w:tcPr>
            <w:tcW w:w="53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7"/>
              </w:rPr>
              <w:t>(In millions)</w:t>
            </w:r>
          </w:p>
        </w:tc>
        <w:tc>
          <w:tcPr>
            <w:tcW w:w="194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3"/>
        </w:trPr>
        <w:tc>
          <w:tcPr>
            <w:tcW w:w="6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Paying users</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5"/>
              </w:rPr>
              <w:t>11.9</w:t>
            </w: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7"/>
        </w:trPr>
        <w:tc>
          <w:tcPr>
            <w:tcW w:w="53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Average revenue per paying user</w:t>
      </w:r>
    </w:p>
    <w:p>
      <w:pPr>
        <w:spacing w:after="0" w:line="117" w:lineRule="exact"/>
        <w:rPr>
          <w:sz w:val="20"/>
          <w:szCs w:val="20"/>
          <w:color w:val="auto"/>
        </w:rPr>
      </w:pPr>
    </w:p>
    <w:p>
      <w:pPr>
        <w:jc w:val="both"/>
        <w:ind w:right="320" w:firstLine="432"/>
        <w:spacing w:after="0" w:line="279" w:lineRule="auto"/>
        <w:rPr>
          <w:sz w:val="20"/>
          <w:szCs w:val="20"/>
          <w:color w:val="auto"/>
        </w:rPr>
      </w:pPr>
      <w:r>
        <w:rPr>
          <w:rFonts w:ascii="Arial" w:cs="Arial" w:eastAsia="Arial" w:hAnsi="Arial"/>
          <w:sz w:val="17"/>
          <w:szCs w:val="17"/>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171"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 2017, we launched our Dropbox Business Advanced plan. At the time of launch, we grandfathered existing Dropbox Business teams into the Dropbox Business Advanced plan at their legacy price. During the second quarter of 2018, a significant portion of those grandfathered teams renewed at a higher price. As a result of these renewals, and combined with an increased mix of sales towards our higher priced subscription plans, we experienced an increase in our average revenue per paying user for the three and six months ended June 30, 2018, compared to the three and six months ended June 30, 2017.</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below table sets forth our ARPU for the three and six months ended June 30, 2018 and 2017.</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Pr>
          <w:p>
            <w:pPr>
              <w:spacing w:after="0"/>
              <w:rPr>
                <w:sz w:val="20"/>
                <w:szCs w:val="20"/>
                <w:color w:val="auto"/>
              </w:rPr>
            </w:pPr>
          </w:p>
        </w:tc>
        <w:tc>
          <w:tcPr>
            <w:tcW w:w="29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ARPU</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110.98</w:t>
            </w:r>
          </w:p>
        </w:tc>
      </w:tr>
      <w:tr>
        <w:trPr>
          <w:trHeight w:val="459"/>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229"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In addition to our results determined in accordance with U.S. generally accepted accounting principles, or GAAP, we believe that free cash flow, or FCF, a non-GAAP financial measure, is useful in evaluating our liquidity.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capital leases, and may be calculated differently by other companies in our industry, limiting its usefulness as a comparative measure.</w:t>
      </w:r>
    </w:p>
    <w:p>
      <w:pPr>
        <w:spacing w:after="0" w:line="189"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Our FCF increased for the six months ended June 30, 2018, compared to the six months ended June 30, 2017, primarily due to higher cash provided by operating activities, which was driven by increased subscription sales, as a majority of our paying users are invoiced in advance. These cash inflows were partially offset by an increase in capital expenditures related to our office and datacenter build-outs.</w:t>
      </w:r>
    </w:p>
    <w:p>
      <w:pPr>
        <w:spacing w:after="0" w:line="18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expect our FCF to fluctuate in future periods as we purchase infrastructure equipment to support our user base and invest in our new and existing office spaces, including our new corporate headquarters, to support our plans for growth. These activities, along with certain increased operating expenses as described below, may result in a decrease in FCF as a percentage of revenue in future periods.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FCF to the most comparable GAAP measure, net cash provided by operating activities: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92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Six months ended June 30,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46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0" w:type="dxa"/>
            <w:vAlign w:val="bottom"/>
            <w:gridSpan w:val="3"/>
          </w:tcPr>
          <w:p>
            <w:pPr>
              <w:jc w:val="right"/>
              <w:ind w:right="610"/>
              <w:spacing w:after="0"/>
              <w:rPr>
                <w:sz w:val="20"/>
                <w:szCs w:val="20"/>
                <w:color w:val="auto"/>
              </w:rPr>
            </w:pPr>
            <w:r>
              <w:rPr>
                <w:rFonts w:ascii="Arial" w:cs="Arial" w:eastAsia="Arial" w:hAnsi="Arial"/>
                <w:sz w:val="18"/>
                <w:szCs w:val="18"/>
                <w:i w:val="1"/>
                <w:iCs w:val="1"/>
                <w:color w:val="auto"/>
              </w:rPr>
              <w:t>(In millions)</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640" w:type="dxa"/>
            <w:vAlign w:val="bottom"/>
            <w:tcBorders>
              <w:bottom w:val="single" w:sz="8" w:color="CCEEFF"/>
            </w:tcBorders>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4640" w:type="dxa"/>
            <w:vAlign w:val="bottom"/>
            <w:tcBorders>
              <w:bottom w:val="single" w:sz="8" w:color="CCEEFF"/>
            </w:tcBorders>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154.1</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bottom w:val="single" w:sz="8" w:color="CCEEFF"/>
            </w:tcBorders>
            <w:vMerge w:val="restart"/>
          </w:tcPr>
          <w:p>
            <w:pPr>
              <w:jc w:val="right"/>
              <w:ind w:right="1930"/>
              <w:spacing w:after="0"/>
              <w:rPr>
                <w:sz w:val="20"/>
                <w:szCs w:val="20"/>
                <w:color w:val="auto"/>
              </w:rPr>
            </w:pPr>
            <w:r>
              <w:rPr>
                <w:rFonts w:ascii="Arial" w:cs="Arial" w:eastAsia="Arial" w:hAnsi="Arial"/>
                <w:sz w:val="18"/>
                <w:szCs w:val="18"/>
                <w:color w:val="auto"/>
              </w:rPr>
              <w:t>32</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0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generate revenue from sales of subscriptions to our platform.</w:t>
      </w:r>
    </w:p>
    <w:p>
      <w:pPr>
        <w:spacing w:after="0" w:line="225" w:lineRule="exact"/>
        <w:rPr>
          <w:sz w:val="20"/>
          <w:szCs w:val="20"/>
          <w:color w:val="auto"/>
        </w:rPr>
      </w:pPr>
    </w:p>
    <w:p>
      <w:pPr>
        <w:jc w:val="both"/>
        <w:ind w:right="140" w:firstLine="432"/>
        <w:spacing w:after="0" w:line="279" w:lineRule="auto"/>
        <w:rPr>
          <w:sz w:val="20"/>
          <w:szCs w:val="20"/>
          <w:color w:val="auto"/>
        </w:rPr>
      </w:pPr>
      <w:r>
        <w:rPr>
          <w:rFonts w:ascii="Arial" w:cs="Arial" w:eastAsia="Arial" w:hAnsi="Arial"/>
          <w:sz w:val="17"/>
          <w:szCs w:val="17"/>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17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Our revenue is driven primarily by the number of paying users and the price we charge for access to our platform, which varies based on the type of plan to which a customer subscribes. We generate over 90% of our revenue from self-serve channels. No customer represented more than 1% of our revenue in the periods presented.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17" w:lineRule="exact"/>
        <w:rPr>
          <w:sz w:val="20"/>
          <w:szCs w:val="20"/>
          <w:color w:val="auto"/>
        </w:rPr>
      </w:pPr>
    </w:p>
    <w:p>
      <w:pPr>
        <w:ind w:right="100" w:firstLine="432"/>
        <w:spacing w:after="0" w:line="289"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Our cost of revenue consists primarily of expenses associated with the storage, delivery, and distribution of our platform for both</w:t>
      </w:r>
      <w:r>
        <w:rPr>
          <w:rFonts w:ascii="Arial" w:cs="Arial" w:eastAsia="Arial" w:hAnsi="Arial"/>
          <w:sz w:val="16"/>
          <w:szCs w:val="16"/>
          <w:i w:val="1"/>
          <w:iCs w:val="1"/>
          <w:color w:val="auto"/>
        </w:rPr>
        <w:t xml:space="preserve"> </w:t>
      </w:r>
      <w:r>
        <w:rPr>
          <w:rFonts w:ascii="Arial" w:cs="Arial" w:eastAsia="Arial" w:hAnsi="Arial"/>
          <w:sz w:val="16"/>
          <w:szCs w:val="16"/>
          <w:color w:val="auto"/>
        </w:rPr>
        <w:t>paying users and free users, also known as Basic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costs, such as salaries, bonuses, employer payroll taxes and benefits, travel-related expenses,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6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During the first quarter of 2018, based on considerations including our asset replacement cycle and our ongoing infrastructure optimization efforts, we revisited the useful life estimates of certain infrastructure equipment. These optimization efforts include software efficiencies that allow us to utilize certain infrastructure equipment for longer periods of time. As a result, we determined that the useful lives of the impacted infrastructure equipment, which are depreciated through cost of revenue, should be increased from three to four years. We accounted for this as a change in estimate that was applied prospectively, effective as of January 1, 2018. This change in useful life resulted in a reduction in depreciation expense within cost of revenue of $4.7 million and $10.8 million during the three and six months ended June 30, 2018, respectively.</w:t>
      </w:r>
    </w:p>
    <w:p>
      <w:pPr>
        <w:spacing w:after="0" w:line="17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plan to continue increasing the capacity and enhancing the capability and reliability of our infrastructure to support user growth and increased use of our platform. We expect that cost of revenue, excluding the impact of certain stock-based compensation charges described in “—Significant Impacts of Stock-Based Compensation”, will increase in absolute dollars in future periods. In addition, as a result of certain stock-based compensation charges described in “— Significant Impacts of Stock-Based Compensation”, our cost of revenue increased significantly in absolute dollars during the six months ended June 30, 2018 due to the completion of our initial public offering.</w:t>
      </w:r>
    </w:p>
    <w:p>
      <w:pPr>
        <w:spacing w:after="0" w:line="188"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is gross profit expressed as a percentage of revenue. Our gross margin may fluctuate from period to period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timing of additional capital expenditures and the related depreciation expense, or other increases in our infrastructure costs, as well as revenue fluctuations. As we continue to increase the utilization of our internal infrastructure, we generally expect our gross margin, excluding the impact of certain stock-based compensation charges described in “—Significant Impacts of Stock-Based Compensation”, to remain relatively constant in the near term and to increase modestly in the long term.</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Our research and development expenses consist primarily of employee-related costs for our engineering, product, and</w:t>
      </w:r>
      <w:r>
        <w:rPr>
          <w:rFonts w:ascii="Arial" w:cs="Arial" w:eastAsia="Arial" w:hAnsi="Arial"/>
          <w:sz w:val="18"/>
          <w:szCs w:val="18"/>
          <w:i w:val="1"/>
          <w:iCs w:val="1"/>
          <w:color w:val="auto"/>
        </w:rPr>
        <w:t xml:space="preserve"> </w:t>
      </w:r>
      <w:r>
        <w:rPr>
          <w:rFonts w:ascii="Arial" w:cs="Arial" w:eastAsia="Arial" w:hAnsi="Arial"/>
          <w:sz w:val="18"/>
          <w:szCs w:val="18"/>
          <w:color w:val="auto"/>
        </w:rPr>
        <w:t>design teams, and allocated overhead. Additionally, research and development expenses include internal development-related third-party hosting fees. We have expensed almost all of our research and development costs as they were incurred.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We plan to continue to hire employees for our engineering, product, and design teams to support our research and development efforts. We expect that research and development costs will increase in absolute dollars in future periods and, excluding the impact of certain stock-based compensation charges described in “—Significant Impacts of Stock-Based Compensation”, vary from period to period as a percentage of revenue.</w:t>
      </w:r>
    </w:p>
    <w:p>
      <w:pPr>
        <w:spacing w:after="0" w:line="16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Our sales and marketing expenses relate to both self-serve and outbound sales activities, and consist primarily of employee-related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brand marketing costs, lead generation costs, and allocated overhead. Sales commissions earned by our outbound sales team and the related payroll taxes, as well as commissions earned by third-party resellers that we consider to be incremental and recoverable costs of obtaining a contract with a user, are deferred and amortized over an estimated period of benefit of five years. Additionally, sales and marketing expenses include non-employee costs related to app store fees and fees payable to third-party sales representatives.</w:t>
      </w:r>
    </w:p>
    <w:p>
      <w:pPr>
        <w:spacing w:after="0" w:line="188" w:lineRule="exact"/>
        <w:rPr>
          <w:sz w:val="20"/>
          <w:szCs w:val="20"/>
          <w:color w:val="auto"/>
        </w:rPr>
      </w:pPr>
    </w:p>
    <w:p>
      <w:pPr>
        <w:jc w:val="both"/>
        <w:ind w:right="60" w:firstLine="432"/>
        <w:spacing w:after="0" w:line="302" w:lineRule="auto"/>
        <w:rPr>
          <w:sz w:val="20"/>
          <w:szCs w:val="20"/>
          <w:color w:val="auto"/>
        </w:rPr>
      </w:pPr>
      <w:r>
        <w:rPr>
          <w:rFonts w:ascii="Arial" w:cs="Arial" w:eastAsia="Arial" w:hAnsi="Arial"/>
          <w:sz w:val="16"/>
          <w:szCs w:val="16"/>
          <w:color w:val="auto"/>
        </w:rPr>
        <w:t>We plan to continue to invest in sales and marketing to grow our user base and increase our brand awareness, including marketing efforts to continue to drive our self-serve business model. We expect that sales and marketing expenses will increase in absolute dollars in future periods and, excluding the impact of certain stock-based compensation charges described in “—Significant Impacts of Stock-Based Compensation”, vary from period to period as a percentage of revenue. The trend and timing of sales and marketing expenses will depend in part on the timing of marketing campaigns.</w:t>
      </w:r>
    </w:p>
    <w:p>
      <w:pPr>
        <w:spacing w:after="0" w:line="154"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consist primarily of employee-related costs for our legal, finance, human</w:t>
      </w:r>
      <w:r>
        <w:rPr>
          <w:rFonts w:ascii="Arial" w:cs="Arial" w:eastAsia="Arial" w:hAnsi="Arial"/>
          <w:sz w:val="17"/>
          <w:szCs w:val="17"/>
          <w:i w:val="1"/>
          <w:iCs w:val="1"/>
          <w:color w:val="auto"/>
        </w:rPr>
        <w:t xml:space="preserve"> </w:t>
      </w:r>
      <w:r>
        <w:rPr>
          <w:rFonts w:ascii="Arial" w:cs="Arial" w:eastAsia="Arial" w:hAnsi="Arial"/>
          <w:sz w:val="17"/>
          <w:szCs w:val="17"/>
          <w:color w:val="auto"/>
        </w:rPr>
        <w:t>resources, and other administrative teams, as well as certain executives. In addition, general and administrative expenses include allocated overhead, outside legal, accounting and other professional fees, non-income based taxes, and contributions to the Dropbox Charitable Foundation.</w:t>
      </w:r>
    </w:p>
    <w:p>
      <w:pPr>
        <w:spacing w:after="0" w:line="166"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We expect to incur additional general and administrative expenses to support the growth of the Company as well as our transition to being a publicly traded company, which includes the recognition of stock-based compensation expense related to grants of restricted stock made to our co-founders. We expect that general and administrative expenses will increase in absolute dollars in future periods and, excluding the impact of certain stock-based compensation charges described in “—Significant Impacts of Stock-Based Compensation”, vary from period to period as a percentage of revenue.</w:t>
      </w:r>
    </w:p>
    <w:p>
      <w:pPr>
        <w:spacing w:after="0" w:line="15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As a result of certain stock-based compensation charges described in “—Significant Impacts of Stock-Based Compensation”, our research and development, sales and marketing, and general and administrative expenses increased significantly in absolute dollars and as a percentage of revenue during the six months ended June 30, 2018 due to the completion of our initial public offering.</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Interest income (expense), net consists primarily of interest income earned on our money market funds classified as cash and cash equivalents and short-term investments, partially offset by interest expense related to our capital lease obligations for infrastructure and our imputed financing obligation for our obligation to the legal owner of our previous corporate headquarters.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Other income (expense), net consists of other non-operating gains or losses, including those related to ongoing subleases, foreign currency transaction gains and losses, and realized gains and losses related to our short-term investments.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Provision for income taxes consists primarily of U.S. federal and state income taxes and income taxes in certain foreign jurisdictions in which we conduct business. For the periods presented, the difference between the U.S. statutory rate and our effective tax rate is primarily due to the valuation allowance on deferred tax assets. Our effective tax rate is also impacted by earnings realized in foreign jurisdictions with statutory tax rates lower than the federal statutory tax rate. We maintain a full valuation allowance on our net deferred tax assets for federal, state, and certain foreign jurisdictions as we have concluded that it is not more likely than not that the deferred assets will be realized.</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Impact of the Tax Cuts and Jobs Act ("2017 Tax Reform Act")</w:t>
      </w:r>
    </w:p>
    <w:p>
      <w:pPr>
        <w:spacing w:after="0" w:line="144"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2017 Tax Reform Act was enacted on December 22, 2017 and provides for significant changes to U.S. tax law. Among other provisions, the 2017 Tax Reform Act reduces the U.S. corporate income tax rate to 21% effective in 2018. The 2017 Tax Reform Act also contains a number of provisions that may impact us in future years.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Since ongoing guidance and accounting interpretation is expected in the 12 months following enactment, we have made certain provisional accounting estimates, as permitted under Staff Accounting Bulletin No. 118, and continue to analyze our accounting policies in this area. The U.S. Treasury Department, the IRS, and other standard-setting bodies could interpret or issue guidance on how provisions of the 2017 Tax Reform Act will be applied or otherwise administered that is different from our interpretation. As we complete our analysis of the 2017 Tax Reform Act, collect and prepare necessary data, and interpret any additional guidance, we may make adjustments to provisional amounts that we have recorded that may materially impact the provision for income taxes in the period in which the adjustments are made. The final accounting analysis will occur no later than one year from the date the 2017 Tax Reform Act was enacted. Adjustments made for the three and six months ended June 30, 2018, were not material.</w:t>
      </w: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121" w:right="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set forth our results of operations for the periods presented: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20" w:type="dxa"/>
            <w:vAlign w:val="bottom"/>
            <w:gridSpan w:val="3"/>
          </w:tcPr>
          <w:p>
            <w:pPr>
              <w:jc w:val="right"/>
              <w:ind w:right="10"/>
              <w:spacing w:after="0"/>
              <w:rPr>
                <w:sz w:val="20"/>
                <w:szCs w:val="20"/>
                <w:color w:val="auto"/>
              </w:rPr>
            </w:pPr>
            <w:r>
              <w:rPr>
                <w:rFonts w:ascii="Arial" w:cs="Arial" w:eastAsia="Arial" w:hAnsi="Arial"/>
                <w:sz w:val="18"/>
                <w:szCs w:val="18"/>
                <w:i w:val="1"/>
                <w:iCs w:val="1"/>
                <w:color w:val="auto"/>
              </w:rPr>
              <w:t>(In millions)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339.2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266.7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514.6</w:t>
            </w:r>
          </w:p>
        </w:tc>
      </w:tr>
      <w:tr>
        <w:trPr>
          <w:trHeight w:val="270"/>
        </w:trPr>
        <w:tc>
          <w:tcPr>
            <w:tcW w:w="470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Cost of revenue</w:t>
            </w:r>
            <w:r>
              <w:rPr>
                <w:rFonts w:ascii="Arial" w:cs="Arial" w:eastAsia="Arial" w:hAnsi="Arial"/>
                <w:sz w:val="25"/>
                <w:szCs w:val="25"/>
                <w:color w:val="auto"/>
                <w:vertAlign w:val="superscript"/>
              </w:rPr>
              <w:t>(1)</w:t>
            </w:r>
          </w:p>
        </w:tc>
        <w:tc>
          <w:tcPr>
            <w:tcW w:w="10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210.1</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185.7</w:t>
            </w: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249.7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174.5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328.9</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5"/>
                <w:szCs w:val="25"/>
                <w:color w:val="auto"/>
                <w:vertAlign w:val="superscript"/>
              </w:rPr>
              <w:t>(1)</w:t>
            </w: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119.7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179.1</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136.4</w:t>
            </w: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5"/>
                <w:szCs w:val="25"/>
                <w:color w:val="auto"/>
                <w:vertAlign w:val="superscript"/>
              </w:rPr>
              <w:t>(2)</w:t>
            </w:r>
          </w:p>
        </w:tc>
        <w:tc>
          <w:tcPr>
            <w:tcW w:w="10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73.5</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04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256.9</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201.2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918.5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389.0</w:t>
            </w: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(26.4)</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w:t>
            </w: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(26.8)</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w:t>
            </w: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Includes stock-based compensation as follows:</w:t>
      </w:r>
    </w:p>
    <w:p>
      <w:pPr>
        <w:spacing w:after="0" w:line="32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8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7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7"/>
        </w:trPr>
        <w:tc>
          <w:tcPr>
            <w:tcW w:w="46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7"/>
        </w:trPr>
        <w:tc>
          <w:tcPr>
            <w:tcW w:w="46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gridSpan w:val="3"/>
          </w:tcPr>
          <w:p>
            <w:pPr>
              <w:jc w:val="right"/>
              <w:ind w:right="10"/>
              <w:spacing w:after="0"/>
              <w:rPr>
                <w:sz w:val="20"/>
                <w:szCs w:val="20"/>
                <w:color w:val="auto"/>
              </w:rPr>
            </w:pPr>
            <w:r>
              <w:rPr>
                <w:rFonts w:ascii="Arial" w:cs="Arial" w:eastAsia="Arial" w:hAnsi="Arial"/>
                <w:sz w:val="18"/>
                <w:szCs w:val="18"/>
                <w:i w:val="1"/>
                <w:iCs w:val="1"/>
                <w:color w:val="auto"/>
              </w:rPr>
              <w:t>(In millions)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10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21.7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310.8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43.5</w:t>
            </w: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0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7"/>
        </w:trPr>
        <w:tc>
          <w:tcPr>
            <w:tcW w:w="46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38.7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left="340" w:right="40" w:hanging="332"/>
        <w:spacing w:after="0" w:line="230" w:lineRule="auto"/>
        <w:tabs>
          <w:tab w:leader="none" w:pos="34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General and administrative expense for the three and six months ended June 30, 2017 includes $9.4 million related to a non-cash charitable contribution of common stock to the Dropbox Charitable Foundation, which is a related party of the Company. We made additional cash contributions to the Foundation of $0.2 million and $0.4 million during the three and six months ended June 30, 2017, respectively. See Note 12, "Related Party Transactions" to our condensed consolidated financial statements included elsewhere in this Quarterly Report on Form 10-Q for further information.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results of operations for each of the periods presented as a percentage of revenue: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28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5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5560" w:type="dxa"/>
            <w:vAlign w:val="bottom"/>
            <w:gridSpan w:val="2"/>
          </w:tcPr>
          <w:p>
            <w:pPr>
              <w:ind w:left="5140"/>
              <w:spacing w:after="0"/>
              <w:rPr>
                <w:sz w:val="20"/>
                <w:szCs w:val="20"/>
                <w:color w:val="auto"/>
              </w:rPr>
            </w:pPr>
            <w:r>
              <w:rPr>
                <w:rFonts w:ascii="Arial" w:cs="Arial" w:eastAsia="Arial" w:hAnsi="Arial"/>
                <w:sz w:val="18"/>
                <w:szCs w:val="18"/>
                <w:b w:val="1"/>
                <w:bCs w:val="1"/>
                <w:color w:val="auto"/>
                <w:w w:val="99"/>
              </w:rPr>
              <w:t>2018</w:t>
            </w:r>
          </w:p>
        </w:tc>
        <w:tc>
          <w:tcPr>
            <w:tcW w:w="18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7"/>
        </w:trPr>
        <w:tc>
          <w:tcPr>
            <w:tcW w:w="45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5"/>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gridSpan w:val="5"/>
          </w:tcPr>
          <w:p>
            <w:pPr>
              <w:ind w:left="1020"/>
              <w:spacing w:after="0"/>
              <w:rPr>
                <w:sz w:val="20"/>
                <w:szCs w:val="20"/>
                <w:color w:val="auto"/>
              </w:rPr>
            </w:pPr>
            <w:r>
              <w:rPr>
                <w:rFonts w:ascii="Arial" w:cs="Arial" w:eastAsia="Arial" w:hAnsi="Arial"/>
                <w:sz w:val="18"/>
                <w:szCs w:val="18"/>
                <w:i w:val="1"/>
                <w:iCs w:val="1"/>
                <w:color w:val="auto"/>
              </w:rPr>
              <w:t>(As a % of revenue)</w:t>
            </w:r>
          </w:p>
        </w:tc>
        <w:tc>
          <w:tcPr>
            <w:tcW w:w="166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70"/>
        </w:trPr>
        <w:tc>
          <w:tcPr>
            <w:tcW w:w="5560" w:type="dxa"/>
            <w:vAlign w:val="bottom"/>
            <w:gridSpan w:val="2"/>
          </w:tcPr>
          <w:p>
            <w:pPr>
              <w:ind w:left="380"/>
              <w:spacing w:after="0" w:line="270" w:lineRule="exact"/>
              <w:rPr>
                <w:sz w:val="20"/>
                <w:szCs w:val="20"/>
                <w:color w:val="auto"/>
              </w:rPr>
            </w:pPr>
            <w:r>
              <w:rPr>
                <w:rFonts w:ascii="Arial" w:cs="Arial" w:eastAsia="Arial" w:hAnsi="Arial"/>
                <w:sz w:val="18"/>
                <w:szCs w:val="18"/>
                <w:color w:val="auto"/>
              </w:rPr>
              <w:t>Cost of revenue</w:t>
            </w:r>
            <w:r>
              <w:rPr>
                <w:rFonts w:ascii="Arial" w:cs="Arial" w:eastAsia="Arial" w:hAnsi="Arial"/>
                <w:sz w:val="25"/>
                <w:szCs w:val="25"/>
                <w:color w:val="auto"/>
                <w:vertAlign w:val="superscript"/>
              </w:rPr>
              <w:t>(1)</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1660" w:type="dxa"/>
            <w:vAlign w:val="bottom"/>
          </w:tcPr>
          <w:p>
            <w:pPr>
              <w:jc w:val="right"/>
              <w:ind w:right="17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36</w:t>
            </w:r>
          </w:p>
        </w:tc>
      </w:tr>
      <w:tr>
        <w:trPr>
          <w:trHeight w:val="244"/>
        </w:trPr>
        <w:tc>
          <w:tcPr>
            <w:tcW w:w="4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64</w:t>
            </w:r>
          </w:p>
        </w:tc>
      </w:tr>
      <w:tr>
        <w:trPr>
          <w:trHeight w:val="270"/>
        </w:trPr>
        <w:tc>
          <w:tcPr>
            <w:tcW w:w="55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50"/>
        </w:trPr>
        <w:tc>
          <w:tcPr>
            <w:tcW w:w="5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w:t>
            </w:r>
          </w:p>
        </w:tc>
      </w:tr>
      <w:tr>
        <w:trPr>
          <w:trHeight w:val="243"/>
        </w:trPr>
        <w:tc>
          <w:tcPr>
            <w:tcW w:w="5560" w:type="dxa"/>
            <w:vAlign w:val="bottom"/>
            <w:gridSpan w:val="2"/>
          </w:tcPr>
          <w:p>
            <w:pPr>
              <w:ind w:left="380"/>
              <w:spacing w:after="0"/>
              <w:rPr>
                <w:sz w:val="20"/>
                <w:szCs w:val="20"/>
                <w:color w:val="auto"/>
              </w:rPr>
            </w:pPr>
            <w:r>
              <w:rPr>
                <w:rFonts w:ascii="Arial" w:cs="Arial" w:eastAsia="Arial" w:hAnsi="Arial"/>
                <w:sz w:val="18"/>
                <w:szCs w:val="18"/>
                <w:color w:val="auto"/>
              </w:rPr>
              <w:t>Sales and marketing</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660" w:type="dxa"/>
            <w:vAlign w:val="bottom"/>
          </w:tcPr>
          <w:p>
            <w:pPr>
              <w:jc w:val="right"/>
              <w:ind w:right="17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27</w:t>
            </w:r>
          </w:p>
        </w:tc>
      </w:tr>
      <w:tr>
        <w:trPr>
          <w:trHeight w:val="27"/>
        </w:trPr>
        <w:tc>
          <w:tcPr>
            <w:tcW w:w="4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5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0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76</w:t>
            </w:r>
          </w:p>
        </w:tc>
      </w:tr>
      <w:tr>
        <w:trPr>
          <w:trHeight w:val="27"/>
        </w:trPr>
        <w:tc>
          <w:tcPr>
            <w:tcW w:w="45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r>
      <w:tr>
        <w:trPr>
          <w:trHeight w:val="243"/>
        </w:trPr>
        <w:tc>
          <w:tcPr>
            <w:tcW w:w="5560" w:type="dxa"/>
            <w:vAlign w:val="bottom"/>
            <w:gridSpan w:val="2"/>
          </w:tcPr>
          <w:p>
            <w:pPr>
              <w:ind w:left="40"/>
              <w:spacing w:after="0"/>
              <w:rPr>
                <w:sz w:val="20"/>
                <w:szCs w:val="20"/>
                <w:color w:val="auto"/>
              </w:rPr>
            </w:pPr>
            <w:r>
              <w:rPr>
                <w:rFonts w:ascii="Arial" w:cs="Arial" w:eastAsia="Arial" w:hAnsi="Arial"/>
                <w:sz w:val="18"/>
                <w:szCs w:val="18"/>
                <w:color w:val="auto"/>
              </w:rPr>
              <w:t>Interest income (expense), net</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(1)</w:t>
            </w:r>
          </w:p>
        </w:tc>
      </w:tr>
      <w:tr>
        <w:trPr>
          <w:trHeight w:val="27"/>
        </w:trPr>
        <w:tc>
          <w:tcPr>
            <w:tcW w:w="4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0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(12)</w:t>
            </w:r>
          </w:p>
        </w:tc>
      </w:tr>
      <w:tr>
        <w:trPr>
          <w:trHeight w:val="27"/>
        </w:trPr>
        <w:tc>
          <w:tcPr>
            <w:tcW w:w="4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800" w:type="dxa"/>
            <w:vAlign w:val="bottom"/>
            <w:tcBorders>
              <w:bottom w:val="single" w:sz="8" w:color="CCEEFF"/>
            </w:tcBorders>
            <w:gridSpan w:val="3"/>
            <w:shd w:val="clear" w:color="auto" w:fill="CCEEFF"/>
          </w:tcPr>
          <w:p>
            <w:pPr>
              <w:jc w:val="right"/>
              <w:ind w:right="13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5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45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Includes stock-based compensation as a percentage of revenue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3480" w:type="dxa"/>
            <w:vAlign w:val="bottom"/>
            <w:gridSpan w:val="5"/>
          </w:tcPr>
          <w:p>
            <w:pPr>
              <w:ind w:left="560"/>
              <w:spacing w:after="0"/>
              <w:rPr>
                <w:sz w:val="20"/>
                <w:szCs w:val="20"/>
                <w:color w:val="auto"/>
              </w:rPr>
            </w:pPr>
            <w:r>
              <w:rPr>
                <w:rFonts w:ascii="Arial" w:cs="Arial" w:eastAsia="Arial" w:hAnsi="Arial"/>
                <w:sz w:val="18"/>
                <w:szCs w:val="18"/>
                <w:b w:val="1"/>
                <w:bCs w:val="1"/>
                <w:color w:val="auto"/>
              </w:rPr>
              <w:t>Three months ended June 30,</w:t>
            </w:r>
          </w:p>
        </w:tc>
        <w:tc>
          <w:tcPr>
            <w:tcW w:w="338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5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600" w:type="dxa"/>
            <w:vAlign w:val="bottom"/>
            <w:gridSpan w:val="2"/>
          </w:tcPr>
          <w:p>
            <w:pPr>
              <w:ind w:left="5200"/>
              <w:spacing w:after="0"/>
              <w:rPr>
                <w:sz w:val="20"/>
                <w:szCs w:val="20"/>
                <w:color w:val="auto"/>
              </w:rPr>
            </w:pPr>
            <w:r>
              <w:rPr>
                <w:rFonts w:ascii="Arial" w:cs="Arial" w:eastAsia="Arial" w:hAnsi="Arial"/>
                <w:sz w:val="18"/>
                <w:szCs w:val="18"/>
                <w:b w:val="1"/>
                <w:bCs w:val="1"/>
                <w:color w:val="auto"/>
                <w:w w:val="94"/>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r>
      <w:tr>
        <w:trPr>
          <w:trHeight w:val="27"/>
        </w:trPr>
        <w:tc>
          <w:tcPr>
            <w:tcW w:w="45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4"/>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gridSpan w:val="4"/>
          </w:tcPr>
          <w:p>
            <w:pPr>
              <w:ind w:left="1000"/>
              <w:spacing w:after="0"/>
              <w:rPr>
                <w:sz w:val="20"/>
                <w:szCs w:val="20"/>
                <w:color w:val="auto"/>
              </w:rPr>
            </w:pPr>
            <w:r>
              <w:rPr>
                <w:rFonts w:ascii="Arial" w:cs="Arial" w:eastAsia="Arial" w:hAnsi="Arial"/>
                <w:sz w:val="18"/>
                <w:szCs w:val="18"/>
                <w:i w:val="1"/>
                <w:iCs w:val="1"/>
                <w:color w:val="auto"/>
              </w:rPr>
              <w:t>(As a % of revenue)</w:t>
            </w:r>
          </w:p>
        </w:tc>
        <w:tc>
          <w:tcPr>
            <w:tcW w:w="1640" w:type="dxa"/>
            <w:vAlign w:val="bottom"/>
          </w:tcPr>
          <w:p>
            <w:pPr>
              <w:spacing w:after="0"/>
              <w:rPr>
                <w:sz w:val="20"/>
                <w:szCs w:val="20"/>
                <w:color w:val="auto"/>
              </w:rPr>
            </w:pPr>
          </w:p>
        </w:tc>
      </w:tr>
      <w:tr>
        <w:trPr>
          <w:trHeight w:val="27"/>
        </w:trPr>
        <w:tc>
          <w:tcPr>
            <w:tcW w:w="4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6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600" w:type="dxa"/>
            <w:vAlign w:val="bottom"/>
            <w:gridSpan w:val="2"/>
          </w:tcPr>
          <w:p>
            <w:pPr>
              <w:ind w:left="380"/>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4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40" w:type="dxa"/>
            <w:vAlign w:val="bottom"/>
          </w:tcPr>
          <w:p>
            <w:pPr>
              <w:jc w:val="right"/>
              <w:ind w:right="1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8</w:t>
            </w:r>
          </w:p>
        </w:tc>
      </w:tr>
      <w:tr>
        <w:trPr>
          <w:trHeight w:val="27"/>
        </w:trPr>
        <w:tc>
          <w:tcPr>
            <w:tcW w:w="4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6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r>
      <w:tr>
        <w:trPr>
          <w:trHeight w:val="243"/>
        </w:trPr>
        <w:tc>
          <w:tcPr>
            <w:tcW w:w="5600" w:type="dxa"/>
            <w:vAlign w:val="bottom"/>
            <w:gridSpan w:val="2"/>
          </w:tcPr>
          <w:p>
            <w:pPr>
              <w:ind w:left="380"/>
              <w:spacing w:after="0"/>
              <w:rPr>
                <w:sz w:val="20"/>
                <w:szCs w:val="20"/>
                <w:color w:val="auto"/>
              </w:rPr>
            </w:pPr>
            <w:r>
              <w:rPr>
                <w:rFonts w:ascii="Arial" w:cs="Arial" w:eastAsia="Arial" w:hAnsi="Arial"/>
                <w:sz w:val="18"/>
                <w:szCs w:val="18"/>
                <w:color w:val="auto"/>
              </w:rPr>
              <w:t>General and administrative</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4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4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2</w:t>
            </w:r>
          </w:p>
        </w:tc>
      </w:tr>
      <w:tr>
        <w:trPr>
          <w:trHeight w:val="27"/>
        </w:trPr>
        <w:tc>
          <w:tcPr>
            <w:tcW w:w="45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w:t>
            </w:r>
          </w:p>
        </w:tc>
        <w:tc>
          <w:tcPr>
            <w:tcW w:w="10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jc w:val="right"/>
              <w:ind w:right="310"/>
              <w:spacing w:after="0"/>
              <w:rPr>
                <w:sz w:val="20"/>
                <w:szCs w:val="20"/>
                <w:color w:val="auto"/>
              </w:rPr>
            </w:pPr>
            <w:r>
              <w:rPr>
                <w:rFonts w:ascii="Arial" w:cs="Arial" w:eastAsia="Arial" w:hAnsi="Arial"/>
                <w:sz w:val="18"/>
                <w:szCs w:val="18"/>
                <w:color w:val="auto"/>
                <w:w w:val="89"/>
              </w:rPr>
              <w:t>37</w:t>
            </w: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Comparison of the three months ended June 30, 2018 and 2017</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w:t>
      </w:r>
    </w:p>
    <w:p>
      <w:pPr>
        <w:spacing w:after="0" w:line="302"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22860</wp:posOffset>
            </wp:positionV>
            <wp:extent cx="19380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i w:val="1"/>
                <w:iCs w:val="1"/>
                <w:color w:val="auto"/>
              </w:rPr>
              <w:t>(In millions)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339.2</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5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color w:val="auto"/>
        </w:rPr>
        <w:t>Revenue increased $72.5 million or 27% during the three months ended June 30, 2018, as compared to the three months ended June 30, 2017. This increase was primarily due to a 20% increase in the number of paying users between periods. The average revenue per paying user also increased between periods primarily due to an increased mix of sales towards our higher priced subscription plans, including renewals of grandfathered teams on our Dropbox Business Advanced Plan at higher prices, as discussed in "—Key Business Metrics".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ind w:left="420"/>
              <w:spacing w:after="0"/>
              <w:rPr>
                <w:sz w:val="20"/>
                <w:szCs w:val="20"/>
                <w:color w:val="auto"/>
              </w:rPr>
            </w:pPr>
            <w:r>
              <w:rPr>
                <w:rFonts w:ascii="Arial" w:cs="Arial" w:eastAsia="Arial" w:hAnsi="Arial"/>
                <w:sz w:val="18"/>
                <w:szCs w:val="18"/>
                <w:i w:val="1"/>
                <w:iCs w:val="1"/>
                <w:color w:val="auto"/>
              </w:rPr>
              <w:t>Cost of revenue, gross profit, and gross margin</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60"/>
        </w:trPr>
        <w:tc>
          <w:tcPr>
            <w:tcW w:w="5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4"/>
        </w:trPr>
        <w:tc>
          <w:tcPr>
            <w:tcW w:w="5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2"/>
          </w:tcPr>
          <w:p>
            <w:pPr>
              <w:jc w:val="center"/>
              <w:ind w:left="610"/>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2"/>
          </w:tcPr>
          <w:p>
            <w:pPr>
              <w:jc w:val="center"/>
              <w:ind w:left="630"/>
              <w:spacing w:after="0"/>
              <w:rPr>
                <w:sz w:val="20"/>
                <w:szCs w:val="20"/>
                <w:color w:val="auto"/>
              </w:rPr>
            </w:pPr>
            <w:r>
              <w:rPr>
                <w:rFonts w:ascii="Arial" w:cs="Arial" w:eastAsia="Arial" w:hAnsi="Arial"/>
                <w:sz w:val="18"/>
                <w:szCs w:val="18"/>
                <w:i w:val="1"/>
                <w:iCs w:val="1"/>
                <w:color w:val="auto"/>
                <w:w w:val="97"/>
              </w:rPr>
              <w:t>(In millions)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89.5</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249.7</w:t>
            </w:r>
          </w:p>
        </w:tc>
        <w:tc>
          <w:tcPr>
            <w:tcW w:w="56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27"/>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7"/>
        </w:trPr>
        <w:tc>
          <w:tcPr>
            <w:tcW w:w="50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Cost of revenue decreased $2.7 million or 3% during the three months ended June 30, 2018, as compared to the three months ended June 30, 2017, primarily due to a decrease of $6.5 million in our infrastructure costs due to continued infrastructure usage optimization efforts, which resulted in a reduction in depreciation expense due to the change in depreciable useful life of certain of our infrastructure equipment, which was effective on January 1, 2018. These decreases in cost of revenue were partially offset by an increase of $4.6 million in professional fees for user support and credit card transaction fees due to higher sales.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gross margin increased 9% during the three months ended June 30, 2018 compared to the three months ended June 30, 2017, primarily due to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27% increase in our revenue during the period and a decrease in our cost of revenue primarily due to a decrease in infrastructure costs as described above.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ind w:left="420"/>
              <w:spacing w:after="0"/>
              <w:rPr>
                <w:sz w:val="20"/>
                <w:szCs w:val="20"/>
                <w:color w:val="auto"/>
              </w:rPr>
            </w:pPr>
            <w:r>
              <w:rPr>
                <w:rFonts w:ascii="Arial" w:cs="Arial" w:eastAsia="Arial" w:hAnsi="Arial"/>
                <w:sz w:val="18"/>
                <w:szCs w:val="18"/>
                <w:i w:val="1"/>
                <w:iCs w:val="1"/>
                <w:color w:val="auto"/>
              </w:rPr>
              <w:t>Research and development</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60"/>
        </w:trPr>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89"/>
              </w:rPr>
              <w:t>Three months ended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4"/>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2"/>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2"/>
          </w:tcPr>
          <w:p>
            <w:pPr>
              <w:jc w:val="center"/>
              <w:ind w:left="610"/>
              <w:spacing w:after="0"/>
              <w:rPr>
                <w:sz w:val="20"/>
                <w:szCs w:val="20"/>
                <w:color w:val="auto"/>
              </w:rPr>
            </w:pPr>
            <w:r>
              <w:rPr>
                <w:rFonts w:ascii="Arial" w:cs="Arial" w:eastAsia="Arial" w:hAnsi="Arial"/>
                <w:sz w:val="18"/>
                <w:szCs w:val="18"/>
                <w:i w:val="1"/>
                <w:iCs w:val="1"/>
                <w:color w:val="auto"/>
                <w:w w:val="97"/>
              </w:rPr>
              <w:t>(In millions)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119.7</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5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Research and development expenses increased $29.9 million or 33% during the three months ended June 30, 2018, as compared to the three months ended June 30, 2017, primarily due to an increase of $19.9 million in employee-related expenses, which was due to headcount growth and an increase of $8.3 million in overhead-related costs.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ind w:left="420"/>
              <w:spacing w:after="0"/>
              <w:rPr>
                <w:sz w:val="20"/>
                <w:szCs w:val="20"/>
                <w:color w:val="auto"/>
              </w:rPr>
            </w:pPr>
            <w:r>
              <w:rPr>
                <w:rFonts w:ascii="Arial" w:cs="Arial" w:eastAsia="Arial" w:hAnsi="Arial"/>
                <w:sz w:val="18"/>
                <w:szCs w:val="18"/>
                <w:i w:val="1"/>
                <w:iCs w:val="1"/>
                <w:color w:val="auto"/>
              </w:rPr>
              <w:t>Sales and marketing</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60"/>
        </w:trPr>
        <w:tc>
          <w:tcPr>
            <w:tcW w:w="5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89"/>
              </w:rPr>
              <w:t>Three months ended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4"/>
        </w:trPr>
        <w:tc>
          <w:tcPr>
            <w:tcW w:w="5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2"/>
          </w:tcPr>
          <w:p>
            <w:pPr>
              <w:jc w:val="center"/>
              <w:ind w:left="610"/>
              <w:spacing w:after="0"/>
              <w:rPr>
                <w:sz w:val="20"/>
                <w:szCs w:val="20"/>
                <w:color w:val="auto"/>
              </w:rPr>
            </w:pPr>
            <w:r>
              <w:rPr>
                <w:rFonts w:ascii="Arial" w:cs="Arial" w:eastAsia="Arial" w:hAnsi="Arial"/>
                <w:sz w:val="18"/>
                <w:szCs w:val="18"/>
                <w:b w:val="1"/>
                <w:bCs w:val="1"/>
                <w:color w:val="auto"/>
                <w:w w:val="88"/>
              </w:rPr>
              <w:t>June 30,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2"/>
          </w:tcPr>
          <w:p>
            <w:pPr>
              <w:jc w:val="center"/>
              <w:ind w:left="630"/>
              <w:spacing w:after="0"/>
              <w:rPr>
                <w:sz w:val="20"/>
                <w:szCs w:val="20"/>
                <w:color w:val="auto"/>
              </w:rPr>
            </w:pPr>
            <w:r>
              <w:rPr>
                <w:rFonts w:ascii="Arial" w:cs="Arial" w:eastAsia="Arial" w:hAnsi="Arial"/>
                <w:sz w:val="18"/>
                <w:szCs w:val="18"/>
                <w:i w:val="1"/>
                <w:iCs w:val="1"/>
                <w:color w:val="auto"/>
                <w:w w:val="97"/>
              </w:rPr>
              <w:t>(In millions)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87.4</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459"/>
        </w:trPr>
        <w:tc>
          <w:tcPr>
            <w:tcW w:w="5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730"/>
              <w:spacing w:after="0"/>
              <w:rPr>
                <w:sz w:val="20"/>
                <w:szCs w:val="20"/>
                <w:color w:val="auto"/>
              </w:rPr>
            </w:pPr>
            <w:r>
              <w:rPr>
                <w:rFonts w:ascii="Arial" w:cs="Arial" w:eastAsia="Arial" w:hAnsi="Arial"/>
                <w:sz w:val="18"/>
                <w:szCs w:val="18"/>
                <w:color w:val="auto"/>
              </w:rPr>
              <w:t>38</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Sales and marketing expenses increased $18.2 million or 26% during the three months ended June 30, 2018, as compared to the three months ended June 30, 2017, primarily due to an increase of $9.7 million in spend related to brand campaign fees, lead generation fees, and third-party sales representative fees. Further, sales and marketing expenses increased due to $4.3 million in app store fees due to increased sales and $3.0 million in employee-related costs primarily due to salary increases.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ind w:left="420"/>
              <w:spacing w:after="0"/>
              <w:rPr>
                <w:sz w:val="20"/>
                <w:szCs w:val="20"/>
                <w:color w:val="auto"/>
              </w:rPr>
            </w:pPr>
            <w:r>
              <w:rPr>
                <w:rFonts w:ascii="Arial" w:cs="Arial" w:eastAsia="Arial" w:hAnsi="Arial"/>
                <w:sz w:val="18"/>
                <w:szCs w:val="18"/>
                <w:i w:val="1"/>
                <w:iCs w:val="1"/>
                <w:color w:val="auto"/>
              </w:rPr>
              <w:t>General and administrative</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60"/>
        </w:trPr>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89"/>
              </w:rPr>
              <w:t>Three months ended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4"/>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2"/>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2"/>
          </w:tcPr>
          <w:p>
            <w:pPr>
              <w:jc w:val="center"/>
              <w:ind w:left="610"/>
              <w:spacing w:after="0"/>
              <w:rPr>
                <w:sz w:val="20"/>
                <w:szCs w:val="20"/>
                <w:color w:val="auto"/>
              </w:rPr>
            </w:pPr>
            <w:r>
              <w:rPr>
                <w:rFonts w:ascii="Arial" w:cs="Arial" w:eastAsia="Arial" w:hAnsi="Arial"/>
                <w:sz w:val="18"/>
                <w:szCs w:val="18"/>
                <w:i w:val="1"/>
                <w:iCs w:val="1"/>
                <w:color w:val="auto"/>
                <w:w w:val="97"/>
              </w:rPr>
              <w:t>(In millions)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49.8</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General and administrative expenses increased $7.6 million or 18% during the three months ended June 30, 2018, as compared to the three months ended June 30, 2017, primarily due to an increase of $10.3 million in stock-based compensation due to the recognition of expense related to the Co-Founder Grants in the three months ended June 30, 2018. In addition, employee-related expenses, excluding stock-based compensation, increased $4.0 million due to headcount growth. Further, general and administrative expenses increased $3.0 million due to legal-related and other expenses related to public company governance. These increases were offset by a decrease of $9.6 million in contributions to the Dropbox Charitable Foundation, of which $9.4 million was a non-cash contribution of Class A common stock for its initial funding, and $0.2 million was related to cash contributions made during the three months ended June 30, 2017.</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income (expense), net</w:t>
      </w:r>
    </w:p>
    <w:p>
      <w:pPr>
        <w:spacing w:after="0" w:line="225" w:lineRule="exact"/>
        <w:rPr>
          <w:sz w:val="20"/>
          <w:szCs w:val="20"/>
          <w:color w:val="auto"/>
        </w:rPr>
      </w:pPr>
    </w:p>
    <w:p>
      <w:pPr>
        <w:jc w:val="both"/>
        <w:ind w:right="360" w:firstLine="405"/>
        <w:spacing w:after="0" w:line="264" w:lineRule="auto"/>
        <w:rPr>
          <w:sz w:val="20"/>
          <w:szCs w:val="20"/>
          <w:color w:val="auto"/>
        </w:rPr>
      </w:pPr>
      <w:r>
        <w:rPr>
          <w:rFonts w:ascii="Arial" w:cs="Arial" w:eastAsia="Arial" w:hAnsi="Arial"/>
          <w:sz w:val="18"/>
          <w:szCs w:val="18"/>
          <w:color w:val="auto"/>
        </w:rPr>
        <w:t>Interest income (expense), net increased $5.0 million during the three months ended June 30, 2018, as compared to the three months ended June 30, 2017, primarily due to an increase in interest income from our money market funds and short-term investments of $3.8 million and a decrease of interest expense of $1.2 million due to fewer assets acquired under capital leases.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Other income, net decreased $1.1 million during the three months ended June 30, 2018, as compared to the three months ended June 30, 2017, primarily due to an increase of $2.5 million in foreign currency losses primarily related to monetary assets and liabilities denominated in euros and pounds. The decrease in other income, net was partially offset by an increase in sublease income of $0.6 million.</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Provision for income taxes increased $0.7 million during the three months ended June 30, 2018, as compared to the three months ended June 30, 2017, primarily as a result of additional income in our profitable foreign entities.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Comparison of the six months ended June 30, 2018 and 2017</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w:t>
      </w:r>
    </w:p>
    <w:p>
      <w:pPr>
        <w:spacing w:after="0" w:line="302"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22860</wp:posOffset>
            </wp:positionV>
            <wp:extent cx="19380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i w:val="1"/>
                <w:iCs w:val="1"/>
                <w:color w:val="auto"/>
              </w:rPr>
              <w:t>(In millions)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655.5</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514.6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140.9</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5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Revenue increased $140.9 million or 27% during the six months ended June 30, 2018, as compared to the six months ended June 30, 2017. This increase was primarily due to a 20% increase in the number of paying users between periods. The average revenue per paying user also increased between periods primarily due to an increased mix of sales towards our higher priced subscription plans, including renewals of grandfathered teams on our Dropbox Business Advanced Plan at higher prices, as discussed in "—Key Business Metrics".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ind w:left="420"/>
              <w:spacing w:after="0"/>
              <w:rPr>
                <w:sz w:val="20"/>
                <w:szCs w:val="20"/>
                <w:color w:val="auto"/>
              </w:rPr>
            </w:pPr>
            <w:r>
              <w:rPr>
                <w:rFonts w:ascii="Arial" w:cs="Arial" w:eastAsia="Arial" w:hAnsi="Arial"/>
                <w:sz w:val="18"/>
                <w:szCs w:val="18"/>
                <w:i w:val="1"/>
                <w:iCs w:val="1"/>
                <w:color w:val="auto"/>
              </w:rPr>
              <w:t>Cost of revenue, gross profit, and gross margin</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60"/>
        </w:trPr>
        <w:tc>
          <w:tcPr>
            <w:tcW w:w="5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7"/>
              </w:rPr>
              <w:t>Six months ended</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4"/>
        </w:trPr>
        <w:tc>
          <w:tcPr>
            <w:tcW w:w="5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2"/>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2"/>
          </w:tcPr>
          <w:p>
            <w:pPr>
              <w:jc w:val="center"/>
              <w:ind w:left="610"/>
              <w:spacing w:after="0"/>
              <w:rPr>
                <w:sz w:val="20"/>
                <w:szCs w:val="20"/>
                <w:color w:val="auto"/>
              </w:rPr>
            </w:pPr>
            <w:r>
              <w:rPr>
                <w:rFonts w:ascii="Arial" w:cs="Arial" w:eastAsia="Arial" w:hAnsi="Arial"/>
                <w:sz w:val="18"/>
                <w:szCs w:val="18"/>
                <w:i w:val="1"/>
                <w:iCs w:val="1"/>
                <w:color w:val="auto"/>
                <w:w w:val="97"/>
              </w:rPr>
              <w:t>(In millions)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210.1</w:t>
            </w:r>
          </w:p>
        </w:tc>
        <w:tc>
          <w:tcPr>
            <w:tcW w:w="5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445.4</w:t>
            </w:r>
          </w:p>
        </w:tc>
        <w:tc>
          <w:tcPr>
            <w:tcW w:w="56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328.9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7"/>
        </w:trPr>
        <w:tc>
          <w:tcPr>
            <w:tcW w:w="5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Cost of revenue increased $24.4 million or 13% during the six months ended June 30, 2018, as compared to the six months ended June 30, 2017, primarily due to an increase of $34.3 million in stock-based compensation, which included the achievement of the Performance Vesting Condition of our two-tier RSUs upon the effectiveness of the registration statement related to our IPO. Cost of revenue also increased due to $7.0 million in professional fees for user support and credit card transaction fees due to higher sales. These increases were offset by a decrease of $15.4 million in our infrastructure costs due to continued infrastructure usage optimization efforts, which resulted in a reduction in depreciation expense due to the change in depreciable useful life of certain of our infrastructure equipment, which was effective on January 1, 2018. These increases were further offset by a decrease of $2.5 million in amortization of developed technologies, as certain assets became fully amortized during the six months ended June 30, 2017.</w:t>
      </w:r>
    </w:p>
    <w:p>
      <w:pPr>
        <w:spacing w:after="0" w:line="86"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Our gross margin increased from 64% to 68% during the six months ended June 30, 2018 compared to the six months ended June 30, 2017, primarily due to a 27% increase in our revenue during the period and a decrease in our infrastructure costs as described above. The increase in gross margin was partially offset by the increase in stock-based compensation from the achievement of the Performance Vesting Condition related to our two-tier RSUs upon the effectiveness of the registration statement related to our IPO.</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ind w:left="420"/>
              <w:spacing w:after="0"/>
              <w:rPr>
                <w:sz w:val="20"/>
                <w:szCs w:val="20"/>
                <w:color w:val="auto"/>
              </w:rPr>
            </w:pPr>
            <w:r>
              <w:rPr>
                <w:rFonts w:ascii="Arial" w:cs="Arial" w:eastAsia="Arial" w:hAnsi="Arial"/>
                <w:sz w:val="18"/>
                <w:szCs w:val="18"/>
                <w:i w:val="1"/>
                <w:iCs w:val="1"/>
                <w:color w:val="auto"/>
              </w:rPr>
              <w:t>Research and development</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60"/>
        </w:trPr>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7"/>
              </w:rPr>
              <w:t>Six months ended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4"/>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2"/>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2"/>
          </w:tcPr>
          <w:p>
            <w:pPr>
              <w:jc w:val="center"/>
              <w:ind w:left="610"/>
              <w:spacing w:after="0"/>
              <w:rPr>
                <w:sz w:val="20"/>
                <w:szCs w:val="20"/>
                <w:color w:val="auto"/>
              </w:rPr>
            </w:pPr>
            <w:r>
              <w:rPr>
                <w:rFonts w:ascii="Arial" w:cs="Arial" w:eastAsia="Arial" w:hAnsi="Arial"/>
                <w:sz w:val="18"/>
                <w:szCs w:val="18"/>
                <w:i w:val="1"/>
                <w:iCs w:val="1"/>
                <w:color w:val="auto"/>
                <w:w w:val="97"/>
              </w:rPr>
              <w:t>(In millions)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498.2</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319.1</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7"/>
        </w:trPr>
        <w:tc>
          <w:tcPr>
            <w:tcW w:w="5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80" w:firstLine="405"/>
        <w:spacing w:after="0" w:line="297" w:lineRule="auto"/>
        <w:rPr>
          <w:sz w:val="20"/>
          <w:szCs w:val="20"/>
          <w:color w:val="auto"/>
        </w:rPr>
      </w:pPr>
      <w:r>
        <w:rPr>
          <w:rFonts w:ascii="Arial" w:cs="Arial" w:eastAsia="Arial" w:hAnsi="Arial"/>
          <w:sz w:val="16"/>
          <w:szCs w:val="16"/>
          <w:color w:val="auto"/>
        </w:rPr>
        <w:t>Research and development expenses increased $319.1 million or 178% during the six months ended June 30, 2018, as compared to the six months ended June 30, 2017, primarily due to an increase of $267.3 million in stock-based compensation, which included the achievement of the Performance Vesting Condition of our two-tier RSUs upon the effectiveness of the registration statement related to our IPO. Further, the increase in research and development expense was due to an increase of $32.1 million in employee-related expenses, excluding stock-based compensation, which was due to headcount growth and employer payroll taxes related to the release of our two-tier RSUs, and an increase of $16.2 million in overhead-related costs.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512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80"/>
        </w:trPr>
        <w:tc>
          <w:tcPr>
            <w:tcW w:w="5120" w:type="dxa"/>
            <w:vAlign w:val="bottom"/>
            <w:gridSpan w:val="2"/>
          </w:tcPr>
          <w:p>
            <w:pPr>
              <w:ind w:left="420"/>
              <w:spacing w:after="0"/>
              <w:rPr>
                <w:sz w:val="20"/>
                <w:szCs w:val="20"/>
                <w:color w:val="auto"/>
              </w:rPr>
            </w:pPr>
            <w:r>
              <w:rPr>
                <w:rFonts w:ascii="Arial" w:cs="Arial" w:eastAsia="Arial" w:hAnsi="Arial"/>
                <w:sz w:val="18"/>
                <w:szCs w:val="18"/>
                <w:i w:val="1"/>
                <w:iCs w:val="1"/>
                <w:color w:val="auto"/>
              </w:rPr>
              <w:t>Sales and marketing</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60"/>
        </w:trPr>
        <w:tc>
          <w:tcPr>
            <w:tcW w:w="13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7"/>
              </w:rPr>
              <w:t>Six months ended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2"/>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13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13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13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13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2"/>
          </w:tcPr>
          <w:p>
            <w:pPr>
              <w:jc w:val="center"/>
              <w:ind w:left="610"/>
              <w:spacing w:after="0"/>
              <w:rPr>
                <w:sz w:val="20"/>
                <w:szCs w:val="20"/>
                <w:color w:val="auto"/>
              </w:rPr>
            </w:pPr>
            <w:r>
              <w:rPr>
                <w:rFonts w:ascii="Arial" w:cs="Arial" w:eastAsia="Arial" w:hAnsi="Arial"/>
                <w:sz w:val="18"/>
                <w:szCs w:val="18"/>
                <w:i w:val="1"/>
                <w:iCs w:val="1"/>
                <w:color w:val="auto"/>
                <w:w w:val="97"/>
              </w:rPr>
              <w:t>(In millions)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13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244.4</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136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Sales and marketing expenses increased $108.0 million or 79% during the six months ended June 30, 2018, as compared to the six months ended June 30, 2017, primarily due to an increase of $64.8 million in stock-based compensation, which included the achievement of the Performance Vesting Condition of our two-tier RSUs upon the effectiveness of the registration statement related to our IPO. Sales and marketing expenses also increased $26.0 million due to brand marketing costs, lead generation costs, and third-party sales representative fees. In addition, the increase in sales and marketing expense was due to an increase of $8.3 million in employee-related expenses, excluding stock-based compensation, which was due to salary increases and employer payroll taxes related to the release of our two-tier RSUs, and an increase of $8.0 million due to app store fees as a result of increased sales.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ind w:left="420"/>
              <w:spacing w:after="0"/>
              <w:rPr>
                <w:sz w:val="20"/>
                <w:szCs w:val="20"/>
                <w:color w:val="auto"/>
              </w:rPr>
            </w:pPr>
            <w:r>
              <w:rPr>
                <w:rFonts w:ascii="Arial" w:cs="Arial" w:eastAsia="Arial" w:hAnsi="Arial"/>
                <w:sz w:val="18"/>
                <w:szCs w:val="18"/>
                <w:i w:val="1"/>
                <w:iCs w:val="1"/>
                <w:color w:val="auto"/>
              </w:rPr>
              <w:t>General and administrative</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60"/>
        </w:trPr>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7"/>
              </w:rPr>
              <w:t>Six months ended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4"/>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2"/>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2"/>
          </w:tcPr>
          <w:p>
            <w:pPr>
              <w:jc w:val="center"/>
              <w:ind w:left="610"/>
              <w:spacing w:after="0"/>
              <w:rPr>
                <w:sz w:val="20"/>
                <w:szCs w:val="20"/>
                <w:color w:val="auto"/>
              </w:rPr>
            </w:pPr>
            <w:r>
              <w:rPr>
                <w:rFonts w:ascii="Arial" w:cs="Arial" w:eastAsia="Arial" w:hAnsi="Arial"/>
                <w:sz w:val="18"/>
                <w:szCs w:val="18"/>
                <w:i w:val="1"/>
                <w:iCs w:val="1"/>
                <w:color w:val="auto"/>
                <w:w w:val="97"/>
              </w:rPr>
              <w:t>(In millions)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175.9</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7"/>
        </w:trPr>
        <w:tc>
          <w:tcPr>
            <w:tcW w:w="5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80" w:firstLine="405"/>
        <w:spacing w:after="0" w:line="290" w:lineRule="auto"/>
        <w:rPr>
          <w:sz w:val="20"/>
          <w:szCs w:val="20"/>
          <w:color w:val="auto"/>
        </w:rPr>
      </w:pPr>
      <w:r>
        <w:rPr>
          <w:rFonts w:ascii="Arial" w:cs="Arial" w:eastAsia="Arial" w:hAnsi="Arial"/>
          <w:sz w:val="16"/>
          <w:szCs w:val="16"/>
          <w:color w:val="auto"/>
        </w:rPr>
        <w:t>General and administrative expenses increased $102.4 million or 139% during the six months ended June 30, 2018, as compared to the six months ended June 30, 2017, primarily due to an increase of $97.6 million in stock-based compensation, which included the achievement of the Performance Vesting Condition of our two-tier RSUs, and the performance-based vesting condition for the Co-Founder Grants upon the effectiveness of the registration statement related to our IPO. In addition, general and administrative expenses increased $8.1 million due to employee-related expenses, excluding stock-based compensation, due to headcount growth and employer payroll taxes related to the release of our two-tier RSUs. Further, general and administrative expenses increased $3.9 million due to legal-related and other expenses related to public company governance. These increases were offset by a decrease of $9.8 million in contributions to the Dropbox Charitable Foundation, of which $9.4 million was a non-cash contribution of Class A common stock for its initial funding, and $0.4 million was related to cash contributions made during the six months ended June 30, 2017.</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income (expense), net</w:t>
      </w:r>
    </w:p>
    <w:p>
      <w:pPr>
        <w:spacing w:after="0" w:line="22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Interest income (expense), net increased $8.0 million during the six months ended June 30, 2018, as compared to the six months ended June 30, 2017, primarily due to an increase in interest income from our money market funds and short-term investments of $4.9 million, and a decrease of interest expense of $3.1 million due to fewer assets acquired under capital leases.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Other income, net decreased $2.5 million during the six months ended June 30, 2018, as compared to the six months ended June 30, 2017, primarily due to an increase of $4.4 million in foreign currency losses primarily related to monetary assets and liabilities denominated in euros and pounds. The decrease in other income, net was partially offset by an increase in sublease income of $0.6 million.</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Provision for income taxes increased $2.2 million during the six months ended June 30, 2018, as compared to the six months ended June 30, 2017, primarily as a result of additional income in our profitable foreign entities and the release of our valuation allowance related to certain foreign deferred tax assets during the first quarter of 2018.</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08"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60" w:firstLine="405"/>
        <w:spacing w:after="0" w:line="302" w:lineRule="auto"/>
        <w:rPr>
          <w:sz w:val="20"/>
          <w:szCs w:val="20"/>
          <w:color w:val="auto"/>
        </w:rPr>
      </w:pPr>
      <w:r>
        <w:rPr>
          <w:rFonts w:ascii="Arial" w:cs="Arial" w:eastAsia="Arial" w:hAnsi="Arial"/>
          <w:sz w:val="16"/>
          <w:szCs w:val="16"/>
          <w:color w:val="auto"/>
        </w:rPr>
        <w:t>As of June 30, 2018, we had cash and cash equivalents of $504.1 million and short-term investments of $477.7 million, which were held for working capital purposes. Our cash, cash equivalents, and short-term investments consist primarily of cash, money market funds, U.S. treasury securities, corporate notes and obligations, U.S. agency obligations, commercial paper, and certificates of deposits. As of June 30, 2018, we had $103.3 million of our cash and cash equivalents held by our foreign subsidiaries. We do not expect to incur material taxes in the event we repatriate any of these amounts.</w:t>
      </w:r>
    </w:p>
    <w:p>
      <w:pPr>
        <w:spacing w:after="0" w:line="73"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On March 27, 2018, upon the completion of our IPO and concurrent private placement, we received aggregate proceeds of $638.2 million, net of underwriters' discounts and commissions. On March 28, 2018, the underwriters exercised their option to purchase an additional 5,400,000 shares of our Class A common stock. This transaction closed on April 3, 2018, resulting in additional proceeds of $108.4 million, net of underwriters' discounts and commissions. Our net proceeds from the IPO, the concurrent private placement, and underwriters' option totaled $746.6 million, before deducting offering costs of $6.9 million, net of reimbursements.</w:t>
      </w:r>
    </w:p>
    <w:p>
      <w:pPr>
        <w:spacing w:after="0" w:line="107"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Since our inception, we have financed our operations primarily through equity issuances, cash generated from our operations, and capital leases to finance infrastructure-related assets in co-location facilities that we directly lease and operate. We enter into capital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w:t>
      </w:r>
    </w:p>
    <w:p>
      <w:pPr>
        <w:spacing w:after="0" w:line="73"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Our principal uses of cash in recent periods have been funding our operations, purchases of short-term investments, the satisfaction of tax withholdings in connection with the settlement of restricted stock units, making principal payments on our capital lease obligations, and capital expenditures.</w:t>
      </w:r>
    </w:p>
    <w:p>
      <w:pPr>
        <w:spacing w:after="0" w:line="4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April 2017, we entered into a $600.0 million credit facility with a syndicate of financial institutions. Pursuant to the terms of the revolving credit facility, we may issue letters of credit under the revolving credit facility, which reduce the total amount available for borrowing under such facility. The revolving credit facility terminates on April 4, 2022. In February 2018, we amended our revolving credit facility to, among other things, permit us to make certain investments, enter into an unsecured standby letter of credit facility, and increase our standby letter of credit sublimit to $187.5 million. We also increased our borrowing capacity under the revolving credit facility from $600.0 million to $725.0 million. We may from time to time request increases in the borrowing capacity under our revolving credit facility of up to $275.0 million, provided no event of default has occurred or is continuing or would result from such increase.</w:t>
      </w:r>
    </w:p>
    <w:p>
      <w:pPr>
        <w:spacing w:after="0" w:line="108"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Interest on borrowings under the revolving credit facility accrues at a variable rate tied to the prime rate or the LIBOR rate, at our election. Interest is payable quarterly in arrears. Pursuant to the terms of the revolving credit facility, we are required to pay an annual commitment fee that accrues at a rate of 0.20% per annum on the unused portion of the borrowing commitments under the revolving credit facility. In addition, we are required to pay a fee in connection with letters of credit issued under the revolving credit facility that accrues at a rate of 1.5% per annum on the amount of such letters of credit outstanding. There is an additional fronting fee of 0.125% per annum multiplied by the average aggregate daily maximum amount available under all letters of credit.</w:t>
      </w:r>
    </w:p>
    <w:p>
      <w:pPr>
        <w:spacing w:after="0" w:line="112"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our ability to incur indebtedness, grant liens, make distributions to our holders or our subsidiaries’ equity interests, make investments, or engage in transactions with our affiliates. In addition, the revolving credit facility contains financial covenants, including a consolidated leverage ratio covenant and a minimum liquidity balance. We were in compliance with all covenants under the revolving credit facility as of June 30, 2018.</w:t>
      </w:r>
    </w:p>
    <w:p>
      <w:pPr>
        <w:spacing w:after="0" w:line="90"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As of June 30, 2018, we had no amounts outstanding under the revolving credit facility and an aggregate of $73.4 million in letters of credit outstanding under the revolving credit facility. Our total available borrowing capacity under the revolving credit facility was $651.6 million as of June 30, 2018.</w:t>
      </w:r>
    </w:p>
    <w:p>
      <w:pPr>
        <w:spacing w:after="0" w:line="43"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We believe our existing cash and cash equivalents, together with our short-term investments, cash provided by operations and amounts available under the revolving credit facility, will be sufficient to meet our needs for the foreseeable future. 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existing and new office spaces, such as our new corporate headquarters, the satisfaction of tax withholding obligations for the release of restricted stock units, the expansion of sales and marketing and international operation activities, the introduction of new product capabilities and enhancement of our platform, and the continuing market acceptance of our platform. We may in the future enter into arrangements to acquire or invest in complementary businesses, services, and technologies, including intellectual property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cash flow activities were as follows for the periods presented: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35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Six months ended June 30,</w:t>
            </w:r>
          </w:p>
        </w:tc>
        <w:tc>
          <w:tcPr>
            <w:tcW w:w="68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68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0" w:type="dxa"/>
            <w:vAlign w:val="bottom"/>
            <w:gridSpan w:val="3"/>
          </w:tcPr>
          <w:p>
            <w:pPr>
              <w:jc w:val="right"/>
              <w:ind w:right="870"/>
              <w:spacing w:after="0"/>
              <w:rPr>
                <w:sz w:val="20"/>
                <w:szCs w:val="20"/>
                <w:color w:val="auto"/>
              </w:rPr>
            </w:pPr>
            <w:r>
              <w:rPr>
                <w:rFonts w:ascii="Arial" w:cs="Arial" w:eastAsia="Arial" w:hAnsi="Arial"/>
                <w:sz w:val="18"/>
                <w:szCs w:val="18"/>
                <w:i w:val="1"/>
                <w:iCs w:val="1"/>
                <w:color w:val="auto"/>
              </w:rPr>
              <w:t>(In millions)</w:t>
            </w:r>
          </w:p>
        </w:tc>
        <w:tc>
          <w:tcPr>
            <w:tcW w:w="68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(497.6)</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used in financing activities</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7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loss adjusted for certain non-cash items, including depreciation and amortization expenses and stock-based compensation, as well as the effect of changes in operating assets and liabilities.</w:t>
      </w:r>
    </w:p>
    <w:p>
      <w:pPr>
        <w:spacing w:after="0" w:line="106"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For the six months ended June 30, 2018, net cash provided by operating activities was $173.7 million, which mostly consisted of our net loss of $469.6 million, adjusted for stock-based compensation expense of $541.6 million and depreciation and amortization expenses of $75.9 million, and net cash inflow of $21.6 million from operating assets and liabilities. The inflow from operating assets and liabilities was primarily due to an increase of $46.4 million in deferred revenue from increased subscription sales, as a majority of our paying users are invoiced in advance. The increase in deferred revenue was offset by a decrease in accrued compensation and benefits of $10.9 million due to the payout of our corporate bonus. Our net cash from operating activities for the six months ended June 30, 2018 also included a payment of $13.8 million of employer payroll taxes related to the release of our two-tier RSUs in connection with our IPO, which was paid in the first quarter of 2018.</w:t>
      </w:r>
    </w:p>
    <w:p>
      <w:pPr>
        <w:spacing w:after="0" w:line="9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increase in net cash provided by operating activities during the six months ended June 30, 2018, compared to the six months ended June 30, 2017, was primarily due to a reduction of our net loss, as adjusted for stock-based compensation and depreciation and amortization expenses, offset by a decrease in cash inflows from changes in operating assets and liabilities.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Net cash used in investing activities is primarily impacted by purchases of short-term investments, purchases of property and equipment, particularly for purchasing infrastructure equipment in co-location facilities that we directly lease and operate, and for making improvements to existing and new office spaces.</w:t>
      </w:r>
    </w:p>
    <w:p>
      <w:pPr>
        <w:spacing w:after="0" w:line="10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For the six months ended June 30, 2018, net cash used in investing activities was $497.6 million, which primarily related to purchases of short-term investments of $495.9 million and capital expenditures of $19.6 million related to our office and datacenter build-outs. These outflows were partially offset by inflows of $19.5 million related to proceeds from maturities and sales of short-term investments.</w:t>
      </w:r>
    </w:p>
    <w:p>
      <w:pPr>
        <w:spacing w:after="0" w:line="100"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increase in cash used in investing activities during the six months ended June 30, 2018, compared to the six months ended June 30, 2017, was primarily due to increases in purchases of short-term investments and an increase in capital expenditures for office and datacenter build-outs. These increases were partially offset by inflows related to proceeds from maturities and sales of short-term investments.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Net cash provided by (used in) financing activities is primarily impacted by repurchases of common stock to satisfy the tax withholding obligation for the release of restricted stock units (“RSUs”) and capital lease obligations for our infrastructure equipment. In 2017, we began releasing shares of common stock underlying vested one-tier RSUs, which generally have a service-based vesting condition over a four-year period and resulted in cash outflows to satisfy the employee tax withholding obligation for those employees who elected to net share settle their awards. During the first quarter of 2018, the Performance Vesting Condition related to our two-tier RSUs was achieved in connection with our IPO, and as a result, we released the shares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common stock underlying vested two-tier RSUs, which significantly increased our cash outflows to satisfy the employee tax withholding obligation during the six months ended June 30, 2018. See “—Significant Impacts of Stock-Based Compensation” for additional information.</w:t>
      </w:r>
    </w:p>
    <w:p>
      <w:pPr>
        <w:spacing w:after="0" w:line="89"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For the six months ended June 30, 2018, net cash provided by (used in) financing activities was $399.4 million, which primarily consisted of $746.6 million in net proceeds from the completion of our IPO and concurrent private placement. The proceeds were offset by $282.4 million for the satisfaction of tax withholding obligations for the release of restricted stock units and $58.3 million in principal payments against capital lease obligations.</w:t>
      </w:r>
    </w:p>
    <w:p>
      <w:pPr>
        <w:spacing w:after="0" w:line="66"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The increase in cash provided by financing activities during the six months ended June 30, 2018, compared to the six months ended June 30, 2017, was primarily due to $746.6 million in net proceeds from the completion of our IPO and concurrent private placement, partially offset by an increase in cash outflows of $258.4 million related to the satisfaction of tax withholding obligations for the release of two-tier restricted stock units.</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21"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220" w:firstLine="405"/>
        <w:spacing w:after="0" w:line="342" w:lineRule="auto"/>
        <w:rPr>
          <w:sz w:val="20"/>
          <w:szCs w:val="20"/>
          <w:color w:val="auto"/>
        </w:rPr>
      </w:pPr>
      <w:r>
        <w:rPr>
          <w:rFonts w:ascii="Arial" w:cs="Arial" w:eastAsia="Arial" w:hAnsi="Arial"/>
          <w:sz w:val="16"/>
          <w:szCs w:val="16"/>
          <w:color w:val="auto"/>
        </w:rPr>
        <w:t>Our principal commitments consist of obligations under operating leases for office space and datacenter operations, and capital leases for datacenter equipment. The following table summarizes our commitments to settle contractual obligations in cash as of June 30, 2018, for the periods presented below:</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Less than</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More than</w:t>
            </w:r>
          </w:p>
        </w:tc>
      </w:tr>
      <w:tr>
        <w:trPr>
          <w:trHeight w:val="234"/>
        </w:trPr>
        <w:tc>
          <w:tcPr>
            <w:tcW w:w="3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1 year</w:t>
            </w:r>
          </w:p>
        </w:tc>
        <w:tc>
          <w:tcPr>
            <w:tcW w:w="20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1 - 3 years</w:t>
            </w:r>
          </w:p>
        </w:tc>
        <w:tc>
          <w:tcPr>
            <w:tcW w:w="24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3 - 5 years</w:t>
            </w:r>
          </w:p>
        </w:tc>
        <w:tc>
          <w:tcPr>
            <w:tcW w:w="220" w:type="dxa"/>
            <w:vAlign w:val="bottom"/>
          </w:tcPr>
          <w:p>
            <w:pPr>
              <w:spacing w:after="0"/>
              <w:rPr>
                <w:sz w:val="20"/>
                <w:szCs w:val="20"/>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b w:val="1"/>
                <w:bCs w:val="1"/>
                <w:color w:val="auto"/>
              </w:rPr>
              <w:t>5 years</w:t>
            </w:r>
          </w:p>
        </w:tc>
      </w:tr>
      <w:tr>
        <w:trPr>
          <w:trHeight w:val="27"/>
        </w:trPr>
        <w:tc>
          <w:tcPr>
            <w:tcW w:w="3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i w:val="1"/>
                <w:iCs w:val="1"/>
                <w:color w:val="auto"/>
                <w:w w:val="97"/>
              </w:rPr>
              <w:t>(In millions)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3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Operating lease commitments</w:t>
            </w:r>
            <w:r>
              <w:rPr>
                <w:rFonts w:ascii="Arial" w:cs="Arial" w:eastAsia="Arial" w:hAnsi="Arial"/>
                <w:sz w:val="25"/>
                <w:szCs w:val="25"/>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1,138.5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672.9</w:t>
            </w:r>
          </w:p>
        </w:tc>
      </w:tr>
      <w:tr>
        <w:trPr>
          <w:trHeight w:val="270"/>
        </w:trPr>
        <w:tc>
          <w:tcPr>
            <w:tcW w:w="3520" w:type="dxa"/>
            <w:vAlign w:val="bottom"/>
          </w:tcPr>
          <w:p>
            <w:pPr>
              <w:ind w:left="20"/>
              <w:spacing w:after="0" w:line="270" w:lineRule="exact"/>
              <w:rPr>
                <w:sz w:val="20"/>
                <w:szCs w:val="20"/>
                <w:color w:val="auto"/>
              </w:rPr>
            </w:pPr>
            <w:r>
              <w:rPr>
                <w:rFonts w:ascii="Arial" w:cs="Arial" w:eastAsia="Arial" w:hAnsi="Arial"/>
                <w:sz w:val="18"/>
                <w:szCs w:val="18"/>
                <w:color w:val="auto"/>
              </w:rPr>
              <w:t>Capital lease commitments</w:t>
            </w:r>
            <w:r>
              <w:rPr>
                <w:rFonts w:ascii="Arial" w:cs="Arial" w:eastAsia="Arial" w:hAnsi="Arial"/>
                <w:sz w:val="25"/>
                <w:szCs w:val="25"/>
                <w:color w:val="auto"/>
                <w:vertAlign w:val="superscript"/>
              </w:rPr>
              <w:t>(2)</w:t>
            </w:r>
          </w:p>
        </w:tc>
        <w:tc>
          <w:tcPr>
            <w:tcW w:w="34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35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Other commitments</w:t>
            </w:r>
            <w:r>
              <w:rPr>
                <w:rFonts w:ascii="Arial" w:cs="Arial" w:eastAsia="Arial" w:hAnsi="Arial"/>
                <w:sz w:val="25"/>
                <w:szCs w:val="25"/>
                <w:color w:val="auto"/>
                <w:vertAlign w:val="superscript"/>
              </w:rPr>
              <w:t>(3)</w:t>
            </w: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133.8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Total contractual obligations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1,443.7</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259.4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326.2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672.9</w:t>
            </w:r>
          </w:p>
        </w:tc>
      </w:tr>
      <w:tr>
        <w:trPr>
          <w:trHeight w:val="27"/>
        </w:trPr>
        <w:tc>
          <w:tcPr>
            <w:tcW w:w="3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3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ind w:left="340" w:hanging="332"/>
        <w:spacing w:after="0" w:line="224" w:lineRule="auto"/>
        <w:tabs>
          <w:tab w:leader="none" w:pos="34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Consists of future non-cancelable minimum rental payments under operating leases for our offices and datacenters, excluding rent payments from our sub-tenants, variable operating expenses and tenant improvement reimbursements. Non-cancelable rent payments from our sub-tenants as of June 30, 2018, for the next five years is expected to be $57.1 million.</w:t>
      </w:r>
    </w:p>
    <w:p>
      <w:pPr>
        <w:spacing w:after="0" w:line="1" w:lineRule="exact"/>
        <w:rPr>
          <w:rFonts w:ascii="Arial" w:cs="Arial" w:eastAsia="Arial" w:hAnsi="Arial"/>
          <w:sz w:val="22"/>
          <w:szCs w:val="22"/>
          <w:color w:val="auto"/>
          <w:vertAlign w:val="superscript"/>
        </w:rPr>
      </w:pPr>
    </w:p>
    <w:p>
      <w:pPr>
        <w:ind w:left="340" w:hanging="332"/>
        <w:spacing w:after="0" w:line="187" w:lineRule="auto"/>
        <w:tabs>
          <w:tab w:leader="none" w:pos="34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Consists of future non-cancelable minimum rental payments under capital leases primarily for our infrastructure.</w:t>
      </w:r>
    </w:p>
    <w:p>
      <w:pPr>
        <w:ind w:left="340" w:right="360" w:hanging="332"/>
        <w:spacing w:after="0" w:line="242" w:lineRule="auto"/>
        <w:tabs>
          <w:tab w:leader="none" w:pos="34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Consists of commitments to third-party vendors for services related to our infrastructure, infrastructure warranty contracts, payments related to the imputed financing obligation for our previous headquarters, asset retirement obligations for office modifications, and a note payable related to financing of our infrastructure.</w:t>
      </w:r>
    </w:p>
    <w:p>
      <w:pPr>
        <w:spacing w:after="0" w:line="166" w:lineRule="exact"/>
        <w:rPr>
          <w:sz w:val="20"/>
          <w:szCs w:val="20"/>
          <w:color w:val="auto"/>
        </w:rPr>
      </w:pPr>
    </w:p>
    <w:p>
      <w:pPr>
        <w:ind w:right="40" w:firstLine="405"/>
        <w:spacing w:after="0" w:line="308" w:lineRule="auto"/>
        <w:rPr>
          <w:sz w:val="20"/>
          <w:szCs w:val="20"/>
          <w:color w:val="auto"/>
        </w:rPr>
      </w:pPr>
      <w:r>
        <w:rPr>
          <w:rFonts w:ascii="Arial" w:cs="Arial" w:eastAsia="Arial" w:hAnsi="Arial"/>
          <w:sz w:val="17"/>
          <w:szCs w:val="17"/>
          <w:color w:val="auto"/>
        </w:rPr>
        <w:t>In 2017, we entered into a new lease agreement for office space in San Francisco, California, to serve as our new corporate headquarters. We took initial possession of our new corporate headquarters in June 2018 and began to recognize rent expense in the same period.</w:t>
      </w:r>
    </w:p>
    <w:p>
      <w:pPr>
        <w:spacing w:after="0" w:line="66"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May 2018, we amended our lease for our current corporate headquarters, modifying the original lease termination date from 2027 to 2019. As a result of the amendment, we expect to vacate our current corporate headquarters in August 2019, but are obligated to pay rent through February 2020. Accordingly, we have removed $192.4 million in future minimum rental payments from the table above. The lease amendment did not have a material impact to our condensed consolidated statement of operations in the current period, nor do we expect it to be material through our lease termination date in 2019. See Note 7, "Commitments and Contingencies" to our condensed consolidated financial statements included elsewhere in this Quarterly Report on Form 10-Q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As of June 30, 2018, we did not have any relationships with unconsolidated entities or financial partnerships, such as entities often referred to as structured finance or variable interest entities, which would have been established for the purpose of facilitating off balance sheet arrangements or other contractually narrow or limited purposes.</w:t>
      </w:r>
    </w:p>
    <w:p>
      <w:pPr>
        <w:spacing w:after="0" w:line="200" w:lineRule="exact"/>
        <w:rPr>
          <w:sz w:val="20"/>
          <w:szCs w:val="20"/>
          <w:color w:val="auto"/>
        </w:rPr>
      </w:pPr>
    </w:p>
    <w:p>
      <w:pPr>
        <w:spacing w:after="0" w:line="35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40"/>
          </w:cols>
          <w:pgMar w:left="240" w:top="121" w:right="7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Impacts of Stock-Based Compensation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have granted restricted stock units, or RSUs, to our employees and members of our Board of Directors under our 2008 Equity Incentive Plan,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2008 Plan, our 2017 Equity Incentive Plan, or 2017 Plan and our 2018 Equity Incentive Plan, or 2018 Plan. We have two types of RSUs outstanding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2018:</w:t>
      </w:r>
    </w:p>
    <w:p>
      <w:pPr>
        <w:spacing w:after="0" w:line="211" w:lineRule="exact"/>
        <w:rPr>
          <w:sz w:val="20"/>
          <w:szCs w:val="20"/>
          <w:color w:val="auto"/>
        </w:rPr>
      </w:pPr>
    </w:p>
    <w:p>
      <w:pPr>
        <w:ind w:left="980" w:right="20" w:hanging="324"/>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One-tier RSUs, which have a service-based vesting condition over a four-year period. These awards typically have a cliff vesting period of one year and continue to vest quarterly thereafter. We recognize compensation expense associated with one-tier RSUs ratably on a straight-line basis over the requisite service period.</w:t>
      </w:r>
    </w:p>
    <w:p>
      <w:pPr>
        <w:spacing w:after="0" w:line="181" w:lineRule="exact"/>
        <w:rPr>
          <w:rFonts w:ascii="Arial" w:cs="Arial" w:eastAsia="Arial" w:hAnsi="Arial"/>
          <w:sz w:val="18"/>
          <w:szCs w:val="18"/>
          <w:color w:val="auto"/>
        </w:rPr>
      </w:pPr>
    </w:p>
    <w:p>
      <w:pPr>
        <w:ind w:left="980" w:right="100" w:hanging="324"/>
        <w:spacing w:after="0" w:line="288"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Two-tier RSUs, which have both a service-based vesting condition and a liquidity event-related performance vesting condition. These awards typically have a service-based vesting period of four years with a cliff vesting period of one year and continue to vest monthly thereafter. Upon satisfaction of the Performance Vesting Condition, these awards vest quarterly. The Performance Vesting Condition is satisfied on the earlier of</w:t>
      </w:r>
    </w:p>
    <w:p>
      <w:pPr>
        <w:jc w:val="both"/>
        <w:ind w:left="980" w:right="60"/>
        <w:spacing w:after="0" w:line="281" w:lineRule="auto"/>
        <w:rPr>
          <w:rFonts w:ascii="Arial" w:cs="Arial" w:eastAsia="Arial" w:hAnsi="Arial"/>
          <w:sz w:val="16"/>
          <w:szCs w:val="16"/>
          <w:color w:val="auto"/>
        </w:rPr>
      </w:pPr>
      <w:r>
        <w:rPr>
          <w:rFonts w:ascii="Arial" w:cs="Arial" w:eastAsia="Arial" w:hAnsi="Arial"/>
          <w:sz w:val="16"/>
          <w:szCs w:val="16"/>
          <w:color w:val="auto"/>
        </w:rPr>
        <w:t>(i) an acquisition or change in control of the Company or (ii) the earlier of (a) six months after our initial public offering or (b) March 15 of the year following our initial public offering. Our Board of Directors approved the acceleration of the Performance Vesting Condition for which the service condition was satisfied, to occur upon the effectiveness of the registration statement related to our IPO, which was on March 22, 2018.</w:t>
      </w:r>
    </w:p>
    <w:p>
      <w:pPr>
        <w:spacing w:after="0" w:line="2" w:lineRule="exact"/>
        <w:rPr>
          <w:rFonts w:ascii="Arial" w:cs="Arial" w:eastAsia="Arial" w:hAnsi="Arial"/>
          <w:sz w:val="16"/>
          <w:szCs w:val="16"/>
          <w:color w:val="auto"/>
        </w:rPr>
      </w:pPr>
    </w:p>
    <w:p>
      <w:pPr>
        <w:ind w:left="980" w:right="120"/>
        <w:spacing w:after="0" w:line="261" w:lineRule="auto"/>
        <w:rPr>
          <w:rFonts w:ascii="Arial" w:cs="Arial" w:eastAsia="Arial" w:hAnsi="Arial"/>
          <w:sz w:val="16"/>
          <w:szCs w:val="16"/>
          <w:color w:val="auto"/>
        </w:rPr>
      </w:pPr>
      <w:r>
        <w:rPr>
          <w:rFonts w:ascii="Arial" w:cs="Arial" w:eastAsia="Arial" w:hAnsi="Arial"/>
          <w:sz w:val="18"/>
          <w:szCs w:val="18"/>
          <w:color w:val="auto"/>
        </w:rPr>
        <w:t>Our last grant date for two-tier RSUs was May 2015. We recognize compensation expense associated with two-tier RSUs using the accelerated attribution method over the requisite service period.</w:t>
      </w:r>
    </w:p>
    <w:p>
      <w:pPr>
        <w:spacing w:after="0" w:line="184"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Upon the effectiveness of the registration statement related to our IPO, which was March 22, 2018, the Performance Vesting Condition associated with our two-tier RSUs was satisfied. As a result, we recognized stock-based compensation related to our two-tier RSUs using the accelerated attribution method, with a cumulative catch-up in the amount of $418.7 million attributable to service provided prior to such effective date. As of June 30, 2018, the unamortized stock-based compensation related to our two-tier RSUs was $1.2 million, which will be recognized if the requisite service is provided over a remaining weighted average period of 0.4 years.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Co-Founder Grants</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In December 2017, the Board of Directors approved a grant to our co-founders of restricted stock awards, or RSAs, with respect to 14.7 million shares of Class A Common Stock in the aggregate, or collectively, the Co-Founder Grants, of which 10.3 million RSAs were granted to Mr. Houston, the Company’s co-founder and Chief Executive Officer, and 4.4 million RSAs were granted to Mr. Ferdowsi, the Company’s co-founder and Director. These Co-Founder Grants have service-based, market-based, and performance-based vesting conditions. While the Co-Founder Grants have certain stockholder rights prior to their vesting, such as the right to vote the shares with the other holders of our Class A common stock, the Co-Founder Grants will be excluded from Class A common stock issued and outstanding until the satisfaction of these vesting conditions.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1"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Co-Founder Grants are eligible to vest over the ten-year period following the date the Company’s shares of Class A common stock began trading on the Nasdaq Global Select Market in connection with our IPO, which occurred on March 23, 2018. The Co-Founder Grants comprise nine tranches that are eligible to vest based on the achievement of stock price goals, or, each, a Stock Price Target, measured over a consecutive thirty-day trading period during the Performance Period, which will begin on January 1, 2019,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Company Stock Price</w:t>
            </w:r>
          </w:p>
        </w:tc>
        <w:tc>
          <w:tcPr>
            <w:tcW w:w="3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Shares Eligible to Vest for</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8"/>
              </w:rPr>
              <w:t>Shares Eligible to Vest</w:t>
            </w:r>
          </w:p>
        </w:tc>
      </w:tr>
      <w:tr>
        <w:trPr>
          <w:trHeight w:val="234"/>
        </w:trPr>
        <w:tc>
          <w:tcPr>
            <w:tcW w:w="3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Target</w:t>
            </w:r>
          </w:p>
        </w:tc>
        <w:tc>
          <w:tcPr>
            <w:tcW w:w="3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Mr. Houston</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92"/>
              </w:rPr>
              <w:t>for Mr. Ferdowsi</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2,066,667</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880,000</w:t>
            </w:r>
          </w:p>
        </w:tc>
      </w:tr>
      <w:tr>
        <w:trPr>
          <w:trHeight w:val="243"/>
        </w:trPr>
        <w:tc>
          <w:tcPr>
            <w:tcW w:w="3660" w:type="dxa"/>
            <w:vAlign w:val="bottom"/>
          </w:tcPr>
          <w:p>
            <w:pPr>
              <w:jc w:val="center"/>
              <w:spacing w:after="0"/>
              <w:rPr>
                <w:sz w:val="20"/>
                <w:szCs w:val="20"/>
                <w:color w:val="auto"/>
              </w:rPr>
            </w:pPr>
            <w:r>
              <w:rPr>
                <w:rFonts w:ascii="Arial" w:cs="Arial" w:eastAsia="Arial" w:hAnsi="Arial"/>
                <w:sz w:val="18"/>
                <w:szCs w:val="18"/>
                <w:color w:val="auto"/>
                <w:w w:val="87"/>
              </w:rPr>
              <w:t>$37.50</w:t>
            </w:r>
          </w:p>
        </w:tc>
        <w:tc>
          <w:tcPr>
            <w:tcW w:w="120" w:type="dxa"/>
            <w:vAlign w:val="bottom"/>
          </w:tcPr>
          <w:p>
            <w:pPr>
              <w:spacing w:after="0"/>
              <w:rPr>
                <w:sz w:val="21"/>
                <w:szCs w:val="21"/>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89"/>
              </w:rPr>
              <w:t>1,033,334</w:t>
            </w:r>
          </w:p>
        </w:tc>
        <w:tc>
          <w:tcPr>
            <w:tcW w:w="10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440,000</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$45.00</w:t>
            </w:r>
          </w:p>
        </w:tc>
        <w:tc>
          <w:tcPr>
            <w:tcW w:w="1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1,033,334</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440,000</w:t>
            </w:r>
          </w:p>
        </w:tc>
      </w:tr>
      <w:tr>
        <w:trPr>
          <w:trHeight w:val="243"/>
        </w:trPr>
        <w:tc>
          <w:tcPr>
            <w:tcW w:w="3660" w:type="dxa"/>
            <w:vAlign w:val="bottom"/>
          </w:tcPr>
          <w:p>
            <w:pPr>
              <w:jc w:val="center"/>
              <w:spacing w:after="0"/>
              <w:rPr>
                <w:sz w:val="20"/>
                <w:szCs w:val="20"/>
                <w:color w:val="auto"/>
              </w:rPr>
            </w:pPr>
            <w:r>
              <w:rPr>
                <w:rFonts w:ascii="Arial" w:cs="Arial" w:eastAsia="Arial" w:hAnsi="Arial"/>
                <w:sz w:val="18"/>
                <w:szCs w:val="18"/>
                <w:color w:val="auto"/>
                <w:w w:val="87"/>
              </w:rPr>
              <w:t>$52.50</w:t>
            </w:r>
          </w:p>
        </w:tc>
        <w:tc>
          <w:tcPr>
            <w:tcW w:w="120" w:type="dxa"/>
            <w:vAlign w:val="bottom"/>
          </w:tcPr>
          <w:p>
            <w:pPr>
              <w:spacing w:after="0"/>
              <w:rPr>
                <w:sz w:val="21"/>
                <w:szCs w:val="21"/>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89"/>
              </w:rPr>
              <w:t>1,033,333</w:t>
            </w:r>
          </w:p>
        </w:tc>
        <w:tc>
          <w:tcPr>
            <w:tcW w:w="10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440,000</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1,033,333</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440,000</w:t>
            </w:r>
          </w:p>
        </w:tc>
      </w:tr>
      <w:tr>
        <w:trPr>
          <w:trHeight w:val="243"/>
        </w:trPr>
        <w:tc>
          <w:tcPr>
            <w:tcW w:w="3660" w:type="dxa"/>
            <w:vAlign w:val="bottom"/>
          </w:tcPr>
          <w:p>
            <w:pPr>
              <w:jc w:val="center"/>
              <w:spacing w:after="0"/>
              <w:rPr>
                <w:sz w:val="20"/>
                <w:szCs w:val="20"/>
                <w:color w:val="auto"/>
              </w:rPr>
            </w:pPr>
            <w:r>
              <w:rPr>
                <w:rFonts w:ascii="Arial" w:cs="Arial" w:eastAsia="Arial" w:hAnsi="Arial"/>
                <w:sz w:val="18"/>
                <w:szCs w:val="18"/>
                <w:color w:val="auto"/>
                <w:w w:val="87"/>
              </w:rPr>
              <w:t>$67.50</w:t>
            </w:r>
          </w:p>
        </w:tc>
        <w:tc>
          <w:tcPr>
            <w:tcW w:w="120" w:type="dxa"/>
            <w:vAlign w:val="bottom"/>
          </w:tcPr>
          <w:p>
            <w:pPr>
              <w:spacing w:after="0"/>
              <w:rPr>
                <w:sz w:val="21"/>
                <w:szCs w:val="21"/>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89"/>
              </w:rPr>
              <w:t>1,033,333</w:t>
            </w:r>
          </w:p>
        </w:tc>
        <w:tc>
          <w:tcPr>
            <w:tcW w:w="10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440,000</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$75.00</w:t>
            </w:r>
          </w:p>
        </w:tc>
        <w:tc>
          <w:tcPr>
            <w:tcW w:w="1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1,033,333</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440,000</w:t>
            </w:r>
          </w:p>
        </w:tc>
      </w:tr>
      <w:tr>
        <w:trPr>
          <w:trHeight w:val="243"/>
        </w:trPr>
        <w:tc>
          <w:tcPr>
            <w:tcW w:w="3660" w:type="dxa"/>
            <w:vAlign w:val="bottom"/>
          </w:tcPr>
          <w:p>
            <w:pPr>
              <w:jc w:val="center"/>
              <w:spacing w:after="0"/>
              <w:rPr>
                <w:sz w:val="20"/>
                <w:szCs w:val="20"/>
                <w:color w:val="auto"/>
              </w:rPr>
            </w:pPr>
            <w:r>
              <w:rPr>
                <w:rFonts w:ascii="Arial" w:cs="Arial" w:eastAsia="Arial" w:hAnsi="Arial"/>
                <w:sz w:val="18"/>
                <w:szCs w:val="18"/>
                <w:color w:val="auto"/>
                <w:w w:val="87"/>
              </w:rPr>
              <w:t>$82.50</w:t>
            </w:r>
          </w:p>
        </w:tc>
        <w:tc>
          <w:tcPr>
            <w:tcW w:w="120" w:type="dxa"/>
            <w:vAlign w:val="bottom"/>
          </w:tcPr>
          <w:p>
            <w:pPr>
              <w:spacing w:after="0"/>
              <w:rPr>
                <w:sz w:val="21"/>
                <w:szCs w:val="21"/>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89"/>
              </w:rPr>
              <w:t>1,033,333</w:t>
            </w:r>
          </w:p>
        </w:tc>
        <w:tc>
          <w:tcPr>
            <w:tcW w:w="10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440,000</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43"/>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$90.00</w:t>
            </w:r>
          </w:p>
        </w:tc>
        <w:tc>
          <w:tcPr>
            <w:tcW w:w="120" w:type="dxa"/>
            <w:vAlign w:val="bottom"/>
            <w:shd w:val="clear" w:color="auto" w:fill="CCEEFF"/>
          </w:tcPr>
          <w:p>
            <w:pPr>
              <w:spacing w:after="0"/>
              <w:rPr>
                <w:sz w:val="21"/>
                <w:szCs w:val="21"/>
                <w:color w:val="auto"/>
              </w:rPr>
            </w:pPr>
          </w:p>
        </w:tc>
        <w:tc>
          <w:tcPr>
            <w:tcW w:w="3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1,033,333</w:t>
            </w:r>
          </w:p>
        </w:tc>
        <w:tc>
          <w:tcPr>
            <w:tcW w:w="100" w:type="dxa"/>
            <w:vAlign w:val="bottom"/>
            <w:shd w:val="clear" w:color="auto" w:fill="CCEEFF"/>
          </w:tcPr>
          <w:p>
            <w:pPr>
              <w:spacing w:after="0"/>
              <w:rPr>
                <w:sz w:val="21"/>
                <w:szCs w:val="21"/>
                <w:color w:val="auto"/>
              </w:rPr>
            </w:pP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440,000</w:t>
            </w: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During the first four years of the Performance Period, no more than 20% of the shares subject to each Co-Founder Grant would be eligible to vest in any calendar year. After the first four years, all shares are eligible to vest based on the achievement of the Company Stock Price Targets. The Co-Founder Grants contain an implied performance-based vesting condition that was satisfied on the date of our IPO.</w:t>
      </w:r>
    </w:p>
    <w:p>
      <w:pPr>
        <w:spacing w:after="0" w:line="100"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We estimated the grant date fair value of the Co-Founder Grants using a model based on multiple stock price paths developed through the use of a Monte Carlo simulation that incorporates into the valuation the possibility that the Stock Price Targets may not be satisfied. The average grant date fair value of each Co-Founder Grant was estimated to be $10.60 per share, and we will recognize total stock-based compensation expense of $156.2 million over the requisite service period of each tranche, which ranged from 2.9 to 6.9 years, using the accelerated attribution method. If the Stock Price Targets are met sooner than the derived service period, we will adjust our stock-based compensation to reflect the cumulative expense associated with the vested awards. We will recognize stock-based compensation expense if the requisite service period is provided, regardless of whether the market conditions are achieved.</w:t>
      </w:r>
    </w:p>
    <w:p>
      <w:pPr>
        <w:spacing w:after="0" w:line="84"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The performance vesting condition for the Co-Founder Grants was satisfied on the date that our shares of Class A common stock began trading on the Nasdaq Global Select Market in connection with our IPO. We recognized the cumulative unrecognized expense of our Co-Founder Grants of $10.6 million in the first quarter of 2018, using the accelerated attribution method, which increased our general and administrative expenses.</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Award Modifications</w:t>
      </w:r>
    </w:p>
    <w:p>
      <w:pPr>
        <w:spacing w:after="0" w:line="144"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During 2017, our Board of Directors voted to approve a modification of vesting schedules for certain unvested one-tier and two-tier RSUs to align the vesting schedules for all RSUs to vest once per quarter. The modification was effective February 15, 2018, which resulted in accelerated vesting of impacted RSUs that had met their service requirement as of that date. As a result, we recognized an incremental $10.0 million in stock-based compensation during the first quarter of 2018, which is included in the results for the six months ended June 30, 2018, related to these modified RSUs. We do not expect to record incremental stock-based compensation related to this modification in future periods.</w:t>
      </w:r>
    </w:p>
    <w:p>
      <w:pPr>
        <w:spacing w:after="0" w:line="91" w:lineRule="exact"/>
        <w:rPr>
          <w:sz w:val="20"/>
          <w:szCs w:val="20"/>
          <w:color w:val="auto"/>
        </w:rPr>
      </w:pPr>
    </w:p>
    <w:p>
      <w:pPr>
        <w:ind w:right="520" w:firstLine="405"/>
        <w:spacing w:after="0" w:line="342" w:lineRule="auto"/>
        <w:rPr>
          <w:sz w:val="20"/>
          <w:szCs w:val="20"/>
          <w:color w:val="auto"/>
        </w:rPr>
      </w:pPr>
      <w:r>
        <w:rPr>
          <w:rFonts w:ascii="Arial" w:cs="Arial" w:eastAsia="Arial" w:hAnsi="Arial"/>
          <w:sz w:val="16"/>
          <w:szCs w:val="16"/>
          <w:color w:val="auto"/>
        </w:rPr>
        <w:t>See Note 1, “Description of the Business and Summary of Significant Accounting Policies” and Note 9, “Stockholders’ Equity” to our condensed consolidated financial statements included elsewhere in this Quarterly Report on Form 10-Q for more information regarding our equity awards.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Judgments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significant judgments as compared to the critical accounting policies and estimates disclosed in the Prospectus.</w:t>
      </w:r>
    </w:p>
    <w:p>
      <w:pPr>
        <w:spacing w:after="0" w:line="200" w:lineRule="exact"/>
        <w:rPr>
          <w:sz w:val="20"/>
          <w:szCs w:val="20"/>
          <w:color w:val="auto"/>
        </w:rPr>
      </w:pPr>
    </w:p>
    <w:p>
      <w:pPr>
        <w:spacing w:after="0" w:line="34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240" w:top="121" w:right="5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See Note 1, “Description of the Business and Summary of Significant Accounting Policies” to our condensed consolidated financial statements included elsewhere in this Quarterly Report on Form 10-Q for recently adopted accounting pronouncements and recently issued accounting pronouncements not yet adopted as of the date of this Quarterly Report on Form 10-Q.</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1"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4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had cash and cash equivalents of $504.1 million and short-term investments of $477.7 million as of June 30, 2018. We hold our cash and cash equivalents and short-term investments for working capital purposes. Our cash, cash equivalents, and short-term investments consist primarily of cash, money market funds, U.S. treasury securities, corporate notes and obligations, U.S. agency obligations, commercial paper, and certificates of deposits. The primary objectives of our investment activities are the preservation of capital, the fulfillment of liquidity needs, and the control of cash and investments. We do not enter into investments for trading or speculative purposes. Due to the short-term nature of these instruments, we believe that we do not have any material exposure to changes in the fair value of our investment portfolio as a result of changes in interest rates. Decreases in interest rates, however, would reduce future interest income.</w:t>
      </w:r>
    </w:p>
    <w:p>
      <w:pPr>
        <w:spacing w:after="0" w:line="108"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Any borrowings under the revolving credit facility bear interest at a variable rate tied to the prime rate or the LIBOR rate. As of June 30, 2018, we had no amounts outstanding under the revolving credit facility. We do not have any other long-term debt or financial liabilities with floating interest rates that would subject us to interest rate fluctuations.</w:t>
      </w:r>
    </w:p>
    <w:p>
      <w:pPr>
        <w:spacing w:after="0" w:line="10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As of June 30, 2018, a hypothetical change in interest rates by 100 basis points would not have a significant impact on our cash and cash equivalents or the fair value of our investment portfolio.</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4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relative to U.S. dollars, our reporting currency. Our revenue is generated in U.S. dollars, euros, British pounds sterling, Australian dollars, Canadian dollars, and Japanese yen. 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 As exchange rates may fluctuate significantly between periods, revenue and operating expenses, when converted into U.S. dollars, may also experience significant fluctuations between periods.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In the six months ended June 30, 2018, 30%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spacing w:after="0" w:line="99"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We recorded $0.4 million in net foreign currency transaction losses in the six months ended June 30, 2018 and $4.0 million in net foreign currency transaction gains in the six months ended June 30, 2017. A hypothetical 10% change in foreign currency rates would not have resulted in material gains or losses for the six months ended June 30, 2018 and 2017.</w:t>
      </w:r>
    </w:p>
    <w:p>
      <w:pPr>
        <w:spacing w:after="0" w:line="100"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To date, we have not engaged in any hedging activities. As our international operations grow, we will continue to reassess our approach to managing risks relating to fluctuations in currency rates.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Inflation risk</w:t>
      </w:r>
    </w:p>
    <w:p>
      <w:pPr>
        <w:spacing w:after="0" w:line="144"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40" w:firstLine="405"/>
        <w:spacing w:after="0" w:line="302"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 at a reasonable assurance level.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520" w:firstLine="405"/>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13a-15(d) and 15d-15(d) under the Exchange Act) that occurred during the period covered by this Quarterly Report on Form 10-Q that has materially affected, or is reasonably likely to materially affect, our internal control over financial reporting.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Disclosure Controls and Procedures</w:t>
      </w:r>
    </w:p>
    <w:p>
      <w:pPr>
        <w:spacing w:after="0" w:line="229"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121"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 OTHER INFORMATION</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are currently involved in, and may in the future be involved in, legal proceedings, claims, and government investigations in the ordinary course of business, including legal proceedings with third parties asserting infringement of their intellectual property rights. For example, in April 2015, Synchronoss Technologies, Inc., a public company that provides cloud-based products, filed a patent infringement lawsuit against us in the United States District Court for the District of New Jersey, claiming three counts of patent infringement and seeking injunctive relief. The case was subsequently transferred to the United States District Court for the Northern District of California. We do not currently believe that this matter is likely to have a material adverse impact on our consolidated results of operations, cash flows, or our financial position. We intend to vigorously defend this lawsuit, and believe we have valid defenses to the claims. However, any litigation is inherently uncertain, and any judgment or injunctive relief entered against us or any adverse settlement could materially and adversely impact our business, results of operations, financial condition, and prospects.</w:t>
      </w:r>
    </w:p>
    <w:p>
      <w:pPr>
        <w:spacing w:after="0" w:line="98" w:lineRule="exact"/>
        <w:rPr>
          <w:sz w:val="20"/>
          <w:szCs w:val="20"/>
          <w:color w:val="auto"/>
        </w:rPr>
      </w:pPr>
    </w:p>
    <w:p>
      <w:pPr>
        <w:jc w:val="both"/>
        <w:ind w:right="140" w:firstLine="405"/>
        <w:spacing w:after="0" w:line="312" w:lineRule="auto"/>
        <w:rPr>
          <w:sz w:val="20"/>
          <w:szCs w:val="20"/>
          <w:color w:val="auto"/>
        </w:rPr>
      </w:pPr>
      <w:r>
        <w:rPr>
          <w:rFonts w:ascii="Arial" w:cs="Arial" w:eastAsia="Arial" w:hAnsi="Arial"/>
          <w:sz w:val="16"/>
          <w:szCs w:val="16"/>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1"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19"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Investing in our Class A common stock involves a high degree of risk. In addition to the other information set forth in this Quarterly Report, you should carefully consider the risks and uncertainties described below, together with all of the other information in this Quarterly Report on Form 10-Q, including the section titled “Management’s Discussion and Analysis of Financial Condition and Results of Operations” and our unaudited condensed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business depends on our ability to retain and upgrade paying users, and any decline in renewals or upgrades could adversely affect our future results of operations.</w:t>
      </w:r>
    </w:p>
    <w:p>
      <w:pPr>
        <w:spacing w:after="0" w:line="170"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Our business depends upon our ability to maintain and expand our relationships with our users. Our business is subscription 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of subscriptions to our platform may decline or fluctuate because of several factors, such as dissatisfaction with our products and support, a user no longer having a need for our products, or the perception that competitive products provide better or less expensive options. In addition, some paying users downgrade or do not renew their subscriptions.</w:t>
      </w:r>
    </w:p>
    <w:p>
      <w:pPr>
        <w:spacing w:after="0" w:line="15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encourage paying users to upgrade to our premium offerings by recommending additional features and through in-product prompts and notifications. Additionally, we seek to expand within organizations through viral means by adding new users, having workplaces purchase additional products, or expanding the use of Dropbox into other departments within a workplace. We often see enterprise IT decision-makers deciding to adopt Dropbox after noticing substantial organic adoption by individuals and teams within the organization. If our paying users fail to renew or cancel their subscriptions, or if we fail to upgrade our paying users to premium offerings or expand within organizations, our business, results of operations, and financial condition may be harmed.</w:t>
      </w:r>
    </w:p>
    <w:p>
      <w:pPr>
        <w:spacing w:after="0" w:line="193" w:lineRule="exact"/>
        <w:rPr>
          <w:sz w:val="20"/>
          <w:szCs w:val="20"/>
          <w:color w:val="auto"/>
        </w:rPr>
      </w:pPr>
    </w:p>
    <w:p>
      <w:pPr>
        <w:ind w:right="360" w:firstLine="405"/>
        <w:spacing w:after="0" w:line="286" w:lineRule="auto"/>
        <w:rPr>
          <w:sz w:val="20"/>
          <w:szCs w:val="20"/>
          <w:color w:val="auto"/>
        </w:rPr>
      </w:pPr>
      <w:r>
        <w:rPr>
          <w:rFonts w:ascii="Arial" w:cs="Arial" w:eastAsia="Arial" w:hAnsi="Arial"/>
          <w:sz w:val="17"/>
          <w:szCs w:val="17"/>
          <w:color w:val="auto"/>
        </w:rPr>
        <w:t>Although it is important to our business that our users renew their subscriptions after their existing subscriptions expire and that we expand our commercial relationships with our users, given the volume of our users, we do not track the retention rates of our individual users. As a result, we may be unable to address any retention issues with specific users in a timely manner, which could harm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growth could be harmed if we fail to attract new users or convert registered users to paying users.</w:t>
      </w:r>
    </w:p>
    <w:p>
      <w:pPr>
        <w:spacing w:after="0" w:line="225" w:lineRule="exact"/>
        <w:rPr>
          <w:sz w:val="20"/>
          <w:szCs w:val="20"/>
          <w:color w:val="auto"/>
        </w:rPr>
      </w:pPr>
    </w:p>
    <w:p>
      <w:pPr>
        <w:ind w:right="280" w:firstLine="405"/>
        <w:spacing w:after="0" w:line="286" w:lineRule="auto"/>
        <w:rPr>
          <w:sz w:val="20"/>
          <w:szCs w:val="20"/>
          <w:color w:val="auto"/>
        </w:rPr>
      </w:pPr>
      <w:r>
        <w:rPr>
          <w:rFonts w:ascii="Arial" w:cs="Arial" w:eastAsia="Arial" w:hAnsi="Arial"/>
          <w:sz w:val="17"/>
          <w:szCs w:val="17"/>
          <w:color w:val="auto"/>
        </w:rPr>
        <w:t>We must continually add new users to grow our business beyond our current user base and to replace users who choose not to continue to use our platform. Historically, our revenue has been driven by our self-serve model, and we generate more than 90% of our revenue from self-serve channels. Any decrease in user satisfaction with our products or support could harm our brand, word-of-mouth referrals, and ability to grow.</w:t>
      </w:r>
    </w:p>
    <w:p>
      <w:pPr>
        <w:spacing w:after="0" w:line="166"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June 30, 2018, we served over 500 million registered users but only 11.9 million paying users. The actual number of unique users is lower than we report as one person may register more than once for our platform. As a result, we have fewer unique registered users that we may be able to convert to paying users. A majority of our registered users may never convert to a paid subscription to our platform.</w:t>
      </w:r>
    </w:p>
    <w:p>
      <w:pPr>
        <w:spacing w:after="0" w:line="173" w:lineRule="exact"/>
        <w:rPr>
          <w:sz w:val="20"/>
          <w:szCs w:val="20"/>
          <w:color w:val="auto"/>
        </w:rPr>
      </w:pPr>
    </w:p>
    <w:p>
      <w:pPr>
        <w:jc w:val="both"/>
        <w:ind w:right="140" w:firstLine="405"/>
        <w:spacing w:after="0" w:line="286" w:lineRule="auto"/>
        <w:rPr>
          <w:sz w:val="20"/>
          <w:szCs w:val="20"/>
          <w:color w:val="auto"/>
        </w:rPr>
      </w:pPr>
      <w:r>
        <w:rPr>
          <w:rFonts w:ascii="Arial" w:cs="Arial" w:eastAsia="Arial" w:hAnsi="Arial"/>
          <w:sz w:val="17"/>
          <w:szCs w:val="17"/>
          <w:color w:val="auto"/>
        </w:rPr>
        <w:t>In addition, our user growth rate may slow in the future as our market penetration rates increase and we turn our focus to converting registered users to paying users rather than growing the total number of registered users. If we are not able to continue to expand our user base or fail to convert our registered users to paying users, demand for our paid services and our revenue may grow more slowly than expected or decline.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growth rate has declined in recent periods and may continue to slow in the future.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280" w:firstLine="405"/>
        <w:spacing w:after="0" w:line="255" w:lineRule="auto"/>
        <w:rPr>
          <w:sz w:val="20"/>
          <w:szCs w:val="20"/>
          <w:color w:val="auto"/>
        </w:rPr>
      </w:pPr>
      <w:r>
        <w:rPr>
          <w:rFonts w:ascii="Arial" w:cs="Arial" w:eastAsia="Arial" w:hAnsi="Arial"/>
          <w:sz w:val="18"/>
          <w:szCs w:val="18"/>
          <w:color w:val="auto"/>
        </w:rPr>
        <w:t>We have experienced significant revenue growth in prior periods. However, our rates of revenue growth are slowing and may continue to slow in the future. Many factors may contribute to declines in our growth rates, including higher market penetration, increased competition, slowing demand for our platform, a decrease in the growth of the overall content collaboration market, a failure by us to continue capitalizing on growth opportunities, and the maturation of our business, among others. You should not rely on the revenue growth of any prior quarterly or annual period as an indication of our future performance. If our growth rates decline, investors’ perceptions of our business and the trading price of our Class A common stock could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net losses, we anticipate increasing expenses in the future, and we may not be able to achieve or maintain profitability.</w:t>
      </w:r>
    </w:p>
    <w:p>
      <w:pPr>
        <w:spacing w:after="0" w:line="237"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have incurred net losses on an annual basis since our inception. We incurred net losses of $325.9 million, $210.2 million, and $111.7 million in 2015, 2016, and 2017, respectively, and we had an accumulated deficit of $1,049.7 million as of December 31, 2017. As we strive to grow our business, we expect expenses to increase in the near term, particularly as we continue to make investments to scale our business. For example, we will need an increasing amount of technical infrastructure to continue to satisfy the needs of our user base. We also expect our research and development expenses to increase as we plan to continue to hire employees for our engineering, product, and design teams to support these efforts. In addition, we will incur additional rent expense in connection with our move to our new corporate headquarters, and additional general and administrative expenses to support both our growth as well as our transition to being a publicly traded company. These investments may not result in increased revenue or growth in our business. We may encounter unforeseen or unpredictable factors, including unforeseen operating expenses, complications, or delays, which may result in increased costs. Furthermore, it is difficult to predict the size and growth rate of our market, user demand for our platform, user adoption and renewal of our platform,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results of operations and financial condition would be adversely affected.</w:t>
      </w:r>
    </w:p>
    <w:p>
      <w:pPr>
        <w:spacing w:after="0" w:line="18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business could be damaged, and we could be subject to liability if there is any unauthorized access to our data or our users’ content, including through privacy and data security breaches.</w:t>
      </w:r>
    </w:p>
    <w:p>
      <w:pPr>
        <w:spacing w:after="0" w:line="170"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The use of our platform involves the transmission, storage, and processing of user content, some of which may be considered personally identifiable, confidential, or sensitive. We face security threats from malicious third parties that could obtain unauthorized access to our systems and networks. We anticipate that these threats will continue to grow in scope and complexity over time. For example, in 2016, we learned that an old set of Dropbox user credentials for approximately 68 million accounts was released. These credentials consisted of email addresses and passwords protected by cryptographic techniques known as hashing and salting. Hashing and salting can make it more difficult to obtain the original password, but may not fully protect the original password from being obtained. We believe these Dropbox user credentials were obtained in 2012 and related to a security incident we disclosed to users. In response, we notified all existing users we believed to be affected and completed a password reset for anyone who had not updated their password since mid-2012. We have responded to this event by expanding our security team and data monitoring capabilities and continuing to work on features such as two-factor authentication to increase protection of user information. While we believe our corrective actions will reduce the likelihood of similar incidents occurring in the future, third parties might use techniques that we are unable to defend against to compromise and infiltrate our systems and networks. We may fail to detect the existence of a breach of user content and be unable to prevent unauthorized access to user and company content. The techniques used to obtain unauthorized access, disable or degrade service, or sabotage systems change frequently and are often not recognized until launched against a target. They may originate from less regulated or remote areas around the world, or from state-sponsored actors. If our security measures are breached, or our users’ content is otherwise accessed through unauthorized means, or if any such actions are believed to occur, our platform may be perceived as insecure, and we may lose existing users or fail to attract and retain new users.</w:t>
      </w:r>
    </w:p>
    <w:p>
      <w:pPr>
        <w:spacing w:after="0" w:line="16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w:t>
      </w:r>
    </w:p>
    <w:p>
      <w:pPr>
        <w:spacing w:after="0" w:line="18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In addition, certain developers or other partners who create applications that integrate with our platform, may receive or store information provided by us or by our users through these applications. If these third parties or developers fail to adopt or adhere to adequate data security practices, or in the event of a breach of their networks, our data or our users' data may be improperly accessed, used, or disclosed.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1"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Third parties may attempt to compromise our employees and their privileged access into internal systems to gain access to accounts, our information, our networks, or our systems. Employee error, malfeasance, or other errors in the storage, use, or transmission of personal information could result in an actual or perceived breach of user privacy. Our users may also disclose or lose control of their passwords, or use the same or similar passwords on third parties’ systems, which could lead to unauthorized access to their accounts on our platform.</w:t>
      </w:r>
    </w:p>
    <w:p>
      <w:pPr>
        <w:spacing w:after="0" w:line="187"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Any unauthorized or inadvertent access to, or an actual or perceived security breach of, our systems or networks could result in an actual or perceived loss of, or unauthorized access to, our data or our users’ content,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 profile security breach occurs with respect to another content collaboration solutions provider, our users and potential users could lose trust in the security of content collaboration solutions providers generally, which could adversely impact our ability to retain users or attract new ones.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by any significant disruption of service on our platform or loss of content.</w:t>
      </w:r>
    </w:p>
    <w:p>
      <w:pPr>
        <w:spacing w:after="0" w:line="225"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If our platform is unavailable when users attempt to access it, or if it does not load as quickly as they expect, users may not use our platform as often in the future, or at all.</w:t>
      </w:r>
    </w:p>
    <w:p>
      <w:pPr>
        <w:spacing w:after="0" w:line="17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As our user base and the amount and types of information stored, synced, and shared on our platform continues to grow, we will need an increasing amount of technical infrastructure, including network capacity and computing power, to continue to satisfy the needs of our users. During 2015 and 2016, we migrated the vast majority of user content to our own custom-built infrastructure in co-location facilities that we directly lease and operate. As we add to our infrastructure, we may move or transfer additional content.</w:t>
      </w:r>
    </w:p>
    <w:p>
      <w:pPr>
        <w:spacing w:after="0" w:line="18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Further, as we continue to grow and scale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 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w:t>
      </w:r>
    </w:p>
    <w:p>
      <w:pPr>
        <w:spacing w:after="0" w:line="189"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In addition, the datacenters that we use are vulnerable to damage or interruption from human error, intentional bad acts,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1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generate revenue from sales of subscriptions to our platform, and any decline in demand for our platform or for content collaboration solutions in general could negatively impact our business.</w:t>
      </w:r>
    </w:p>
    <w:p>
      <w:pPr>
        <w:spacing w:after="0" w:line="170" w:lineRule="exact"/>
        <w:rPr>
          <w:sz w:val="20"/>
          <w:szCs w:val="20"/>
          <w:color w:val="auto"/>
        </w:rPr>
      </w:pPr>
    </w:p>
    <w:p>
      <w:pPr>
        <w:jc w:val="both"/>
        <w:ind w:right="100" w:firstLine="405"/>
        <w:spacing w:after="0" w:line="286" w:lineRule="auto"/>
        <w:rPr>
          <w:sz w:val="20"/>
          <w:szCs w:val="20"/>
          <w:color w:val="auto"/>
        </w:rPr>
      </w:pPr>
      <w:r>
        <w:rPr>
          <w:rFonts w:ascii="Arial" w:cs="Arial" w:eastAsia="Arial" w:hAnsi="Arial"/>
          <w:sz w:val="17"/>
          <w:szCs w:val="17"/>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demand for our platform could be negatively affected.</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121"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181"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awareness of the content collaboration category generally;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support;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pricing.</w:t>
      </w:r>
    </w:p>
    <w:p>
      <w:pPr>
        <w:spacing w:after="0" w:line="225"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depends upon the interoperability of our platform across devices, operating systems, and third-party applications that we do not control.</w:t>
      </w:r>
    </w:p>
    <w:p>
      <w:pPr>
        <w:spacing w:after="0" w:line="26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IBM, Cisco, VMware, Okta, Symantec, Palo Alto Networks, and a variety of other productivity, collaboration, data management, and security vendors. We are dependent on the accessibility of our platform across these third-party operating systems and applications that we do not control.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19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competitive markets, and we must continue to compete effectively.</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market for content collaboration platforms is competitive and rapidly changing. Certain features of our platform compete in the cloud storage market with products offered by Amazon, Apple, Google, and Microsoft, and in the content collaboration market with products offered by Atlassian, Google, and Microsoft. We compete with Box on a more limited basis in the cloud storage market for deployments by large enterprises. We also compete with smaller private companies that offer</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121"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point solutions in the cloud storage market or the content collaboration market. We believe the principal competitive factors in our markets include the following:</w:t>
      </w:r>
    </w:p>
    <w:p>
      <w:pPr>
        <w:spacing w:after="0" w:line="170"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user-centric design;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scale of user network;</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accessibility across several devices, operating system, and applications;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integration;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continued innovation;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pricing.</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With the introduction of new technologies and market entrants, we expect competition to intensify in the future. Many of our actual and potential competitors benefit from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178"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Demand for our platform is also sensitive to price.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 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respond to rapid technological changes, extend our platform, or develop new features.</w:t>
      </w:r>
    </w:p>
    <w:p>
      <w:pPr>
        <w:spacing w:after="0" w:line="225"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and interoperate across an increasing range of devices, operating systems, and third-party applications. Users may require features and capabilities that our current platform does not have. We invest significantly in research and development, and our goal is to focus our spending on measures that improve quality and ease of adoption and create organic user demand for our platform. For example, we recently released Smart Sync, a new advanced productivity feature, to add additional functionality to our platform, and introduced Paper, a new collaborative product experience, in 2017. There is no assurance that our enhancements to our platform or our new product experiences, features, or capabilities will be compelling to our users or gain market acceptance. If our research and development investments do not accurately anticipate user demand, or if we fail to develop our platform in a manner that satisfies user preferences in a timely and cost-effective manner, we may fail to retain our existing users or increase demand for our platform.</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1"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productivity features to our platform, such as Smart Sync,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manage our growth or plan for future growth.</w:t>
      </w:r>
    </w:p>
    <w:p>
      <w:pPr>
        <w:spacing w:after="0" w:line="22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Since our founding in 2007, we have experienced rapid growth. For example, our headcount has grown from 1,446 employees as of December 31, 2015, to 1,858 employees as of December 31, 2017, with employees located both in the United States and internationally. The growth and expansion of our business places a continuous significant strain on our management, operational, and financial resources. Further growth of our operations to support our user base or our expanding third-party relationships, our information technology systems, and our internal controls and procedures may not be adequate to support our operations. In addition, as we continue to grow, we face challenges of integrating, developing, and motivating a rapidly growing employee base in various countries around the world. Certain members of our management have not previously worked together for an extended period of time and some do not have experience managing a public company, which may affect how they manage our growth. Managing our growth will also require significant expenditures and allocation of valuable management resources.</w:t>
      </w:r>
    </w:p>
    <w:p>
      <w:pPr>
        <w:spacing w:after="0" w:line="17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results of operations, and financial condition could be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lack of a significant outbound sales force may limit the potential growth of our business.</w:t>
      </w:r>
    </w:p>
    <w:p>
      <w:pPr>
        <w:spacing w:after="0" w:line="225"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Although we believe our business model can continue to scale without a large outbound sales force,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expand sales to large organizations, which could lengthen sales cycles and result in greater deployment challenges.</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As a result, sales to large organizations may lead to greater unpredictability in our business, results of operations, and financial condition.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1"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offer high-quality customer support may harm our relationships with our users and our financial results.</w:t>
      </w:r>
    </w:p>
    <w:p>
      <w:pPr>
        <w:spacing w:after="0" w:line="22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Paying users receive additional customer support features and the number of our paying users has grown significantly, which will put additional pressure on our support organization. For example, the number of paying users has grown from 6.5 million as of December 31, 2015, to 11.9 million as of June 30, 2018.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193" w:lineRule="exact"/>
        <w:rPr>
          <w:sz w:val="20"/>
          <w:szCs w:val="20"/>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retain and upgrade paying users;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attract new paying users and convert registered to paying users;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expenses and recognition of revenue;</w:t>
      </w:r>
    </w:p>
    <w:p>
      <w:pPr>
        <w:spacing w:after="0" w:line="225" w:lineRule="exact"/>
        <w:rPr>
          <w:rFonts w:ascii="Arial" w:cs="Arial" w:eastAsia="Arial" w:hAnsi="Arial"/>
          <w:sz w:val="18"/>
          <w:szCs w:val="18"/>
          <w:color w:val="auto"/>
        </w:rPr>
      </w:pPr>
    </w:p>
    <w:p>
      <w:pPr>
        <w:ind w:left="1300" w:right="240" w:hanging="320"/>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 as well as entry into operating and capital leases;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expenses related to acquisitions;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large indemnification payments to our users or other third parties;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success of new product feature and service introductions by us or our competitors;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network outages or actual or perceived security breaches;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 including consolidation among competitors;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results of operations may not immediately reflect downturns or upturns in sales because we recognize revenue from our users over the term of their subscriptions with us.</w:t>
      </w:r>
    </w:p>
    <w:p>
      <w:pPr>
        <w:spacing w:after="0" w:line="170"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121"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170"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We depend on the continued service and performance of our key personnel. In particular, Andrew W. Houston, our President and Chief Executive Officer and one of our co-founders, is critical to our vision, strategic direction, culture, and offerings. Some of our other key personnel have recently joined us and are still being integrated into our company. We may continue to make changes to our management team, which could make it difficult to execute on our business plans and strategies. New hires also require significant training and, in most cases, take significant time before they achieve full productivity. Our failure to successfully integrate these key personnel into our business could adversely affect our business.</w:t>
      </w:r>
    </w:p>
    <w:p>
      <w:pPr>
        <w:spacing w:after="0" w:line="173"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We do not have long-term employment agreements with any of our officers or key personnel.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w:t>
      </w:r>
    </w:p>
    <w:p>
      <w:pPr>
        <w:spacing w:after="0" w:line="14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To execute our growth plan, we must attract and retain highly qualified personnel. Competition for these employees is intense, particularly in the San Francisco Bay Area where our headquarters are located, and we may not be successful in attracting and retaining qualified personnel. We have from time to time in the past experienced, and we expect to continue to experience, difficulty in hiring and retaining highly skilled employees with appropriate qualifications.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If we fail to attract new personnel, or fail to retain and motivate our current personnel, our business and growth prospects could be harmed.</w:t>
      </w:r>
    </w:p>
    <w:p>
      <w:pPr>
        <w:spacing w:after="0" w:line="178" w:lineRule="exact"/>
        <w:rPr>
          <w:sz w:val="20"/>
          <w:szCs w:val="20"/>
          <w:color w:val="auto"/>
        </w:rPr>
      </w:pPr>
    </w:p>
    <w:p>
      <w:pPr>
        <w:jc w:val="both"/>
        <w:ind w:right="700" w:firstLine="405"/>
        <w:spacing w:after="0" w:line="264" w:lineRule="auto"/>
        <w:rPr>
          <w:sz w:val="20"/>
          <w:szCs w:val="20"/>
          <w:color w:val="auto"/>
        </w:rPr>
      </w:pPr>
      <w:r>
        <w:rPr>
          <w:rFonts w:ascii="Arial" w:cs="Arial" w:eastAsia="Arial" w:hAnsi="Arial"/>
          <w:sz w:val="18"/>
          <w:szCs w:val="18"/>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and large numbers of employees could significantly and adversely impact our culture.</w:t>
      </w:r>
    </w:p>
    <w:p>
      <w:pPr>
        <w:spacing w:after="0" w:line="18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users will be impaired and our business, results of operations, and financial condition will be harmed.</w:t>
      </w:r>
    </w:p>
    <w:p>
      <w:pPr>
        <w:spacing w:after="0" w:line="170"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or if we incur excessive expenses in this effort, our business, results of operations, and financial condition will be materially and adversely affected.</w:t>
      </w:r>
    </w:p>
    <w:p>
      <w:pPr>
        <w:spacing w:after="0" w:line="1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are continuing to expand our operations outside the United States, where we may be subject to increased business and economic risks that could impact our results of operations.</w:t>
      </w:r>
    </w:p>
    <w:p>
      <w:pPr>
        <w:spacing w:after="0" w:line="170" w:lineRule="exact"/>
        <w:rPr>
          <w:sz w:val="20"/>
          <w:szCs w:val="20"/>
          <w:color w:val="auto"/>
        </w:rPr>
      </w:pPr>
    </w:p>
    <w:p>
      <w:pPr>
        <w:ind w:right="320" w:firstLine="405"/>
        <w:spacing w:after="0" w:line="293" w:lineRule="auto"/>
        <w:rPr>
          <w:sz w:val="20"/>
          <w:szCs w:val="20"/>
          <w:color w:val="auto"/>
        </w:rPr>
      </w:pPr>
      <w:r>
        <w:rPr>
          <w:rFonts w:ascii="Arial" w:cs="Arial" w:eastAsia="Arial" w:hAnsi="Arial"/>
          <w:sz w:val="16"/>
          <w:szCs w:val="16"/>
          <w:color w:val="auto"/>
        </w:rPr>
        <w:t>We have paying users across 180 countries and approximately half of our revenue in the year ended December 31, 2017 was generated from paying users outside the United States. We expect to continue to expand our international operations, which may include opening offices in new jurisdictions and providing our platform in additional languages. Any new markets or countries into which we attempt to sell subscriptions to our platform may not be receptive. For example, we may not be able to expand further in some markets if we are not 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1"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multiple languages, cultures, customs, legal and regulatory systems, alternative dispute systems, and commercial markets. International expansion has required, and will continue to require, investment of significant funds and other resources. Operating internationally subjects us to new risks and may increase risks that we currently face, including risks associated with:</w:t>
      </w:r>
    </w:p>
    <w:p>
      <w:pPr>
        <w:spacing w:after="0" w:line="181" w:lineRule="exact"/>
        <w:rPr>
          <w:sz w:val="20"/>
          <w:szCs w:val="20"/>
          <w:color w:val="auto"/>
        </w:rPr>
      </w:pPr>
    </w:p>
    <w:p>
      <w:pPr>
        <w:ind w:left="1300" w:right="26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recruiting and retaining talented and capable employees outside the United States, and maintaining our company culture across all of our offices;</w:t>
      </w:r>
    </w:p>
    <w:p>
      <w:pPr>
        <w:spacing w:after="0" w:line="170" w:lineRule="exact"/>
        <w:rPr>
          <w:rFonts w:ascii="Arial" w:cs="Arial" w:eastAsia="Arial" w:hAnsi="Arial"/>
          <w:sz w:val="18"/>
          <w:szCs w:val="18"/>
          <w:color w:val="auto"/>
        </w:rPr>
      </w:pPr>
    </w:p>
    <w:p>
      <w:pPr>
        <w:ind w:left="1300" w:right="480" w:hanging="320"/>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181" w:lineRule="exact"/>
        <w:rPr>
          <w:rFonts w:ascii="Arial" w:cs="Arial" w:eastAsia="Arial" w:hAnsi="Arial"/>
          <w:sz w:val="18"/>
          <w:szCs w:val="18"/>
          <w:color w:val="auto"/>
        </w:rPr>
      </w:pPr>
    </w:p>
    <w:p>
      <w:pPr>
        <w:ind w:left="1300" w:right="200" w:hanging="320"/>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applicable international laws and regulations, including laws and regulations with respect to privacy, data protection, consumer protection, and unsolicited email, and the risk of penalties to our users and individual members of management or employees if our practices are deemed to be out of compliance;</w:t>
      </w:r>
    </w:p>
    <w:p>
      <w:pPr>
        <w:spacing w:after="0" w:line="181" w:lineRule="exact"/>
        <w:rPr>
          <w:rFonts w:ascii="Arial" w:cs="Arial" w:eastAsia="Arial" w:hAnsi="Arial"/>
          <w:sz w:val="18"/>
          <w:szCs w:val="18"/>
          <w:color w:val="auto"/>
        </w:rPr>
      </w:pPr>
    </w:p>
    <w:p>
      <w:pPr>
        <w:ind w:left="1300" w:right="32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management of an employee base in jurisdictions that may not give us the same employment and retention flexibility as does the United States;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to the same extent as does the United States;</w:t>
      </w:r>
    </w:p>
    <w:p>
      <w:pPr>
        <w:spacing w:after="0" w:line="225" w:lineRule="exact"/>
        <w:rPr>
          <w:rFonts w:ascii="Arial" w:cs="Arial" w:eastAsia="Arial" w:hAnsi="Arial"/>
          <w:sz w:val="18"/>
          <w:szCs w:val="18"/>
          <w:color w:val="auto"/>
        </w:rPr>
      </w:pPr>
    </w:p>
    <w:p>
      <w:pPr>
        <w:ind w:left="1300" w:right="460" w:hanging="320"/>
        <w:spacing w:after="0" w:line="308"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146" w:lineRule="exact"/>
        <w:rPr>
          <w:rFonts w:ascii="Arial" w:cs="Arial" w:eastAsia="Arial" w:hAnsi="Arial"/>
          <w:sz w:val="17"/>
          <w:szCs w:val="17"/>
          <w:color w:val="auto"/>
        </w:rPr>
      </w:pPr>
    </w:p>
    <w:p>
      <w:pPr>
        <w:ind w:left="130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25"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170" w:lineRule="exact"/>
        <w:rPr>
          <w:rFonts w:ascii="Arial" w:cs="Arial" w:eastAsia="Arial" w:hAnsi="Arial"/>
          <w:sz w:val="18"/>
          <w:szCs w:val="18"/>
          <w:color w:val="auto"/>
        </w:rPr>
      </w:pPr>
    </w:p>
    <w:p>
      <w:pPr>
        <w:ind w:left="1300" w:right="20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income and other tax laws of the United States or the international jurisdictions in which we operate;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higher costs of doing business internationally, including increased accounting, travel, infrastructure, and legal compliance costs.</w:t>
      </w:r>
    </w:p>
    <w:p>
      <w:pPr>
        <w:spacing w:after="0" w:line="23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Compliance with laws and regulations applicable to our global operations substantially increases our cost of doing business in international jurisdictions. We may be unable to keep current with changes in laws and regulations as they change.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comply with these laws and regulations or manage the complexity of our global operations successfully, our business, results of operations, and financial condition could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results of operations, which are reported in U.S. dollars, could be adversely affected if currency exchange rates fluctuate substantially in the future.</w:t>
      </w:r>
    </w:p>
    <w:p>
      <w:pPr>
        <w:spacing w:after="0" w:line="260"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We conduct our business across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In 2017, 29%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gross margins. Our results of operations are primarily subject to fluctuations in the euro and British pound sterling. Because we conduct business in currencies other than U.S. dollars, but report our results of operations in U.S. dollars, we also face remeasurement exposure to fluctuations in currency exchange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rates, which could hinder our ability to predict our future results and earnings and could materially impact our results of operations. We do not currently maintain a program to hedge exposures to non-U.S. dollar currencies.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170"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15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Our third-party datacenter operators could decide to close their facilities or cease providing services without adequate notice. In addition, any financial difficulties, such as bankruptcy, faced by our third-party datacenters operators or any of the service providers with whom we or they contract may have negative effects on our business, the nature and extent of which are difficult to predict.</w:t>
      </w:r>
    </w:p>
    <w:p>
      <w:pPr>
        <w:spacing w:after="0" w:line="178"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relationships with third parties to provide, develop, and create applications that integrate with our platform, and our business could be harmed if we are not able to continue these relationships.</w:t>
      </w:r>
    </w:p>
    <w:p>
      <w:pPr>
        <w:spacing w:after="0" w:line="170"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We use software and services licensed and procured from third parties to develop and offer our platform. We may need to obtain future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178" w:lineRule="exact"/>
        <w:rPr>
          <w:sz w:val="20"/>
          <w:szCs w:val="20"/>
          <w:color w:val="auto"/>
        </w:rPr>
      </w:pPr>
    </w:p>
    <w:p>
      <w:pPr>
        <w:ind w:right="220" w:firstLine="405"/>
        <w:spacing w:after="0" w:line="255" w:lineRule="auto"/>
        <w:rPr>
          <w:sz w:val="20"/>
          <w:szCs w:val="20"/>
          <w:color w:val="auto"/>
        </w:rPr>
      </w:pPr>
      <w:r>
        <w:rPr>
          <w:rFonts w:ascii="Arial" w:cs="Arial" w:eastAsia="Arial" w:hAnsi="Arial"/>
          <w:sz w:val="18"/>
          <w:szCs w:val="18"/>
          <w:color w:val="auto"/>
        </w:rPr>
        <w:t>We also depend on our ecosystem of developers to create applications that will integrate with our platform. As of December 31, 2017, Dropbox was receiving over 50 billion API calls per month, and more than 500,000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 We may not have the ability to control or prevent these risks. As a result, issues relating to these applications could adversely affect our business, brand, and reputation.</w:t>
      </w:r>
    </w:p>
    <w:p>
      <w:pPr>
        <w:spacing w:after="0" w:line="193"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101"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we do not regularly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spacing w:after="0" w:line="181" w:lineRule="exact"/>
        <w:rPr>
          <w:sz w:val="20"/>
          <w:szCs w:val="20"/>
          <w:color w:val="auto"/>
        </w:rPr>
      </w:pPr>
    </w:p>
    <w:p>
      <w:pPr>
        <w:jc w:val="both"/>
        <w:ind w:right="280" w:firstLine="405"/>
        <w:spacing w:after="0" w:line="286" w:lineRule="auto"/>
        <w:rPr>
          <w:sz w:val="20"/>
          <w:szCs w:val="20"/>
          <w:color w:val="auto"/>
        </w:rPr>
      </w:pPr>
      <w:r>
        <w:rPr>
          <w:rFonts w:ascii="Arial" w:cs="Arial" w:eastAsia="Arial" w:hAnsi="Arial"/>
          <w:sz w:val="16"/>
          <w:szCs w:val="16"/>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 to time in the future become the subject of inquiries and other actions by regulatory authorities as a result of our business practices, including our subscription, billing, and auto-renewal policies.</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spacing w:after="0" w:line="184"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147"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We are also subject to various U.S. and international anti-corruption laws, such as the U.S. Foreign Corrupt Practices Act and the U.K. Bribery Act,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170"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cannot guarantee that the precautions we take will prevent violations of export control and sanctions laws. For example, in 2011, we provided certain downloadable portions of our software to international users that, prior to export, required either a one-time product review or application for an encryption registration number in lieu of such product review. These exports were likely made in violation of U.S. export control and sanction laws. In March 2011, we filed a Final Voluntary Self Disclosure with the U.S. Department of Commerce’s Bureau of Industry and Security, or BIS, concerning these potential violations. In June 2012, BIS notified us that it had completed its review of these matters and closed its review with the issuance of a Warning Letter. No monetary penalties were assessed against us by BIS with respect to the 2011 filing. In addition, in 2017, we discovered that our platform has been accessed by certain users in apparent violation of United States sanctions regulations. We filed an Initial Voluntary Self Disclosure in October 2017 with the Office of Foreign Assets Control, or OFAC, and a Final Voluntary Self Disclosure with OFAC in February 2018. If we are found to be in violation of U.S. sanctions or export control laws, it could result in substantial fines and penalties for us and for the individuals working for us.</w:t>
      </w:r>
    </w:p>
    <w:p>
      <w:pPr>
        <w:spacing w:after="0" w:line="180"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1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actual or perceived failure to comply with privacy, data protection, and information security laws, regulations, and obligations could harm our business.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1"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receive, store, process, and use personal information and other user content. There are numerous federal, state, local, and international laws and regulations regarding privacy, data protection, information security, and the storing, sharing, use, processing, transfer, disclosure, and protection of personal information and other content, the scope of which are changing, subject to differing interpretations, and may be inconsistent among countries, or conflict with other rules. We are also subject to the terms of our privacy policies and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179"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We also expect that there will continue to be new laws, regulations, and industry standards concerning privacy, data protection, and information security proposed and enacted in various jurisdictions. For example, in May 2018, the General Data Protection Regulation, or GDPR, went into effect in the European Union, or EU. The GDPR imposed more stringent data protection requirements and provides greater penalties for noncompliance than previous data protection laws. Further, following a referendum in June 2016 in which voters in the United Kingdom approved an exit from the EU, the United Kingdom government has initiated a process to leave the EU, or Brexit. Brexit has created uncertainty with regard to the regulation of data protection in the United Kingdom. In particular, it is unclear whether the United Kingdom will enact data protection laws or regulations designed to be consistent with the GDPR and how data transfers to and from the United Kingdom will be regulated. Additionally, although we have self-certified under the U.S.-EU and U.S.-Swiss Privacy Shield Frameworks with regard to our transfer of certain personal data from the EU and Switzerland to the United States, some regulatory uncertainty remains surrounding the future of data transfers from the EU and Switzerland to the United States, and we are closely monitoring regulatory developments in this area. Additionally, California recently enacted legislation, the California Consumer Privacy Act of 2018, that will afford consumers expanded privacy protections when it goes into effect on January 1, 2020. Legislators have stated that they intend to propose amendments to this legislation, and it remains unclear what, if any, modifications will be made to this legislation or how it will be interpreted. The effects of this legislation potentially are far-reaching, however, and may require us to modify our data processing practices and policies and to incur substantial costs and expenses in an effort to comply.</w:t>
      </w:r>
    </w:p>
    <w:p>
      <w:pPr>
        <w:spacing w:after="0" w:line="175"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With laws and regulations such as the GDPR in the EU and the California Consumer Privacy Act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services.</w:t>
      </w:r>
    </w:p>
    <w:p>
      <w:pPr>
        <w:spacing w:after="0" w:line="166"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impacted by changes in internet access for our users or laws specifically governing the internet.</w:t>
      </w:r>
    </w:p>
    <w:p>
      <w:pPr>
        <w:spacing w:after="0" w:line="225"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187"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 usage-based pricing;</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discount pricing for competitive products;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otherwise materially change their pricing rates or schemes;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charge us to deliver our traffic at certain levels or at all;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throttle traffic based on its source or type;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implement bandwidth caps or other usage restrictions; 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otherwise try to monetize or control access to their networks.</w:t>
      </w:r>
    </w:p>
    <w:p>
      <w:pPr>
        <w:spacing w:after="0" w:line="22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On December 14, 2017, the Federal Communications Commission voted to repeal the “net neutrality” rules and return to a “light-touch” regulatory framework. However, the repeal has not yet taken effect and a number of parties have already stated their intent to appeal this order; thus, the future impact of such repeal and any challenge thereto remains uncertain. The rules were designed to ensure that all online content is treated the same by internet service providers and other companies that provide broadband services. Should the repeal of net neutrality rules take effect, we could incur greater operating expenses, which could harm our results of operations.</w:t>
      </w:r>
    </w:p>
    <w:p>
      <w:pPr>
        <w:spacing w:after="0" w:line="188"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81"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17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own a large number of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The costs of supporting litigation and dispute resolution proceedings are considerable, and there can be no assurances that a favorable outcome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results of operations, and financial condition could be materially and adversely affected as a result.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protect our intellectual property rights and proprietary information could diminish our brand and other intangible assets.</w:t>
      </w:r>
    </w:p>
    <w:p>
      <w:pPr>
        <w:spacing w:after="0" w:line="23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We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In the United States and abroad, we have over 600 issued patents and more than 600 pending patent applications. However, third parties may knowingly or unknowingly infringe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1"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open source software could negatively affect our ability to offer and sell subscriptions to our platform and subject us to possible litigation.</w:t>
      </w:r>
    </w:p>
    <w:p>
      <w:pPr>
        <w:spacing w:after="0" w:line="248"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and/or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sell subscriptions to our platform could be harmed by real or perceived material defects or errors in our platform.</w:t>
      </w:r>
    </w:p>
    <w:p>
      <w:pPr>
        <w:spacing w:after="0" w:line="22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software technology underlying our platform is inherently complex and may contain material defects or errors, particularly when first introduced or when new features or capabilities are released. We have from time to 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178"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We also utilize hardware purchased or leased and software and services licensed from third parties to offer our platform. Any defects in, or unavailability of, our or third-party software, services, or hardware that cause interruptions to the availability of our services, loss of data, or performance issues could, among other things:</w:t>
      </w:r>
    </w:p>
    <w:p>
      <w:pPr>
        <w:spacing w:after="0" w:line="181" w:lineRule="exact"/>
        <w:rPr>
          <w:sz w:val="20"/>
          <w:szCs w:val="20"/>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cause a reduction in revenue or delay in market acceptance of our platform;</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issue refunds to our users or expose us to claims for damages;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cause us to lose existing users and make it more difficult to attract new users;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divert our development resources or require us to make extensive changes to our platform, which would increase our expenses;</w:t>
      </w:r>
    </w:p>
    <w:p>
      <w:pPr>
        <w:spacing w:after="0" w:line="236" w:lineRule="exact"/>
        <w:rPr>
          <w:rFonts w:ascii="Arial" w:cs="Arial" w:eastAsia="Arial" w:hAnsi="Arial"/>
          <w:sz w:val="17"/>
          <w:szCs w:val="17"/>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our technical support costs; and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1"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harm our reputation and brand.</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acquire other businesses or receive offers to be acquired, which could require significant management attention, disrupt our business, or dilute stockholder value.</w:t>
      </w:r>
    </w:p>
    <w:p>
      <w:pPr>
        <w:spacing w:after="0" w:line="170"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Part of our business strategy is to make acquisitions of other companies, products, and technologies.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adversely affect our business, results of operations, and financial condition. In addition, we may not successfully evaluate or utilize the acquired technology and accurately forecast the financial impact of an acquisition transaction, including accounting charges.</w:t>
      </w:r>
    </w:p>
    <w:p>
      <w:pPr>
        <w:spacing w:after="0" w:line="167"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may be significantly impacted by a change in the economy, including any resulting effect on consumer or business spending.</w:t>
      </w:r>
    </w:p>
    <w:p>
      <w:pPr>
        <w:spacing w:after="0" w:line="23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Our business may be affected by changes in the economy generally, including any resulting effect on spending by our business and consumer users. Some of our users may view a subscription to our platform as a discretionary purchase, and our paying users may reduce their discretionary spending on our platform during an economic downturn. If an economic downturn were to occur, we may experience such a reduction in the future, especially in the event of a prolonged recessionary period. As a result, our business, results of operations, and financial condition may be significantly affected by changes in the economy generally.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disrupted by catastrophic events.</w:t>
      </w:r>
    </w:p>
    <w:p>
      <w:pPr>
        <w:spacing w:after="0" w:line="22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In particular, our U.S. headquarters and some of the datacenters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exposure to greater than anticipated tax liabilities, which could adversely impact our results of operations.</w:t>
      </w:r>
    </w:p>
    <w:p>
      <w:pPr>
        <w:spacing w:after="0" w:line="225"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While to date we have not incurred significant income taxes in operating our business, 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188"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Our tax provision could also be impacted by changes in accounting principles, changes in U.S. federal, state, or international tax laws applicable to corporate multinationals such as the recent legislation enacted in the United States, United Kingdom and Australia, other fundamental law changes currently being considered by many countries, and changes in taxing jurisdictions’ administrative interpretations, decisions, policies, and positions. Additionally, in October 2015, the Organization for Economic Co-Operation and Development released final guidance covering various topics, including transfer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1"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pricing, country-by-country reporting, and definitional changes to permanent establishment that could ultimately impact our tax liabilities.</w:t>
      </w:r>
    </w:p>
    <w:p>
      <w:pPr>
        <w:spacing w:after="0" w:line="22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As of December 31, 2017, we had $312.2 million of federal and $143.0 million of state net operating loss carryforwards available to reduce future taxable income, which will begin to expire in 2031 for federal and 2030 for state tax purposes. As of December 31, 2017, we also had $289.3 million of foreign net operating loss carryforwards available to reduce future taxable income, which will carryforward indefinitely. In addition, we had $22.9 million of foreign acquired net operating losses, which will carryforward indefinitely. It is possible that we will not generate taxable income in time to use these net operating loss carryforwards before their expiration or at all.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We performed a study for the period through December 31, 2017 and determined that no ownership changes exceeding 50 percentage points had occurred. Our ability to use net operating loss and tax credit carryforwards to reduce future taxable income and liabilities may be subject to annual limitations as a result of ownership changes from January 1, 2018 and subsequent years.</w:t>
      </w:r>
    </w:p>
    <w:p>
      <w:pPr>
        <w:spacing w:after="0" w:line="1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operating results may be harmed if we are required to collect sales or other related taxes for our subscription services in jurisdictions where we have not historically done so.</w:t>
      </w:r>
    </w:p>
    <w:p>
      <w:pPr>
        <w:spacing w:after="0" w:line="170"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our platform, or otherwise harm our business, results of operations, and financial condition.</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results of operations and financial condition could be materially affected by the enactment of legislation implementing changes in the U.S. or foreign taxation of international business activities or the adoption of other tax reform policies.</w:t>
      </w:r>
    </w:p>
    <w:p>
      <w:pPr>
        <w:spacing w:after="0" w:line="170"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On December 22, 2017, the legislation commonly referred to as the Tax Cuts and Jobs Act ("2017 Tax Reform Act") was enacted, which contains significant changes to U.S. tax law, including, but not limited to, a reduction in the corporate tax rate and a transition to a new territorial system of taxation. The primary impact of the new legislation on our provision for income taxes was a reduction of the future tax benefits of our deferred tax assets as a result of the reduction in the corporate tax rate. However, since we have recorded a full valuation allowance against our deferred tax assets, we do not currently anticipate that these changes will have a material impact on our consolidated financial statements. The impact of the 2017 Tax Reform Act will likely be subject to ongoing technical guidance and accounting interpretation, which we will continue to monitor and assess. Provisional accounting impacts may change in future reporting periods until the accounting analysis is finalized, which will occur no later than one year from the date the Tax Reform Act was enacted. As we expand the scale of our international business activities, any changes in the U.S. or foreign taxation of such activities may increase our worldwide effective tax rate and harm our business, results of operations, and financial condition.</w:t>
      </w:r>
    </w:p>
    <w:p>
      <w:pPr>
        <w:spacing w:after="0" w:line="18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70"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We are subject to the reporting requirements of the Securities Exchange Act of 1934, as amended, or the Exchange Act, the Sarbanes-Oxley Act of 2002, or the Sarbanes-Oxley Act, and the rules and regulations of the applicable listing standards of the Nasdaq Global Select Market, or Nasdaq. We expect that the requirements of these rules and regulations will continue to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increase our legal, accounting, and financial compliance costs, make some activities more difficult, time-consuming and costly, and place significant strain on our personnel, systems, and resources.</w:t>
      </w:r>
    </w:p>
    <w:p>
      <w:pPr>
        <w:spacing w:after="0" w:line="170"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78"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 We are not currently required to comply with the SEC rules that implement Section 404 of the Sarbanes-Oxley Act and are therefore not required to make a formal assessment of the effectiveness of our internal control over financial reporting for that purpose. We will be required to provide an annual management report on the effectiveness of our internal control over financial reporting commencing with our second annual report on Form 10-K.</w:t>
      </w:r>
    </w:p>
    <w:p>
      <w:pPr>
        <w:spacing w:after="0" w:line="169"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Our independent registered public accounting firm is not required to formally attest to the effectiveness of our internal control over financial reporting until our first annual report filed with the SEC where we are an “accelerated filer” or a “large accelerated filer”.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materially and adversely affect our business, results of operations, and financial condition and could cause a decline in the trading price of our Class A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results of operations may be adversely affected by changes in accounting principles generally accepted in the United States.</w:t>
      </w:r>
    </w:p>
    <w:p>
      <w:pPr>
        <w:spacing w:after="0" w:line="23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 predict the impact of future changes to accounting principles or our accounting policies, any of which could negatively affect our results of operations.</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recently implemented a new enterprise resource planning system, and if this new system proves ineffective or if we experience issues with the transition, we may be unable to timely or accurately prepare financial reports, make payments to our suppliers and employees, or invoice and collect from our users.</w:t>
      </w:r>
    </w:p>
    <w:p>
      <w:pPr>
        <w:spacing w:after="0" w:line="18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In 2017, we implemented a new enterprise resource planning, or ERP, system, including our systems for tracking revenue recognition. Our ERP system is critical to our ability to accurately maintain books and records and to prepare our financial statements. The transition to our new ERP system may be disruptive to our business if the ERP system does not work as planned or if we experience issues relating to the implementation. Such disruptions could impact our ability to timely or accurately make payments to our suppliers and employees, and could also inhibit our ability to invoice, and collect from our users. Data integrity problems or other issues may be discovered which, if not corrected, could impact our business or financial results. In addition, we may experience periodic or prolonged disruption of our financial functions arising out of this conversion, general use of such system, other periodic upgrades or updates, or other external factors that are outside of our</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121"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control. If we encounter unforeseen problems with our ERP system or other related systems and infrastructure, our business, results of operations, and financial condition could be adversely affected.</w:t>
      </w:r>
    </w:p>
    <w:p>
      <w:pPr>
        <w:spacing w:after="0" w:line="170" w:lineRule="exact"/>
        <w:rPr>
          <w:sz w:val="20"/>
          <w:szCs w:val="20"/>
          <w:color w:val="auto"/>
        </w:rPr>
      </w:pPr>
    </w:p>
    <w:p>
      <w:pPr>
        <w:jc w:val="both"/>
        <w:ind w:right="220"/>
        <w:spacing w:after="0" w:line="381" w:lineRule="auto"/>
        <w:rPr>
          <w:sz w:val="20"/>
          <w:szCs w:val="20"/>
          <w:color w:val="auto"/>
        </w:rPr>
      </w:pPr>
      <w:r>
        <w:rPr>
          <w:rFonts w:ascii="Arial" w:cs="Arial" w:eastAsia="Arial" w:hAnsi="Arial"/>
          <w:sz w:val="15"/>
          <w:szCs w:val="15"/>
          <w:b w:val="1"/>
          <w:bCs w:val="1"/>
          <w:i w:val="1"/>
          <w:iCs w:val="1"/>
          <w:color w:val="auto"/>
        </w:rPr>
        <w:t>We have publicly disclosed market opportunity estimates, growth forecasts, and key metrics, including the key metrics included in this Quarterly Report on Form 10-Q which could prove to be inaccurate, and any real or perceived inaccuracies may harm our reputation and negatively affect our business.</w:t>
      </w:r>
    </w:p>
    <w:p>
      <w:pPr>
        <w:spacing w:after="0" w:line="101"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We have found that aggregate user activity metrics are not leading indicators of revenue or conversion. For that reason, we do not comprehensively track user activity across the Dropbox platform for financial planning and forecasting purposes.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revolving credit facility provides our lenders with a first-priority lien against substantially all of our intellectual property and certain other assets, and contains financial covenants and other restrictions on our actions that may limit our operational flexibility or otherwise adversely affect our results of operations.</w:t>
      </w:r>
    </w:p>
    <w:p>
      <w:pPr>
        <w:spacing w:after="0" w:line="18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are party to a revolving credit and guarantee agreement, as amended, which contains a number of covenants that limit our ability and our subsidiaries’ ability to, among other things, incur additional indebtedness, pay dividends, make 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maximum consolidated leverage ratio and a minimum liquidity balance. The terms of our revolving credit facility may restrict our current and future operations and could adversely affect our ability to finance our future operations or capital needs or to execute preferred business strategies. In addition, complying with these covenants may make it more difficult for us to successfully execute our business strategy and compete against companies who are not subject to such restrictions.</w:t>
      </w:r>
    </w:p>
    <w:p>
      <w:pPr>
        <w:spacing w:after="0" w:line="178"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A failure by us to comply with the covenants or payment requirements specified in our credit agreement, as amended, could result in an event of default under the agreement, which would give the lenders the right to terminate their commitments to provide additional loans under our revolving credit facility and to declare all borrowings outstanding, together with accrued and unpaid interest and fees, to be immediately due and payable. In addition, the lenders would have the right to proceed against the collateral we granted to them, which consists of substantially all our intellectual property and certain other assets. If 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16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operations may be interrupted and our business, results of operations, and financial condition could be adversely affected if we default on our leasing or credit obligations.</w:t>
      </w:r>
    </w:p>
    <w:p>
      <w:pPr>
        <w:spacing w:after="0" w:line="170"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We finance a significant portion of our expenditures through leasing arrangements, some of which are not required to be reflected on our balance sheet, and we may enter into additional similar arrangements in the future. As of June 30, 2018, we had an aggregate of $1,443.7 million of commitments to settle contractual obligations. In particular, we have used these types of arrangements to finance some of our equipment and datacenters. In addition, we may draw upon our revolving credit facility to finance our operations or for other corporate purposes. If we default on these leasing or credit obligations, our leasing partners and lenders may, among other things:</w:t>
      </w:r>
    </w:p>
    <w:p>
      <w:pPr>
        <w:spacing w:after="0" w:line="188" w:lineRule="exact"/>
        <w:rPr>
          <w:sz w:val="20"/>
          <w:szCs w:val="20"/>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repayment of any outstanding lease obligations;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terminate our leasing arrangements;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terminate our access to the leased datacenters we utilize;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stop delivery of ordered equipment;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sell or require us to return our leased equipment;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repayment of any outstanding amounts drawn on our revolving credit facility;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terminate our revolving credit facility; 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us to pay significant fees, penalties, or damages.</w:t>
      </w:r>
    </w:p>
    <w:p>
      <w:pPr>
        <w:spacing w:after="0" w:line="22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In October 2017, we entered into a new lease agreement to rent office space in San Francisco, California, to serve as our new corporate headquarters. The total minimum obligations under this lease agreement are expected to be approximately $831.5 million. Before moving to our new corporate headquarters, we will continue to operate in our current corporate headquarters, during which time we will be incurring rent expense on both our current and new corporate headquarters. After moving to our new corporate headquarters, we plan to vacate our current corporate headquarters in conjunction with the modified termination date of the lease for our current corporate headquarters. If we are unable to move into our new headquarters as scheduled, our results of operations could be adversely impacted as a result of additional rent expense.</w:t>
      </w:r>
    </w:p>
    <w:p>
      <w:pPr>
        <w:spacing w:after="0" w:line="193"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If some or all of these events were to occur, our operations may be interrupted and our ability to fund our operations or obligations, as well as our business, results of operations, and financial condition, could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and we cannot be certain that additional financing will be available on favorable terms, or at all.</w:t>
      </w:r>
    </w:p>
    <w:p>
      <w:pPr>
        <w:spacing w:after="0" w:line="225"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Historically, we have funded our operations and capital expenditures primarily through equity issuances, cash generated from our operations, and debt financing for capital purchases. Although we currently anticipate that our existing cash and cash equivalents, amounts available under our existing credit facilities,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Class A common stock may be volatile, and you could lose all or part of your investment.</w:t>
      </w:r>
    </w:p>
    <w:p>
      <w:pPr>
        <w:spacing w:after="0" w:line="225" w:lineRule="exact"/>
        <w:rPr>
          <w:sz w:val="20"/>
          <w:szCs w:val="20"/>
          <w:color w:val="auto"/>
        </w:rPr>
      </w:pPr>
    </w:p>
    <w:p>
      <w:pPr>
        <w:ind w:right="220" w:firstLine="405"/>
        <w:spacing w:after="0" w:line="308" w:lineRule="auto"/>
        <w:rPr>
          <w:sz w:val="20"/>
          <w:szCs w:val="20"/>
          <w:color w:val="auto"/>
        </w:rPr>
      </w:pPr>
      <w:r>
        <w:rPr>
          <w:rFonts w:ascii="Arial" w:cs="Arial" w:eastAsia="Arial" w:hAnsi="Arial"/>
          <w:sz w:val="17"/>
          <w:szCs w:val="17"/>
          <w:color w:val="auto"/>
        </w:rPr>
        <w:t>The trading price of our Class A common stock may be volatile and could be subject to fluctuations in response to various factors, some of which are beyond our control. Factors that could cause fluctuations in the trading price of our Class A common stock include the following:</w:t>
      </w:r>
    </w:p>
    <w:p>
      <w:pPr>
        <w:spacing w:after="0" w:line="147" w:lineRule="exact"/>
        <w:rPr>
          <w:sz w:val="20"/>
          <w:szCs w:val="20"/>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225" w:lineRule="exact"/>
        <w:rPr>
          <w:rFonts w:ascii="Arial" w:cs="Arial" w:eastAsia="Arial" w:hAnsi="Arial"/>
          <w:sz w:val="18"/>
          <w:szCs w:val="18"/>
          <w:color w:val="auto"/>
        </w:rPr>
      </w:pPr>
    </w:p>
    <w:p>
      <w:pPr>
        <w:ind w:left="1300" w:right="640" w:hanging="320"/>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 as well as the anticipation of lock-up releases;</w:t>
      </w:r>
    </w:p>
    <w:p>
      <w:pPr>
        <w:spacing w:after="0" w:line="225" w:lineRule="exact"/>
        <w:rPr>
          <w:rFonts w:ascii="Arial" w:cs="Arial" w:eastAsia="Arial" w:hAnsi="Arial"/>
          <w:sz w:val="18"/>
          <w:szCs w:val="18"/>
          <w:color w:val="auto"/>
        </w:rPr>
      </w:pPr>
    </w:p>
    <w:p>
      <w:pPr>
        <w:ind w:left="1300" w:right="200" w:hanging="320"/>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those projections, or our failure to meet those projections;</w:t>
      </w:r>
    </w:p>
    <w:p>
      <w:pPr>
        <w:spacing w:after="0" w:line="236" w:lineRule="exact"/>
        <w:rPr>
          <w:rFonts w:ascii="Arial" w:cs="Arial" w:eastAsia="Arial" w:hAnsi="Arial"/>
          <w:sz w:val="17"/>
          <w:szCs w:val="17"/>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features, or services;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121"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significant change in our management;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multi-class structure of our common stock will have the effect of concentrating voting control with those stockholders who held our capital stock prior to the completion of our IPO, and it may depress the trading price of our Class A common stock.</w:t>
      </w:r>
    </w:p>
    <w:p>
      <w:pPr>
        <w:spacing w:after="0" w:line="170"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Our Class A common stock has one vote per share, our Class B common stock has ten votes per share, and our Class C common stock has no voting rights, except as otherwise required by law. As of June 30, 2018, our directors, executive officers and holders of more than 5% of our common stock, and their respective affiliates, held in the aggregate 73.0% of the voting power of our capital stock (including the Co-Founder Grants and voting agreements that our co-founders entered into with certain of our stockholders that covered an aggregate of 7.1% of the voting power of our capital stock as of June 30, 2018). We are including the Co-Founder Grants in this calculation since they are legally issued and outstanding shares of our Class A common stock and our co-founders are able to vote these shares immediately upon grant and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6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amended and restated certificate of incorporation), will convert automatically into one share of Class A common stock upon the death of such natural person. In the event of the death or permanent and total disability of a co-founder, shares of Class B common stock held by such co-founder, his permitted entities or permitted transferees will convert to Class A common stock, provided that the conversion will be deferred for nine months,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or up to 18 months if approved by a majority of our independent directors, following his death or permanent and total disability. Transfers between our co-founders are permitted transfers and will not result in conversion of the shares of Class B common stock that are transferred; however, upon the death or total and permanent disability of the transferring co-founder, the transferred shares would convert to Class A common stock following the deferral period of nine months, or up to 18 months if approved by a majority of our independent directors. The conversion of Class B common stock to Class A common stock will have the effect, over time, of increasing the relative voting power of those individual holders of Class B common stock who retain their shares in the long term.</w:t>
      </w:r>
    </w:p>
    <w:p>
      <w:pPr>
        <w:spacing w:after="0" w:line="193" w:lineRule="exact"/>
        <w:rPr>
          <w:sz w:val="20"/>
          <w:szCs w:val="20"/>
          <w:color w:val="auto"/>
        </w:rPr>
      </w:pPr>
    </w:p>
    <w:p>
      <w:pPr>
        <w:jc w:val="both"/>
        <w:ind w:right="80" w:firstLine="405"/>
        <w:spacing w:after="0" w:line="312" w:lineRule="auto"/>
        <w:rPr>
          <w:sz w:val="20"/>
          <w:szCs w:val="20"/>
          <w:color w:val="auto"/>
        </w:rPr>
      </w:pPr>
      <w:r>
        <w:rPr>
          <w:rFonts w:ascii="Arial" w:cs="Arial" w:eastAsia="Arial" w:hAnsi="Arial"/>
          <w:sz w:val="16"/>
          <w:szCs w:val="16"/>
          <w:color w:val="auto"/>
        </w:rPr>
        <w:t>In addition,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spacing w:after="0" w:line="14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multi-class capital structure would make us ineligible for inclusion in any of these indices, and as a result, mutual funds, exchange-traded funds, and other investment vehicles that attempt to passively track these indices will not be investing in our stock. These policies are very new and it is as of yet unclear what effect, if any, they will have on the valuations of publicly traded companies excluded from the indices, but it is possible that they may depress these valuations compared to those of other similar companies that are included.</w:t>
      </w:r>
    </w:p>
    <w:p>
      <w:pPr>
        <w:spacing w:after="0" w:line="18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Because of the relatively small number of shares of our Class A common stock outstanding immediately after our IPO and the number of shares of Class A common stock held by our founders as a result of their RSAs, which shares have full voting rights, our co-founders will have significant influence over any vote of the Class A common stock voting as a separate class.</w:t>
      </w:r>
    </w:p>
    <w:p>
      <w:pPr>
        <w:spacing w:after="0" w:line="18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As of June 30, 2018 we had 115,741,371 shares of Class A common stock legally issued and outstanding. As a result, until the public float of our Class A common stock increases, which is expected to occur primarily as a result of conversion of shares of Class B common stock into shares of Class A common stock upon transfer, our co-founders will hold a significant percentage of the outstanding Class A common stock. Although the terms of our amended and restated certificate of incorporation only provide for a separate vote of the holders of the Class A common stock on matters occurring after the conversion of the Class B common stock as a class, under Delaware law, certain actions may require the approval of the holders of the Class A common stock voting as a separate class. For example, if we amend our amended and restated certificate of incorporation to adversely affect our Class A common stock, Delaware law could require approval of the holders of our Class A common stock voting separately as a single class. For any vote of the Class A common stock voting as a separate class, our co-founders will heavily influence such vote until the number of outstanding shares of Class A common stock significantly increases. Further, our co-founders will have the right to vote those shares until the termination of the award even if the performance targets have not been met or are not expected to be met. To the extent that the RSAs vest, our co-founders will have the ability to gain liquidity by selling shares of our Class A common stock without reducing their voting power by converting their Class B common stock.</w:t>
      </w:r>
    </w:p>
    <w:p>
      <w:pPr>
        <w:spacing w:after="0" w:line="18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A substantial portion of the outstanding shares of our Class A common stock and Class B common stock are restricted from immediate resale, but may be sold on a stock exchange in the near future. The large number of shares of our capital stock eligible for public sale or subject to rights requiring us to register them for public sale could depress the market price of our Class A common stock.</w:t>
      </w:r>
    </w:p>
    <w:p>
      <w:pPr>
        <w:spacing w:after="0" w:line="166"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The market price of our Class A common stock could decline as a result of sales of a large number of shares of our Class A common stock in the market in the near future, and the perception that these sales could occur may also depress the market price of our Class A common stock. Our executive officers, directors, and the holders of substantially all of our capital stock and securities convertible into or exchangeable for our capital stock have entered into market standoff agreements with us or have entered into lock-up agreements with the underwriters of our IPO under which they have agreed, subject to specific exceptions, not to sell any of our stock for 180 days following March 22, 2018, the date of the final prospectus used in connection with our IPO. We refer to such period as the lock-up period. Pursuant to the lock-up agreements with the underwriters, if (i) at least 120 days have elapsed since March 22, 2018, (ii) we have publicly released our earnings results for the quarterly period during which our IPO occurred, and (iii) such lock-up period is scheduled to end during or within five trading days prior to a broadly applicable period during which trading in our securities would not be permitted under our insider trading policy, or a blackout period, such lock-up period will end ten trading days prior to the commencement of such blackout period. We and the underwriters may release certain stockholders from the market standoff agreements or lock-up agreements prior to the end of the lock-up period. The lock-up period is scheduled to end on September 18, 2018, which falls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within our quarterly blackout period that commences at the close of trading on September 7, 2018. Therefore, in accordance with the lock-up agreements with the underwriters, the restricted period will end at the close of market on August 23, 2018, which is ten trading days prior to the commencement of our quarterly blackout period. We will also release our market standoff agreements when the restricted period expires.</w:t>
      </w:r>
    </w:p>
    <w:p>
      <w:pPr>
        <w:spacing w:after="0" w:line="181"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Following the expiration of the market standoff and lock-up agreements referred to above, under our investors’ rights agreement, certain stockholders can require us to register shares owned by them for public sale in the United States. In addition, we filed a registration statement to register shares reserved for future issuance under our equity compensation plans. As a result, subject to the satisfaction of applicable exercise periods and the expiration or waiver of the market standoff agreements and lock-up agreements referred to above, the shares issued upon exercise of outstanding stock options or upon settlement of outstanding RSU awards will be available for immediate resale in the United States in the open market.</w:t>
      </w:r>
    </w:p>
    <w:p>
      <w:pPr>
        <w:spacing w:after="0" w:line="173"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Sales of our shares as restrictions end or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restated certificate of incorporation and restated bylaws could make a merger, tender offer, or proxy contest difficult, thereby depressing the market price of our Class A common stock.</w:t>
      </w:r>
    </w:p>
    <w:p>
      <w:pPr>
        <w:spacing w:after="0" w:line="170" w:lineRule="exact"/>
        <w:rPr>
          <w:sz w:val="20"/>
          <w:szCs w:val="20"/>
          <w:color w:val="auto"/>
        </w:rPr>
      </w:pPr>
    </w:p>
    <w:p>
      <w:pPr>
        <w:ind w:right="300" w:firstLine="405"/>
        <w:spacing w:after="0" w:line="302"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54" w:lineRule="exact"/>
        <w:rPr>
          <w:sz w:val="20"/>
          <w:szCs w:val="20"/>
          <w:color w:val="auto"/>
        </w:rPr>
      </w:pPr>
    </w:p>
    <w:p>
      <w:pPr>
        <w:ind w:left="1300" w:right="480" w:hanging="320"/>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transaction that would result in a change in control of our company requires the approval of a majority of our outstanding Class B common stock voting as a separate class;</w:t>
      </w:r>
    </w:p>
    <w:p>
      <w:pPr>
        <w:spacing w:after="0" w:line="170" w:lineRule="exact"/>
        <w:rPr>
          <w:rFonts w:ascii="Arial" w:cs="Arial" w:eastAsia="Arial" w:hAnsi="Arial"/>
          <w:sz w:val="18"/>
          <w:szCs w:val="18"/>
          <w:color w:val="auto"/>
        </w:rPr>
      </w:pPr>
    </w:p>
    <w:p>
      <w:pPr>
        <w:ind w:left="1300" w:right="80" w:hanging="320"/>
        <w:spacing w:after="0" w:line="26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multi-class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Class B common stock, and Class C common stock;</w:t>
      </w:r>
    </w:p>
    <w:p>
      <w:pPr>
        <w:spacing w:after="0" w:line="181" w:lineRule="exact"/>
        <w:rPr>
          <w:rFonts w:ascii="Arial" w:cs="Arial" w:eastAsia="Arial" w:hAnsi="Arial"/>
          <w:sz w:val="18"/>
          <w:szCs w:val="18"/>
          <w:color w:val="auto"/>
        </w:rPr>
      </w:pPr>
    </w:p>
    <w:p>
      <w:pPr>
        <w:jc w:val="both"/>
        <w:ind w:left="1300" w:right="40" w:hanging="320"/>
        <w:spacing w:after="0" w:line="26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spacing w:after="0" w:line="181" w:lineRule="exact"/>
        <w:rPr>
          <w:rFonts w:ascii="Arial" w:cs="Arial" w:eastAsia="Arial" w:hAnsi="Arial"/>
          <w:sz w:val="18"/>
          <w:szCs w:val="18"/>
          <w:color w:val="auto"/>
        </w:rPr>
      </w:pPr>
    </w:p>
    <w:p>
      <w:pPr>
        <w:ind w:left="1300" w:right="80" w:hanging="320"/>
        <w:spacing w:after="0" w:line="302" w:lineRule="auto"/>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until the Class B common stock, as a class, converts to Class A common stock, any amendments to our restated certificate of incorporation will require the approval of two-thirds of the combined vote of our then-outstanding shares of Class A common stock and Class B common stock; and following the conversion of our Class B common stock, as a class, to Class A common stock, certain amendments to our amended and restated certificate of incorporation will require the approval of two-thirds of our then outstanding voting power;</w:t>
      </w:r>
    </w:p>
    <w:p>
      <w:pPr>
        <w:spacing w:after="0" w:line="154" w:lineRule="exact"/>
        <w:rPr>
          <w:rFonts w:ascii="Arial" w:cs="Arial" w:eastAsia="Arial" w:hAnsi="Arial"/>
          <w:sz w:val="16"/>
          <w:szCs w:val="16"/>
          <w:color w:val="auto"/>
        </w:rPr>
      </w:pPr>
    </w:p>
    <w:p>
      <w:pPr>
        <w:ind w:left="1300" w:right="20" w:hanging="320"/>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four amended and restated bylaws will provide that approval of stockholders holding two-thirds of our outstanding voting power voting as a single class is required for stockholders to amend or adopt any provision of our bylaws;</w:t>
      </w:r>
    </w:p>
    <w:p>
      <w:pPr>
        <w:spacing w:after="0" w:line="170" w:lineRule="exact"/>
        <w:rPr>
          <w:rFonts w:ascii="Arial" w:cs="Arial" w:eastAsia="Arial" w:hAnsi="Arial"/>
          <w:sz w:val="18"/>
          <w:szCs w:val="18"/>
          <w:color w:val="auto"/>
        </w:rPr>
      </w:pPr>
    </w:p>
    <w:p>
      <w:pPr>
        <w:ind w:left="1300" w:right="220" w:hanging="320"/>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after the Voting Threshold Date our stockholders will only be able to take action at a meeting of stockholders, and will not be able to take action by written consent for any matter;</w:t>
      </w:r>
    </w:p>
    <w:p>
      <w:pPr>
        <w:spacing w:after="0" w:line="170" w:lineRule="exact"/>
        <w:rPr>
          <w:rFonts w:ascii="Arial" w:cs="Arial" w:eastAsia="Arial" w:hAnsi="Arial"/>
          <w:sz w:val="18"/>
          <w:szCs w:val="18"/>
          <w:color w:val="auto"/>
        </w:rPr>
      </w:pPr>
    </w:p>
    <w:p>
      <w:pPr>
        <w:ind w:left="1300" w:right="120" w:hanging="320"/>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until the Voting Threshold Date, our stockholders will be able to act by written consent only if the action is first recommended or approved by the Board of Directors;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vacancies on our Board of Directors will be able to be filled only by our Board of Directors and not by stockholders;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1300" w:right="60" w:hanging="320"/>
        <w:spacing w:after="0" w:line="264"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only our chairman of the Board of Directors, chief executive officer, a majority of Board of Directors or until the Class B common stock, as a class, converts to Class A common stock, a stockholder holding thirty percent of the combined voting power of our Class A and Class B common stock are authorized to call a special meeting of stockholders;</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225" w:lineRule="exact"/>
        <w:rPr>
          <w:rFonts w:ascii="Arial" w:cs="Arial" w:eastAsia="Arial" w:hAnsi="Arial"/>
          <w:sz w:val="18"/>
          <w:szCs w:val="18"/>
          <w:color w:val="auto"/>
        </w:rPr>
      </w:pPr>
    </w:p>
    <w:p>
      <w:pPr>
        <w:ind w:left="1300" w:right="60" w:hanging="320"/>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restated certificate of incorporation authorizes undesignated preferred stock, the terms of which may be established and shares of which may be issued, without the approval of the holders of Class A common stock; and</w:t>
      </w:r>
    </w:p>
    <w:p>
      <w:pPr>
        <w:spacing w:after="0" w:line="170" w:lineRule="exact"/>
        <w:rPr>
          <w:rFonts w:ascii="Arial" w:cs="Arial" w:eastAsia="Arial" w:hAnsi="Arial"/>
          <w:sz w:val="18"/>
          <w:szCs w:val="18"/>
          <w:color w:val="auto"/>
        </w:rPr>
      </w:pPr>
    </w:p>
    <w:p>
      <w:pPr>
        <w:ind w:left="1300" w:right="480" w:hanging="320"/>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70"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18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the certificate of incorporation or the amended 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17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Our amended and restated bylaws also provide that the federal district courts of the United States of America will be the exclusive forum for resolving any complaint asserting a cause of action arising under the Securities Act.</w:t>
      </w:r>
    </w:p>
    <w:p>
      <w:pPr>
        <w:spacing w:after="0" w:line="170" w:lineRule="exact"/>
        <w:rPr>
          <w:sz w:val="20"/>
          <w:szCs w:val="20"/>
          <w:color w:val="auto"/>
        </w:rPr>
      </w:pPr>
    </w:p>
    <w:p>
      <w:pPr>
        <w:ind w:right="200" w:firstLine="405"/>
        <w:spacing w:after="0" w:line="276" w:lineRule="auto"/>
        <w:rPr>
          <w:sz w:val="20"/>
          <w:szCs w:val="20"/>
          <w:color w:val="auto"/>
        </w:rPr>
      </w:pPr>
      <w:r>
        <w:rPr>
          <w:rFonts w:ascii="Arial" w:cs="Arial" w:eastAsia="Arial" w:hAnsi="Arial"/>
          <w:sz w:val="17"/>
          <w:szCs w:val="17"/>
          <w:color w:val="auto"/>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bylaws to be inapplicable or unenforceable in an action, we may incur additional costs associated with resolving the dispute in other jurisdictions, which could harm our results of operations.</w:t>
      </w:r>
    </w:p>
    <w:p>
      <w:pPr>
        <w:spacing w:after="0" w:line="1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170"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225"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realize any future gains on their investment. In addition, our revolving credit facility contains restrictions on our ability to pay dividends.</w:t>
      </w:r>
    </w:p>
    <w:p>
      <w:pPr>
        <w:spacing w:after="0" w:line="200" w:lineRule="exact"/>
        <w:rPr>
          <w:sz w:val="20"/>
          <w:szCs w:val="20"/>
          <w:color w:val="auto"/>
        </w:rPr>
      </w:pPr>
    </w:p>
    <w:p>
      <w:pPr>
        <w:spacing w:after="0" w:line="29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219"/>
          </w:cols>
          <w:pgMar w:left="240" w:top="121" w:right="1440"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Public Offering of Class A Common Stock and Concurrent Private Placement</w:t>
      </w:r>
    </w:p>
    <w:p>
      <w:pPr>
        <w:spacing w:after="0" w:line="229"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On March 27, 2018, we closed our IPO, in which we sold 26,822,409 shares of our Class A common stock at a price to the public of $21.00 per share. Immediately subsequent to the closing of our IPO, Salesforce Ventures LLC purchased 4,761,905 shares of our Class A common stock from us at $21.00 per share. The offer and sale of the shares in the IPO were registered under the Securities Act pursuant to a registration statement on Form S-1 (File No. 333-223182), which was declared effective by the SEC on March 22, 2018. On March 28, 2018, the underwriters exercised their option to purchase an additional 5,400,000 shares of the Company's Class A common stock at $21.00 per share. This transaction closed on April 3, 2018, resulting in additional proceeds of $108.4 million. In aggregate, we raised $746.6 million in net proceeds after deducting underwriters’ discounts and commissions of $30.1 million and before deducting offering expenses of approximately $6.9 million, net of reimbursements. We utilized a portion of the net proceeds to satisfy our tax withholding and remittance obligations related to the RSU settlement. Additionally, we utilized a portion of the net proceeds to purchase investment grade, interest bearing instruments pursuant to the investment policy approved by our board of directors. We also intend to use the net proceeds we received from our IPO and the concurrent private placement for general corporate purposes, including working capital, operating expenses, and capital expenditures. Additionally, we may use a portion of the net proceeds we received from our IPO and the concurrent private placement to acquire businesses, products, services, or technologies. The managing underwriters of our IPO were Goldman, Sachs &amp; Co. LLC and J.P. Morgan Securities LLC. No payments were made by us to directors, officers or persons owning ten percent or more of our common stock or to their associates, or to our affiliates, other than payments in the ordinary course of business to officers for salaries and to non-employee directors pursuant to our director compensation policy.</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We have filed the exhibits listed on the accompanying Exhibit Index, which is incorporated herein by reference.</w:t>
      </w:r>
    </w:p>
    <w:p>
      <w:pPr>
        <w:spacing w:after="0" w:line="200" w:lineRule="exact"/>
        <w:rPr>
          <w:sz w:val="20"/>
          <w:szCs w:val="20"/>
          <w:color w:val="auto"/>
        </w:rPr>
      </w:pPr>
    </w:p>
    <w:p>
      <w:pPr>
        <w:spacing w:after="0" w:line="3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219"/>
          </w:cols>
          <w:pgMar w:left="240" w:top="121" w:right="1440"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1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Incorporated by</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1500" w:type="dxa"/>
            <w:vAlign w:val="bottom"/>
          </w:tcPr>
          <w:p>
            <w:pPr>
              <w:spacing w:after="0"/>
              <w:rPr>
                <w:sz w:val="12"/>
                <w:szCs w:val="12"/>
                <w:color w:val="auto"/>
              </w:rPr>
            </w:pPr>
          </w:p>
        </w:tc>
        <w:tc>
          <w:tcPr>
            <w:tcW w:w="3840" w:type="dxa"/>
            <w:vAlign w:val="bottom"/>
            <w:gridSpan w:val="8"/>
            <w:vMerge w:val="restart"/>
          </w:tcPr>
          <w:p>
            <w:pPr>
              <w:ind w:left="740"/>
              <w:spacing w:after="0"/>
              <w:rPr>
                <w:sz w:val="20"/>
                <w:szCs w:val="20"/>
                <w:color w:val="auto"/>
              </w:rPr>
            </w:pPr>
            <w:r>
              <w:rPr>
                <w:rFonts w:ascii="Arial" w:cs="Arial" w:eastAsia="Arial" w:hAnsi="Arial"/>
                <w:sz w:val="14"/>
                <w:szCs w:val="14"/>
                <w:b w:val="1"/>
                <w:bCs w:val="1"/>
                <w:color w:val="auto"/>
              </w:rPr>
              <w:t>Description</w:t>
            </w:r>
          </w:p>
        </w:tc>
        <w:tc>
          <w:tcPr>
            <w:tcW w:w="7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Form</w:t>
            </w:r>
          </w:p>
        </w:tc>
        <w:tc>
          <w:tcPr>
            <w:tcW w:w="12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File Number</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Reference from</w:t>
            </w:r>
          </w:p>
        </w:tc>
        <w:tc>
          <w:tcPr>
            <w:tcW w:w="122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94"/>
              </w:rPr>
              <w:t>Filed with SEC</w:t>
            </w:r>
          </w:p>
        </w:tc>
        <w:tc>
          <w:tcPr>
            <w:tcW w:w="0" w:type="dxa"/>
            <w:vAlign w:val="bottom"/>
          </w:tcPr>
          <w:p>
            <w:pPr>
              <w:spacing w:after="0"/>
              <w:rPr>
                <w:sz w:val="1"/>
                <w:szCs w:val="1"/>
                <w:color w:val="auto"/>
              </w:rPr>
            </w:pPr>
          </w:p>
        </w:tc>
      </w:tr>
      <w:tr>
        <w:trPr>
          <w:trHeight w:val="186"/>
        </w:trPr>
        <w:tc>
          <w:tcPr>
            <w:tcW w:w="10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500" w:type="dxa"/>
            <w:vAlign w:val="bottom"/>
          </w:tcPr>
          <w:p>
            <w:pPr>
              <w:spacing w:after="0"/>
              <w:rPr>
                <w:sz w:val="16"/>
                <w:szCs w:val="16"/>
                <w:color w:val="auto"/>
              </w:rPr>
            </w:pPr>
          </w:p>
        </w:tc>
        <w:tc>
          <w:tcPr>
            <w:tcW w:w="3840" w:type="dxa"/>
            <w:vAlign w:val="bottom"/>
            <w:gridSpan w:val="8"/>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6"/>
              </w:rPr>
              <w:t>Exhibit Number</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040" w:type="dxa"/>
            <w:vAlign w:val="bottom"/>
          </w:tcPr>
          <w:p>
            <w:pPr>
              <w:spacing w:after="0"/>
              <w:rPr>
                <w:sz w:val="20"/>
                <w:szCs w:val="20"/>
                <w:color w:val="auto"/>
              </w:rPr>
            </w:pPr>
            <w:r>
              <w:rPr>
                <w:rFonts w:ascii="Arial" w:cs="Arial" w:eastAsia="Arial" w:hAnsi="Arial"/>
                <w:sz w:val="14"/>
                <w:szCs w:val="14"/>
                <w:color w:val="auto"/>
              </w:rPr>
              <w:t>10.1</w:t>
            </w:r>
          </w:p>
        </w:tc>
        <w:tc>
          <w:tcPr>
            <w:tcW w:w="5340" w:type="dxa"/>
            <w:vAlign w:val="bottom"/>
            <w:gridSpan w:val="9"/>
          </w:tcPr>
          <w:p>
            <w:pPr>
              <w:spacing w:after="0"/>
              <w:rPr>
                <w:rFonts w:ascii="Arial" w:cs="Arial" w:eastAsia="Arial" w:hAnsi="Arial"/>
                <w:sz w:val="14"/>
                <w:szCs w:val="14"/>
                <w:color w:val="0000FF"/>
              </w:rPr>
            </w:pPr>
            <w:hyperlink w:anchor="page82">
              <w:r>
                <w:rPr>
                  <w:rFonts w:ascii="Arial" w:cs="Arial" w:eastAsia="Arial" w:hAnsi="Arial"/>
                  <w:sz w:val="14"/>
                  <w:szCs w:val="14"/>
                  <w:color w:val="0000FF"/>
                </w:rPr>
                <w:t>Fourth Amendment to Office Lease between Dropbox, Inc. and Kilroy Realty Finance</w:t>
              </w:r>
            </w:hyperlink>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252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w w:val="91"/>
              </w:rPr>
            </w:pPr>
            <w:hyperlink w:anchor="page82">
              <w:r>
                <w:rPr>
                  <w:rFonts w:ascii="Arial" w:cs="Arial" w:eastAsia="Arial" w:hAnsi="Arial"/>
                  <w:sz w:val="14"/>
                  <w:szCs w:val="14"/>
                  <w:color w:val="0000FF"/>
                  <w:w w:val="91"/>
                </w:rPr>
                <w:t>Partnership, L.P., dated as of May 25, 2018.</w:t>
              </w:r>
            </w:hyperlink>
          </w:p>
        </w:tc>
        <w:tc>
          <w:tcPr>
            <w:tcW w:w="2440" w:type="dxa"/>
            <w:vAlign w:val="bottom"/>
            <w:tcBorders>
              <w:top w:val="single" w:sz="8" w:color="0000FF"/>
            </w:tcBorders>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7"/>
        </w:trPr>
        <w:tc>
          <w:tcPr>
            <w:tcW w:w="1040" w:type="dxa"/>
            <w:vAlign w:val="bottom"/>
          </w:tcPr>
          <w:p>
            <w:pPr>
              <w:spacing w:after="0"/>
              <w:rPr>
                <w:sz w:val="20"/>
                <w:szCs w:val="20"/>
                <w:color w:val="auto"/>
              </w:rPr>
            </w:pPr>
            <w:r>
              <w:rPr>
                <w:rFonts w:ascii="Arial" w:cs="Arial" w:eastAsia="Arial" w:hAnsi="Arial"/>
                <w:sz w:val="14"/>
                <w:szCs w:val="14"/>
                <w:color w:val="auto"/>
              </w:rPr>
              <w:t>10.2</w:t>
            </w:r>
          </w:p>
        </w:tc>
        <w:tc>
          <w:tcPr>
            <w:tcW w:w="5340" w:type="dxa"/>
            <w:vAlign w:val="bottom"/>
            <w:gridSpan w:val="9"/>
          </w:tcPr>
          <w:p>
            <w:pPr>
              <w:spacing w:after="0"/>
              <w:rPr>
                <w:rFonts w:ascii="Arial" w:cs="Arial" w:eastAsia="Arial" w:hAnsi="Arial"/>
                <w:sz w:val="14"/>
                <w:szCs w:val="14"/>
                <w:color w:val="0000FF"/>
                <w:w w:val="99"/>
              </w:rPr>
            </w:pPr>
            <w:hyperlink w:anchor="page89">
              <w:r>
                <w:rPr>
                  <w:rFonts w:ascii="Arial" w:cs="Arial" w:eastAsia="Arial" w:hAnsi="Arial"/>
                  <w:sz w:val="14"/>
                  <w:szCs w:val="14"/>
                  <w:color w:val="0000FF"/>
                  <w:w w:val="99"/>
                </w:rPr>
                <w:t>Second Amendment to Office Lease between Dropbox, Inc. and KR Mission Bay, LLC,</w:t>
              </w:r>
            </w:hyperlink>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150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w w:val="91"/>
              </w:rPr>
            </w:pPr>
            <w:hyperlink w:anchor="page89">
              <w:r>
                <w:rPr>
                  <w:rFonts w:ascii="Arial" w:cs="Arial" w:eastAsia="Arial" w:hAnsi="Arial"/>
                  <w:sz w:val="14"/>
                  <w:szCs w:val="14"/>
                  <w:color w:val="0000FF"/>
                  <w:w w:val="91"/>
                </w:rPr>
                <w:t>dated as of May 25, 2018.</w:t>
              </w:r>
            </w:hyperlink>
          </w:p>
        </w:tc>
        <w:tc>
          <w:tcPr>
            <w:tcW w:w="3560" w:type="dxa"/>
            <w:vAlign w:val="bottom"/>
            <w:tcBorders>
              <w:top w:val="single" w:sz="8" w:color="0000FF"/>
            </w:tcBorders>
            <w:gridSpan w:val="6"/>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7"/>
        </w:trPr>
        <w:tc>
          <w:tcPr>
            <w:tcW w:w="1040" w:type="dxa"/>
            <w:vAlign w:val="bottom"/>
          </w:tcPr>
          <w:p>
            <w:pPr>
              <w:spacing w:after="0"/>
              <w:rPr>
                <w:sz w:val="20"/>
                <w:szCs w:val="20"/>
                <w:color w:val="auto"/>
              </w:rPr>
            </w:pPr>
            <w:r>
              <w:rPr>
                <w:rFonts w:ascii="Arial" w:cs="Arial" w:eastAsia="Arial" w:hAnsi="Arial"/>
                <w:sz w:val="14"/>
                <w:szCs w:val="14"/>
                <w:color w:val="auto"/>
              </w:rPr>
              <w:t>31.1</w:t>
            </w:r>
          </w:p>
        </w:tc>
        <w:tc>
          <w:tcPr>
            <w:tcW w:w="5340" w:type="dxa"/>
            <w:vAlign w:val="bottom"/>
            <w:gridSpan w:val="9"/>
          </w:tcPr>
          <w:p>
            <w:pPr>
              <w:spacing w:after="0"/>
              <w:rPr>
                <w:rFonts w:ascii="Arial" w:cs="Arial" w:eastAsia="Arial" w:hAnsi="Arial"/>
                <w:sz w:val="14"/>
                <w:szCs w:val="14"/>
                <w:color w:val="0000FF"/>
              </w:rPr>
            </w:pPr>
            <w:hyperlink w:anchor="page93">
              <w:r>
                <w:rPr>
                  <w:rFonts w:ascii="Arial" w:cs="Arial" w:eastAsia="Arial" w:hAnsi="Arial"/>
                  <w:sz w:val="14"/>
                  <w:szCs w:val="14"/>
                  <w:color w:val="0000FF"/>
                </w:rPr>
                <w:t>Certification of Principal Executive Officer pursuant to Exchange Act Rules 13a-14(a)</w:t>
              </w:r>
            </w:hyperlink>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4980" w:type="dxa"/>
            <w:vAlign w:val="bottom"/>
            <w:tcBorders>
              <w:top w:val="single" w:sz="8" w:color="0000FF"/>
              <w:bottom w:val="single" w:sz="8" w:color="0000FF"/>
            </w:tcBorders>
            <w:gridSpan w:val="5"/>
          </w:tcPr>
          <w:p>
            <w:pPr>
              <w:spacing w:after="0" w:line="129" w:lineRule="exact"/>
              <w:rPr>
                <w:rFonts w:ascii="Arial" w:cs="Arial" w:eastAsia="Arial" w:hAnsi="Arial"/>
                <w:sz w:val="14"/>
                <w:szCs w:val="14"/>
                <w:color w:val="0000FF"/>
                <w:w w:val="92"/>
              </w:rPr>
            </w:pPr>
            <w:hyperlink w:anchor="page93">
              <w:r>
                <w:rPr>
                  <w:rFonts w:ascii="Arial" w:cs="Arial" w:eastAsia="Arial" w:hAnsi="Arial"/>
                  <w:sz w:val="14"/>
                  <w:szCs w:val="14"/>
                  <w:color w:val="0000FF"/>
                  <w:w w:val="92"/>
                </w:rPr>
                <w:t>and 15d-14(a), as adopted pursuant to Section 302 of the Sarbanes-Oxley Act of 2002.</w:t>
              </w:r>
            </w:hyperlink>
          </w:p>
        </w:tc>
        <w:tc>
          <w:tcPr>
            <w:tcW w:w="20" w:type="dxa"/>
            <w:vAlign w:val="bottom"/>
            <w:tcBorders>
              <w:top w:val="single" w:sz="8" w:color="0000FF"/>
            </w:tcBorders>
          </w:tcPr>
          <w:p>
            <w:pPr>
              <w:spacing w:after="0"/>
              <w:rPr>
                <w:sz w:val="11"/>
                <w:szCs w:val="11"/>
                <w:color w:val="auto"/>
              </w:rPr>
            </w:pPr>
          </w:p>
        </w:tc>
        <w:tc>
          <w:tcPr>
            <w:tcW w:w="18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7"/>
        </w:trPr>
        <w:tc>
          <w:tcPr>
            <w:tcW w:w="1040" w:type="dxa"/>
            <w:vAlign w:val="bottom"/>
          </w:tcPr>
          <w:p>
            <w:pPr>
              <w:spacing w:after="0"/>
              <w:rPr>
                <w:sz w:val="20"/>
                <w:szCs w:val="20"/>
                <w:color w:val="auto"/>
              </w:rPr>
            </w:pPr>
            <w:r>
              <w:rPr>
                <w:rFonts w:ascii="Arial" w:cs="Arial" w:eastAsia="Arial" w:hAnsi="Arial"/>
                <w:sz w:val="14"/>
                <w:szCs w:val="14"/>
                <w:color w:val="auto"/>
              </w:rPr>
              <w:t>31.2</w:t>
            </w:r>
          </w:p>
        </w:tc>
        <w:tc>
          <w:tcPr>
            <w:tcW w:w="5340" w:type="dxa"/>
            <w:vAlign w:val="bottom"/>
            <w:gridSpan w:val="9"/>
          </w:tcPr>
          <w:p>
            <w:pPr>
              <w:spacing w:after="0"/>
              <w:rPr>
                <w:rFonts w:ascii="Arial" w:cs="Arial" w:eastAsia="Arial" w:hAnsi="Arial"/>
                <w:sz w:val="14"/>
                <w:szCs w:val="14"/>
                <w:color w:val="0000FF"/>
                <w:w w:val="97"/>
              </w:rPr>
            </w:pPr>
            <w:hyperlink w:anchor="page94">
              <w:r>
                <w:rPr>
                  <w:rFonts w:ascii="Arial" w:cs="Arial" w:eastAsia="Arial" w:hAnsi="Arial"/>
                  <w:sz w:val="14"/>
                  <w:szCs w:val="14"/>
                  <w:color w:val="0000FF"/>
                  <w:w w:val="97"/>
                </w:rPr>
                <w:t>Certification of Principal Financial Officer pursuant to Exchange Act Rules 13a-14(a) and</w:t>
              </w:r>
            </w:hyperlink>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5180" w:type="dxa"/>
            <w:vAlign w:val="bottom"/>
            <w:tcBorders>
              <w:top w:val="single" w:sz="8" w:color="0000FF"/>
            </w:tcBorders>
            <w:gridSpan w:val="8"/>
          </w:tcPr>
          <w:p>
            <w:pPr>
              <w:spacing w:after="0" w:line="129" w:lineRule="exact"/>
              <w:rPr>
                <w:rFonts w:ascii="Arial" w:cs="Arial" w:eastAsia="Arial" w:hAnsi="Arial"/>
                <w:sz w:val="14"/>
                <w:szCs w:val="14"/>
                <w:color w:val="0000FF"/>
              </w:rPr>
            </w:pPr>
            <w:hyperlink w:anchor="page94">
              <w:r>
                <w:rPr>
                  <w:rFonts w:ascii="Arial" w:cs="Arial" w:eastAsia="Arial" w:hAnsi="Arial"/>
                  <w:sz w:val="14"/>
                  <w:szCs w:val="14"/>
                  <w:color w:val="0000FF"/>
                </w:rPr>
                <w:t>15d-14(a), as adopted pursuant to Section 302 of the Sarbanes-Oxley Act of 2002.</w:t>
              </w:r>
            </w:hyperlink>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1" w:right="299" w:bottom="1440" w:gutter="0" w:footer="0" w:header="0"/>
        </w:sectPr>
      </w:pP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101.INS</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101.SCH</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101.CAL</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101.DEF</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101.LAB</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101.PRE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rFonts w:ascii="Arial" w:cs="Arial" w:eastAsia="Arial" w:hAnsi="Arial"/>
          <w:sz w:val="13"/>
          <w:szCs w:val="13"/>
          <w:u w:val="single" w:color="auto"/>
          <w:color w:val="0000FF"/>
        </w:rPr>
      </w:pPr>
      <w:hyperlink w:anchor="page95">
        <w:r>
          <w:rPr>
            <w:rFonts w:ascii="Arial" w:cs="Arial" w:eastAsia="Arial" w:hAnsi="Arial"/>
            <w:sz w:val="13"/>
            <w:szCs w:val="13"/>
            <w:u w:val="single" w:color="auto"/>
            <w:color w:val="0000FF"/>
          </w:rPr>
          <w:t>Certifications of Principal Executive Officer and Principal Financial Officer pursuant to</w:t>
        </w:r>
      </w:hyperlink>
    </w:p>
    <w:p>
      <w:pPr>
        <w:spacing w:after="0" w:line="11" w:lineRule="exact"/>
        <w:rPr>
          <w:sz w:val="20"/>
          <w:szCs w:val="20"/>
          <w:color w:val="auto"/>
        </w:rPr>
      </w:pPr>
    </w:p>
    <w:p>
      <w:pPr>
        <w:spacing w:after="0"/>
        <w:rPr>
          <w:rFonts w:ascii="Arial" w:cs="Arial" w:eastAsia="Arial" w:hAnsi="Arial"/>
          <w:sz w:val="12"/>
          <w:szCs w:val="12"/>
          <w:u w:val="single" w:color="auto"/>
          <w:color w:val="0000FF"/>
        </w:rPr>
      </w:pPr>
      <w:hyperlink w:anchor="page95">
        <w:r>
          <w:rPr>
            <w:rFonts w:ascii="Arial" w:cs="Arial" w:eastAsia="Arial" w:hAnsi="Arial"/>
            <w:sz w:val="12"/>
            <w:szCs w:val="12"/>
            <w:u w:val="single" w:color="auto"/>
            <w:color w:val="0000FF"/>
          </w:rPr>
          <w:t>18 U.S.C. Section 1350 as adopted pursuant to Section 906 of the Sarbanes-Oxley Act of</w:t>
        </w:r>
      </w:hyperlink>
    </w:p>
    <w:p>
      <w:pPr>
        <w:spacing w:after="0" w:line="11" w:lineRule="exact"/>
        <w:rPr>
          <w:sz w:val="20"/>
          <w:szCs w:val="20"/>
          <w:color w:val="auto"/>
        </w:rPr>
      </w:pPr>
    </w:p>
    <w:p>
      <w:pPr>
        <w:spacing w:after="0"/>
        <w:rPr>
          <w:rFonts w:ascii="Arial" w:cs="Arial" w:eastAsia="Arial" w:hAnsi="Arial"/>
          <w:sz w:val="14"/>
          <w:szCs w:val="14"/>
          <w:u w:val="single" w:color="auto"/>
          <w:color w:val="0000FF"/>
        </w:rPr>
      </w:pPr>
      <w:hyperlink w:anchor="page95">
        <w:r>
          <w:rPr>
            <w:rFonts w:ascii="Arial" w:cs="Arial" w:eastAsia="Arial" w:hAnsi="Arial"/>
            <w:sz w:val="14"/>
            <w:szCs w:val="14"/>
            <w:u w:val="single" w:color="auto"/>
            <w:color w:val="0000FF"/>
          </w:rPr>
          <w:t>2002.</w:t>
        </w:r>
      </w:hyperlink>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XBRL Instance Document.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Schema Document.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Calculation Linkbase Document.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Definition Linkbase Document.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Label Linkbase Document.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Presentation Linkbase Document.</w:t>
      </w:r>
    </w:p>
    <w:p>
      <w:pPr>
        <w:spacing w:after="0" w:line="177" w:lineRule="exact"/>
        <w:rPr>
          <w:sz w:val="20"/>
          <w:szCs w:val="20"/>
          <w:color w:val="auto"/>
        </w:rPr>
      </w:pPr>
    </w:p>
    <w:p>
      <w:pPr>
        <w:sectPr>
          <w:pgSz w:w="11900" w:h="16838" w:orient="portrait"/>
          <w:cols w:equalWidth="0" w:num="2">
            <w:col w:w="580" w:space="500"/>
            <w:col w:w="10280"/>
          </w:cols>
          <w:pgMar w:left="240" w:top="121" w:right="299" w:bottom="1440" w:gutter="0" w:footer="0" w:header="0"/>
          <w:type w:val="continuous"/>
        </w:sectPr>
      </w:pPr>
    </w:p>
    <w:p>
      <w:pPr>
        <w:ind w:firstLine="8"/>
        <w:spacing w:after="0" w:line="257" w:lineRule="auto"/>
        <w:tabs>
          <w:tab w:leader="none" w:pos="108"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Quarterly Report on Form 10-Q are deemed furnished and not filed with the Securities and Exchange Commission and are not to be incorporated by reference into any filing of Dropbox,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40" w:top="121" w:right="29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240" w:type="dxa"/>
            <w:vAlign w:val="bottom"/>
            <w:gridSpan w:val="2"/>
          </w:tcPr>
          <w:p>
            <w:pPr>
              <w:ind w:left="260"/>
              <w:spacing w:after="0"/>
              <w:rPr>
                <w:sz w:val="20"/>
                <w:szCs w:val="20"/>
                <w:color w:val="auto"/>
              </w:rPr>
            </w:pPr>
            <w:r>
              <w:rPr>
                <w:rFonts w:ascii="Arial" w:cs="Arial" w:eastAsia="Arial" w:hAnsi="Arial"/>
                <w:sz w:val="18"/>
                <w:szCs w:val="18"/>
                <w:b w:val="1"/>
                <w:bCs w:val="1"/>
                <w:color w:val="auto"/>
              </w:rPr>
              <w:t>DROPBOX, INC.</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1600" w:type="dxa"/>
            <w:vAlign w:val="bottom"/>
          </w:tcPr>
          <w:p>
            <w:pPr>
              <w:ind w:left="140"/>
              <w:spacing w:after="0"/>
              <w:rPr>
                <w:sz w:val="20"/>
                <w:szCs w:val="20"/>
                <w:color w:val="auto"/>
              </w:rPr>
            </w:pPr>
            <w:r>
              <w:rPr>
                <w:rFonts w:ascii="Arial" w:cs="Arial" w:eastAsia="Arial" w:hAnsi="Arial"/>
                <w:sz w:val="18"/>
                <w:szCs w:val="18"/>
                <w:color w:val="auto"/>
              </w:rPr>
              <w:t>August 10, 2018</w:t>
            </w:r>
          </w:p>
        </w:tc>
        <w:tc>
          <w:tcPr>
            <w:tcW w:w="1260" w:type="dxa"/>
            <w:vAlign w:val="bottom"/>
          </w:tcPr>
          <w:p>
            <w:pPr>
              <w:ind w:left="260"/>
              <w:spacing w:after="0"/>
              <w:rPr>
                <w:sz w:val="20"/>
                <w:szCs w:val="20"/>
                <w:color w:val="auto"/>
              </w:rPr>
            </w:pPr>
            <w:r>
              <w:rPr>
                <w:rFonts w:ascii="Arial" w:cs="Arial" w:eastAsia="Arial" w:hAnsi="Arial"/>
                <w:sz w:val="18"/>
                <w:szCs w:val="18"/>
                <w:color w:val="auto"/>
              </w:rPr>
              <w:t>By:</w:t>
            </w:r>
          </w:p>
        </w:tc>
        <w:tc>
          <w:tcPr>
            <w:tcW w:w="7980" w:type="dxa"/>
            <w:vAlign w:val="bottom"/>
          </w:tcPr>
          <w:p>
            <w:pPr>
              <w:ind w:left="20"/>
              <w:spacing w:after="0"/>
              <w:rPr>
                <w:sz w:val="20"/>
                <w:szCs w:val="20"/>
                <w:color w:val="auto"/>
              </w:rPr>
            </w:pPr>
            <w:r>
              <w:rPr>
                <w:rFonts w:ascii="Arial" w:cs="Arial" w:eastAsia="Arial" w:hAnsi="Arial"/>
                <w:sz w:val="18"/>
                <w:szCs w:val="18"/>
                <w:color w:val="auto"/>
              </w:rPr>
              <w:t>/s/ Andrew W. Houston</w:t>
            </w:r>
          </w:p>
        </w:tc>
      </w:tr>
      <w:tr>
        <w:trPr>
          <w:trHeight w:val="27"/>
        </w:trPr>
        <w:tc>
          <w:tcPr>
            <w:tcW w:w="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9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Andrew W. Houston</w:t>
            </w:r>
          </w:p>
        </w:tc>
      </w:tr>
      <w:tr>
        <w:trPr>
          <w:trHeight w:val="270"/>
        </w:trPr>
        <w:tc>
          <w:tcPr>
            <w:tcW w:w="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621"/>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1600" w:type="dxa"/>
            <w:vAlign w:val="bottom"/>
          </w:tcPr>
          <w:p>
            <w:pPr>
              <w:ind w:left="140"/>
              <w:spacing w:after="0"/>
              <w:rPr>
                <w:sz w:val="20"/>
                <w:szCs w:val="20"/>
                <w:color w:val="auto"/>
              </w:rPr>
            </w:pPr>
            <w:r>
              <w:rPr>
                <w:rFonts w:ascii="Arial" w:cs="Arial" w:eastAsia="Arial" w:hAnsi="Arial"/>
                <w:sz w:val="18"/>
                <w:szCs w:val="18"/>
                <w:color w:val="auto"/>
              </w:rPr>
              <w:t>August 10, 2018</w:t>
            </w:r>
          </w:p>
        </w:tc>
        <w:tc>
          <w:tcPr>
            <w:tcW w:w="1260" w:type="dxa"/>
            <w:vAlign w:val="bottom"/>
          </w:tcPr>
          <w:p>
            <w:pPr>
              <w:ind w:left="260"/>
              <w:spacing w:after="0"/>
              <w:rPr>
                <w:sz w:val="20"/>
                <w:szCs w:val="20"/>
                <w:color w:val="auto"/>
              </w:rPr>
            </w:pPr>
            <w:r>
              <w:rPr>
                <w:rFonts w:ascii="Arial" w:cs="Arial" w:eastAsia="Arial" w:hAnsi="Arial"/>
                <w:sz w:val="18"/>
                <w:szCs w:val="18"/>
                <w:color w:val="auto"/>
              </w:rPr>
              <w:t>By:</w:t>
            </w:r>
          </w:p>
        </w:tc>
        <w:tc>
          <w:tcPr>
            <w:tcW w:w="7980" w:type="dxa"/>
            <w:vAlign w:val="bottom"/>
          </w:tcPr>
          <w:p>
            <w:pPr>
              <w:ind w:left="20"/>
              <w:spacing w:after="0"/>
              <w:rPr>
                <w:sz w:val="20"/>
                <w:szCs w:val="20"/>
                <w:color w:val="auto"/>
              </w:rPr>
            </w:pPr>
            <w:r>
              <w:rPr>
                <w:rFonts w:ascii="Arial" w:cs="Arial" w:eastAsia="Arial" w:hAnsi="Arial"/>
                <w:sz w:val="18"/>
                <w:szCs w:val="18"/>
                <w:color w:val="auto"/>
              </w:rPr>
              <w:t>/s/ Ajay V. Vashee</w:t>
            </w:r>
          </w:p>
        </w:tc>
      </w:tr>
      <w:tr>
        <w:trPr>
          <w:trHeight w:val="27"/>
        </w:trPr>
        <w:tc>
          <w:tcPr>
            <w:tcW w:w="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9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Ajay V. Vashee</w:t>
            </w:r>
          </w:p>
        </w:tc>
      </w:tr>
      <w:tr>
        <w:trPr>
          <w:trHeight w:val="270"/>
        </w:trPr>
        <w:tc>
          <w:tcPr>
            <w:tcW w:w="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r>
        <w:trPr>
          <w:trHeight w:val="621"/>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1600" w:type="dxa"/>
            <w:vAlign w:val="bottom"/>
          </w:tcPr>
          <w:p>
            <w:pPr>
              <w:ind w:left="140"/>
              <w:spacing w:after="0"/>
              <w:rPr>
                <w:sz w:val="20"/>
                <w:szCs w:val="20"/>
                <w:color w:val="auto"/>
              </w:rPr>
            </w:pPr>
            <w:r>
              <w:rPr>
                <w:rFonts w:ascii="Arial" w:cs="Arial" w:eastAsia="Arial" w:hAnsi="Arial"/>
                <w:sz w:val="18"/>
                <w:szCs w:val="18"/>
                <w:color w:val="auto"/>
              </w:rPr>
              <w:t>August 10, 2018</w:t>
            </w:r>
          </w:p>
        </w:tc>
        <w:tc>
          <w:tcPr>
            <w:tcW w:w="1260" w:type="dxa"/>
            <w:vAlign w:val="bottom"/>
          </w:tcPr>
          <w:p>
            <w:pPr>
              <w:ind w:left="260"/>
              <w:spacing w:after="0"/>
              <w:rPr>
                <w:sz w:val="20"/>
                <w:szCs w:val="20"/>
                <w:color w:val="auto"/>
              </w:rPr>
            </w:pPr>
            <w:r>
              <w:rPr>
                <w:rFonts w:ascii="Arial" w:cs="Arial" w:eastAsia="Arial" w:hAnsi="Arial"/>
                <w:sz w:val="18"/>
                <w:szCs w:val="18"/>
                <w:color w:val="auto"/>
              </w:rPr>
              <w:t>By:</w:t>
            </w:r>
          </w:p>
        </w:tc>
        <w:tc>
          <w:tcPr>
            <w:tcW w:w="7980" w:type="dxa"/>
            <w:vAlign w:val="bottom"/>
          </w:tcPr>
          <w:p>
            <w:pPr>
              <w:ind w:left="20"/>
              <w:spacing w:after="0"/>
              <w:rPr>
                <w:sz w:val="20"/>
                <w:szCs w:val="20"/>
                <w:color w:val="auto"/>
              </w:rPr>
            </w:pPr>
            <w:r>
              <w:rPr>
                <w:rFonts w:ascii="Arial" w:cs="Arial" w:eastAsia="Arial" w:hAnsi="Arial"/>
                <w:sz w:val="18"/>
                <w:szCs w:val="18"/>
                <w:color w:val="auto"/>
              </w:rPr>
              <w:t>/s/ Timothy J. Regan</w:t>
            </w:r>
          </w:p>
        </w:tc>
      </w:tr>
      <w:tr>
        <w:trPr>
          <w:trHeight w:val="27"/>
        </w:trPr>
        <w:tc>
          <w:tcPr>
            <w:tcW w:w="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9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Timothy J. Regan</w:t>
            </w:r>
          </w:p>
        </w:tc>
      </w:tr>
      <w:tr>
        <w:trPr>
          <w:trHeight w:val="270"/>
        </w:trPr>
        <w:tc>
          <w:tcPr>
            <w:tcW w:w="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bl>
    <w:p>
      <w:pPr>
        <w:spacing w:after="0" w:line="40" w:lineRule="exact"/>
        <w:rPr>
          <w:sz w:val="20"/>
          <w:szCs w:val="20"/>
          <w:color w:val="auto"/>
        </w:rPr>
      </w:pPr>
    </w:p>
    <w:p>
      <w:pPr>
        <w:ind w:left="346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FOURTH AMENDMENT TO OFFICE LEASE</w:t>
      </w:r>
    </w:p>
    <w:p>
      <w:pPr>
        <w:spacing w:after="0" w:line="21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This FOURTH AMENDMENT TO OFFICE LEASE (this "</w:t>
      </w:r>
      <w:r>
        <w:rPr>
          <w:rFonts w:ascii="Arial" w:cs="Arial" w:eastAsia="Arial" w:hAnsi="Arial"/>
          <w:sz w:val="22"/>
          <w:szCs w:val="22"/>
          <w:b w:val="1"/>
          <w:bCs w:val="1"/>
          <w:color w:val="auto"/>
        </w:rPr>
        <w:t>Fourth Amendment</w:t>
      </w:r>
      <w:r>
        <w:rPr>
          <w:rFonts w:ascii="Arial" w:cs="Arial" w:eastAsia="Arial" w:hAnsi="Arial"/>
          <w:sz w:val="22"/>
          <w:szCs w:val="22"/>
          <w:color w:val="auto"/>
        </w:rPr>
        <w:t>") is entered into as of the 25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May, 2018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KILROY REALTY FINANCE PARTNERSHIP, L.P., a Delaware limited partnership ("</w:t>
      </w:r>
      <w:r>
        <w:rPr>
          <w:rFonts w:ascii="Arial" w:cs="Arial" w:eastAsia="Arial" w:hAnsi="Arial"/>
          <w:sz w:val="22"/>
          <w:szCs w:val="22"/>
          <w:b w:val="1"/>
          <w:bCs w:val="1"/>
          <w:color w:val="auto"/>
        </w:rPr>
        <w:t>Landlord</w:t>
      </w:r>
      <w:r>
        <w:rPr>
          <w:rFonts w:ascii="Arial" w:cs="Arial" w:eastAsia="Arial" w:hAnsi="Arial"/>
          <w:sz w:val="22"/>
          <w:szCs w:val="22"/>
          <w:color w:val="auto"/>
        </w:rPr>
        <w:t>"), and DROPBOX, INC., a Delaware corporation ("</w:t>
      </w:r>
      <w:r>
        <w:rPr>
          <w:rFonts w:ascii="Arial" w:cs="Arial" w:eastAsia="Arial" w:hAnsi="Arial"/>
          <w:sz w:val="22"/>
          <w:szCs w:val="22"/>
          <w:b w:val="1"/>
          <w:bCs w:val="1"/>
          <w:color w:val="auto"/>
        </w:rPr>
        <w:t>Tenant</w:t>
      </w:r>
      <w:r>
        <w:rPr>
          <w:rFonts w:ascii="Arial" w:cs="Arial" w:eastAsia="Arial" w:hAnsi="Arial"/>
          <w:sz w:val="22"/>
          <w:szCs w:val="22"/>
          <w:color w:val="auto"/>
        </w:rPr>
        <w: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 E C I T A L S</w:t>
      </w:r>
      <w:r>
        <w:rPr>
          <w:rFonts w:ascii="Arial" w:cs="Arial" w:eastAsia="Arial" w:hAnsi="Arial"/>
          <w:sz w:val="22"/>
          <w:szCs w:val="22"/>
          <w:color w:val="auto"/>
        </w:rPr>
        <w:t xml:space="preserve"> :</w:t>
      </w:r>
    </w:p>
    <w:p>
      <w:pPr>
        <w:spacing w:after="0" w:line="200" w:lineRule="exact"/>
        <w:rPr>
          <w:sz w:val="20"/>
          <w:szCs w:val="20"/>
          <w:color w:val="auto"/>
        </w:rPr>
      </w:pPr>
    </w:p>
    <w:p>
      <w:pPr>
        <w:spacing w:after="0" w:line="230" w:lineRule="exact"/>
        <w:rPr>
          <w:sz w:val="20"/>
          <w:szCs w:val="20"/>
          <w:color w:val="auto"/>
        </w:rPr>
      </w:pPr>
    </w:p>
    <w:p>
      <w:pPr>
        <w:jc w:val="both"/>
        <w:ind w:firstLine="656"/>
        <w:spacing w:after="0" w:line="260" w:lineRule="auto"/>
        <w:tabs>
          <w:tab w:leader="none" w:pos="1507" w:val="left"/>
        </w:tabs>
        <w:numPr>
          <w:ilvl w:val="0"/>
          <w:numId w:val="33"/>
        </w:numPr>
        <w:rPr>
          <w:rFonts w:ascii="Arial" w:cs="Arial" w:eastAsia="Arial" w:hAnsi="Arial"/>
          <w:sz w:val="21"/>
          <w:szCs w:val="21"/>
          <w:color w:val="auto"/>
        </w:rPr>
      </w:pPr>
      <w:r>
        <w:rPr>
          <w:rFonts w:ascii="Arial" w:cs="Arial" w:eastAsia="Arial" w:hAnsi="Arial"/>
          <w:sz w:val="21"/>
          <w:szCs w:val="21"/>
          <w:color w:val="auto"/>
        </w:rPr>
        <w:t>Landlord and Tenant entered into that certain Office Lease dated January 31, 2014 (the "</w:t>
      </w:r>
      <w:r>
        <w:rPr>
          <w:rFonts w:ascii="Arial" w:cs="Arial" w:eastAsia="Arial" w:hAnsi="Arial"/>
          <w:sz w:val="21"/>
          <w:szCs w:val="21"/>
          <w:b w:val="1"/>
          <w:bCs w:val="1"/>
          <w:color w:val="auto"/>
        </w:rPr>
        <w:t>Original Lease</w:t>
      </w:r>
      <w:r>
        <w:rPr>
          <w:rFonts w:ascii="Arial" w:cs="Arial" w:eastAsia="Arial" w:hAnsi="Arial"/>
          <w:sz w:val="21"/>
          <w:szCs w:val="21"/>
          <w:color w:val="auto"/>
        </w:rPr>
        <w:t>"), as amended by that certain Notice of Lease Term Dates dated August 24, 2015 (the "</w:t>
      </w:r>
      <w:r>
        <w:rPr>
          <w:rFonts w:ascii="Arial" w:cs="Arial" w:eastAsia="Arial" w:hAnsi="Arial"/>
          <w:sz w:val="21"/>
          <w:szCs w:val="21"/>
          <w:b w:val="1"/>
          <w:bCs w:val="1"/>
          <w:color w:val="auto"/>
        </w:rPr>
        <w:t>Notice of Lease Term Dates</w:t>
      </w:r>
      <w:r>
        <w:rPr>
          <w:rFonts w:ascii="Arial" w:cs="Arial" w:eastAsia="Arial" w:hAnsi="Arial"/>
          <w:sz w:val="21"/>
          <w:szCs w:val="21"/>
          <w:color w:val="auto"/>
        </w:rPr>
        <w:t>"), that certain First Amendment to Office Lease dated June 5, 2015 (the "</w:t>
      </w:r>
      <w:r>
        <w:rPr>
          <w:rFonts w:ascii="Arial" w:cs="Arial" w:eastAsia="Arial" w:hAnsi="Arial"/>
          <w:sz w:val="21"/>
          <w:szCs w:val="21"/>
          <w:b w:val="1"/>
          <w:bCs w:val="1"/>
          <w:color w:val="auto"/>
        </w:rPr>
        <w:t>First Amendment</w:t>
      </w:r>
      <w:r>
        <w:rPr>
          <w:rFonts w:ascii="Arial" w:cs="Arial" w:eastAsia="Arial" w:hAnsi="Arial"/>
          <w:sz w:val="21"/>
          <w:szCs w:val="21"/>
          <w:color w:val="auto"/>
        </w:rPr>
        <w:t>"), that certain Second Amendment to Office Lease dated May 3, 2016 (the "</w:t>
      </w:r>
      <w:r>
        <w:rPr>
          <w:rFonts w:ascii="Arial" w:cs="Arial" w:eastAsia="Arial" w:hAnsi="Arial"/>
          <w:sz w:val="21"/>
          <w:szCs w:val="21"/>
          <w:b w:val="1"/>
          <w:bCs w:val="1"/>
          <w:color w:val="auto"/>
        </w:rPr>
        <w:t>Second Amendment</w:t>
      </w:r>
      <w:r>
        <w:rPr>
          <w:rFonts w:ascii="Arial" w:cs="Arial" w:eastAsia="Arial" w:hAnsi="Arial"/>
          <w:sz w:val="21"/>
          <w:szCs w:val="21"/>
          <w:color w:val="auto"/>
        </w:rPr>
        <w:t>"), and that certain Third Amendment to Office Lease dated October 6, 2017 (the "</w:t>
      </w:r>
      <w:r>
        <w:rPr>
          <w:rFonts w:ascii="Arial" w:cs="Arial" w:eastAsia="Arial" w:hAnsi="Arial"/>
          <w:sz w:val="21"/>
          <w:szCs w:val="21"/>
          <w:b w:val="1"/>
          <w:bCs w:val="1"/>
          <w:color w:val="auto"/>
        </w:rPr>
        <w:t>Third</w:t>
      </w:r>
      <w:r>
        <w:rPr>
          <w:rFonts w:ascii="Arial" w:cs="Arial" w:eastAsia="Arial" w:hAnsi="Arial"/>
          <w:sz w:val="21"/>
          <w:szCs w:val="21"/>
          <w:color w:val="auto"/>
        </w:rPr>
        <w:t xml:space="preserve"> </w:t>
      </w:r>
      <w:r>
        <w:rPr>
          <w:rFonts w:ascii="Arial" w:cs="Arial" w:eastAsia="Arial" w:hAnsi="Arial"/>
          <w:sz w:val="21"/>
          <w:szCs w:val="21"/>
          <w:b w:val="1"/>
          <w:bCs w:val="1"/>
          <w:color w:val="auto"/>
        </w:rPr>
        <w:t>Amendment</w:t>
      </w:r>
      <w:r>
        <w:rPr>
          <w:rFonts w:ascii="Arial" w:cs="Arial" w:eastAsia="Arial" w:hAnsi="Arial"/>
          <w:sz w:val="21"/>
          <w:szCs w:val="21"/>
          <w:color w:val="auto"/>
        </w:rPr>
        <w:t>"), whereby Landlord leases to Tenant and Tenant leases from Landlord all of the rentable office space (the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Premises</w:t>
      </w:r>
      <w:r>
        <w:rPr>
          <w:rFonts w:ascii="Arial" w:cs="Arial" w:eastAsia="Arial" w:hAnsi="Arial"/>
          <w:sz w:val="21"/>
          <w:szCs w:val="21"/>
          <w:color w:val="auto"/>
        </w:rPr>
        <w:t>") in that certain building located at 333 Brannan Street, San Francisco, California (the "</w:t>
      </w:r>
      <w:r>
        <w:rPr>
          <w:rFonts w:ascii="Arial" w:cs="Arial" w:eastAsia="Arial" w:hAnsi="Arial"/>
          <w:sz w:val="21"/>
          <w:szCs w:val="21"/>
          <w:b w:val="1"/>
          <w:bCs w:val="1"/>
          <w:color w:val="auto"/>
        </w:rPr>
        <w:t>Building</w:t>
      </w:r>
      <w:r>
        <w:rPr>
          <w:rFonts w:ascii="Arial" w:cs="Arial" w:eastAsia="Arial" w:hAnsi="Arial"/>
          <w:sz w:val="21"/>
          <w:szCs w:val="21"/>
          <w:color w:val="auto"/>
        </w:rPr>
        <w:t>"). The Office Lease, the Notice of Lease Term Dates, the First Amendment, the Second Amendment, and Third Amendment shall collectively be referred to herein as the "</w:t>
      </w:r>
      <w:r>
        <w:rPr>
          <w:rFonts w:ascii="Arial" w:cs="Arial" w:eastAsia="Arial" w:hAnsi="Arial"/>
          <w:sz w:val="21"/>
          <w:szCs w:val="21"/>
          <w:b w:val="1"/>
          <w:bCs w:val="1"/>
          <w:color w:val="auto"/>
        </w:rPr>
        <w:t>Lease</w:t>
      </w:r>
      <w:r>
        <w:rPr>
          <w:rFonts w:ascii="Arial" w:cs="Arial" w:eastAsia="Arial" w:hAnsi="Arial"/>
          <w:sz w:val="21"/>
          <w:szCs w:val="21"/>
          <w:color w:val="auto"/>
        </w:rPr>
        <w:t>".</w:t>
      </w:r>
    </w:p>
    <w:p>
      <w:pPr>
        <w:spacing w:after="0" w:line="176" w:lineRule="exact"/>
        <w:rPr>
          <w:rFonts w:ascii="Arial" w:cs="Arial" w:eastAsia="Arial" w:hAnsi="Arial"/>
          <w:sz w:val="21"/>
          <w:szCs w:val="21"/>
          <w:color w:val="auto"/>
        </w:rPr>
      </w:pPr>
    </w:p>
    <w:p>
      <w:pPr>
        <w:jc w:val="both"/>
        <w:ind w:firstLine="656"/>
        <w:spacing w:after="0" w:line="256" w:lineRule="auto"/>
        <w:tabs>
          <w:tab w:leader="none" w:pos="1495"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term of the Lease is scheduled to expire on August 31, 2027 (the "</w:t>
      </w:r>
      <w:r>
        <w:rPr>
          <w:rFonts w:ascii="Arial" w:cs="Arial" w:eastAsia="Arial" w:hAnsi="Arial"/>
          <w:sz w:val="22"/>
          <w:szCs w:val="22"/>
          <w:b w:val="1"/>
          <w:bCs w:val="1"/>
          <w:color w:val="auto"/>
        </w:rPr>
        <w:t>Scheduled Termination Date</w:t>
      </w:r>
      <w:r>
        <w:rPr>
          <w:rFonts w:ascii="Arial" w:cs="Arial" w:eastAsia="Arial" w:hAnsi="Arial"/>
          <w:sz w:val="22"/>
          <w:szCs w:val="22"/>
          <w:color w:val="auto"/>
        </w:rPr>
        <w:t>"). Tenant and Landlord desire to amend the Lease to adjust the expiration date of the Lease, among other things, all subject to the terms and conditions provided herein.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 G R E E M E N T</w:t>
      </w:r>
      <w:r>
        <w:rPr>
          <w:rFonts w:ascii="Arial" w:cs="Arial" w:eastAsia="Arial" w:hAnsi="Arial"/>
          <w:sz w:val="22"/>
          <w:szCs w:val="22"/>
          <w:color w:val="auto"/>
        </w:rPr>
        <w:t xml:space="preserve"> :</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recitals and the conditions and the covenants hereinafter contained, and for other consideration hereinafter set forth, the receipt and sufficiency of which are hereby acknowledged, Landlord and Tenant hereby agree as follows.</w:t>
      </w:r>
    </w:p>
    <w:p>
      <w:pPr>
        <w:spacing w:after="0" w:line="180" w:lineRule="exact"/>
        <w:rPr>
          <w:sz w:val="20"/>
          <w:szCs w:val="20"/>
          <w:color w:val="auto"/>
        </w:rPr>
      </w:pPr>
    </w:p>
    <w:p>
      <w:pPr>
        <w:jc w:val="both"/>
        <w:ind w:firstLine="656"/>
        <w:spacing w:after="0" w:line="298" w:lineRule="auto"/>
        <w:tabs>
          <w:tab w:leader="none" w:pos="1071" w:val="left"/>
        </w:tabs>
        <w:numPr>
          <w:ilvl w:val="0"/>
          <w:numId w:val="34"/>
        </w:numPr>
        <w:rPr>
          <w:rFonts w:ascii="Arial" w:cs="Arial" w:eastAsia="Arial" w:hAnsi="Arial"/>
          <w:sz w:val="19"/>
          <w:szCs w:val="19"/>
          <w:color w:val="auto"/>
        </w:rPr>
      </w:pPr>
      <w:r>
        <w:rPr>
          <w:rFonts w:ascii="Arial" w:cs="Arial" w:eastAsia="Arial" w:hAnsi="Arial"/>
          <w:sz w:val="19"/>
          <w:szCs w:val="19"/>
          <w:b w:val="1"/>
          <w:bCs w:val="1"/>
          <w:u w:val="single" w:color="auto"/>
          <w:color w:val="auto"/>
        </w:rPr>
        <w:t>New Expiration Date</w:t>
      </w:r>
      <w:r>
        <w:rPr>
          <w:rFonts w:ascii="Arial" w:cs="Arial" w:eastAsia="Arial" w:hAnsi="Arial"/>
          <w:sz w:val="19"/>
          <w:szCs w:val="19"/>
          <w:color w:val="auto"/>
        </w:rPr>
        <w:t>. Landlord and Tenant hereby agree that notwithstanding the Scheduled Termination Date, the</w:t>
      </w:r>
      <w:r>
        <w:rPr>
          <w:rFonts w:ascii="Arial" w:cs="Arial" w:eastAsia="Arial" w:hAnsi="Arial"/>
          <w:sz w:val="19"/>
          <w:szCs w:val="19"/>
          <w:b w:val="1"/>
          <w:bCs w:val="1"/>
          <w:color w:val="auto"/>
        </w:rPr>
        <w:t xml:space="preserve"> </w:t>
      </w:r>
      <w:r>
        <w:rPr>
          <w:rFonts w:ascii="Arial" w:cs="Arial" w:eastAsia="Arial" w:hAnsi="Arial"/>
          <w:sz w:val="19"/>
          <w:szCs w:val="19"/>
          <w:color w:val="auto"/>
        </w:rPr>
        <w:t>Lease shall terminate as of November 30, 2019 (the "</w:t>
      </w:r>
      <w:r>
        <w:rPr>
          <w:rFonts w:ascii="Arial" w:cs="Arial" w:eastAsia="Arial" w:hAnsi="Arial"/>
          <w:sz w:val="19"/>
          <w:szCs w:val="19"/>
          <w:b w:val="1"/>
          <w:bCs w:val="1"/>
          <w:color w:val="auto"/>
        </w:rPr>
        <w:t>New Expiration Date</w:t>
      </w:r>
      <w:r>
        <w:rPr>
          <w:rFonts w:ascii="Arial" w:cs="Arial" w:eastAsia="Arial" w:hAnsi="Arial"/>
          <w:sz w:val="19"/>
          <w:szCs w:val="19"/>
          <w:color w:val="auto"/>
        </w:rPr>
        <w:t>"). From and after the date of this Fourth Amendment, all references in the Lease to the "Lease Expiration Date", or words of similar effect, shall mean the New Expiration Date. Concurrently with Landlord's execution of this Fourth Amendment, Landlord is entering into a lease (the "</w:t>
      </w:r>
      <w:r>
        <w:rPr>
          <w:rFonts w:ascii="Arial" w:cs="Arial" w:eastAsia="Arial" w:hAnsi="Arial"/>
          <w:sz w:val="19"/>
          <w:szCs w:val="19"/>
          <w:b w:val="1"/>
          <w:bCs w:val="1"/>
          <w:color w:val="auto"/>
        </w:rPr>
        <w:t>New Lease</w:t>
      </w:r>
      <w:r>
        <w:rPr>
          <w:rFonts w:ascii="Arial" w:cs="Arial" w:eastAsia="Arial" w:hAnsi="Arial"/>
          <w:sz w:val="19"/>
          <w:szCs w:val="19"/>
          <w:color w:val="auto"/>
        </w:rPr>
        <w:t>") with a third-party tenant (the "</w:t>
      </w:r>
      <w:r>
        <w:rPr>
          <w:rFonts w:ascii="Arial" w:cs="Arial" w:eastAsia="Arial" w:hAnsi="Arial"/>
          <w:sz w:val="19"/>
          <w:szCs w:val="19"/>
          <w:b w:val="1"/>
          <w:bCs w:val="1"/>
          <w:color w:val="auto"/>
        </w:rPr>
        <w:t>New Tenant</w:t>
      </w:r>
      <w:r>
        <w:rPr>
          <w:rFonts w:ascii="Arial" w:cs="Arial" w:eastAsia="Arial" w:hAnsi="Arial"/>
          <w:sz w:val="19"/>
          <w:szCs w:val="19"/>
          <w:color w:val="auto"/>
        </w:rPr>
        <w:t>") to lease the Premises as of the date immediately following the New Expiration Date, which includes certain rights for access to the Premises prior to the New Expiration Date as set forth below.</w:t>
      </w:r>
    </w:p>
    <w:p>
      <w:pPr>
        <w:spacing w:after="0" w:line="141" w:lineRule="exact"/>
        <w:rPr>
          <w:rFonts w:ascii="Arial" w:cs="Arial" w:eastAsia="Arial" w:hAnsi="Arial"/>
          <w:sz w:val="19"/>
          <w:szCs w:val="19"/>
          <w:color w:val="auto"/>
        </w:rPr>
      </w:pPr>
    </w:p>
    <w:p>
      <w:pPr>
        <w:jc w:val="both"/>
        <w:ind w:firstLine="656"/>
        <w:spacing w:after="0" w:line="251" w:lineRule="auto"/>
        <w:tabs>
          <w:tab w:leader="none" w:pos="1017" w:val="left"/>
        </w:tabs>
        <w:numPr>
          <w:ilvl w:val="0"/>
          <w:numId w:val="34"/>
        </w:numPr>
        <w:rPr>
          <w:rFonts w:ascii="Arial" w:cs="Arial" w:eastAsia="Arial" w:hAnsi="Arial"/>
          <w:sz w:val="22"/>
          <w:szCs w:val="22"/>
          <w:color w:val="auto"/>
        </w:rPr>
      </w:pPr>
      <w:r>
        <w:rPr>
          <w:rFonts w:ascii="Arial" w:cs="Arial" w:eastAsia="Arial" w:hAnsi="Arial"/>
          <w:sz w:val="22"/>
          <w:szCs w:val="22"/>
          <w:b w:val="1"/>
          <w:bCs w:val="1"/>
          <w:u w:val="single" w:color="auto"/>
          <w:color w:val="auto"/>
        </w:rPr>
        <w:t>Early Surrender</w:t>
      </w:r>
      <w:r>
        <w:rPr>
          <w:rFonts w:ascii="Arial" w:cs="Arial" w:eastAsia="Arial" w:hAnsi="Arial"/>
          <w:sz w:val="22"/>
          <w:szCs w:val="22"/>
          <w:color w:val="auto"/>
        </w:rPr>
        <w:t>. Notwithstanding any provision to the contrary contained in the Lease, as amended hereby, Landlord</w:t>
      </w:r>
      <w:r>
        <w:rPr>
          <w:rFonts w:ascii="Arial" w:cs="Arial" w:eastAsia="Arial" w:hAnsi="Arial"/>
          <w:sz w:val="22"/>
          <w:szCs w:val="22"/>
          <w:b w:val="1"/>
          <w:bCs w:val="1"/>
          <w:color w:val="auto"/>
        </w:rPr>
        <w:t xml:space="preserve"> </w:t>
      </w:r>
      <w:r>
        <w:rPr>
          <w:rFonts w:ascii="Arial" w:cs="Arial" w:eastAsia="Arial" w:hAnsi="Arial"/>
          <w:sz w:val="22"/>
          <w:szCs w:val="22"/>
          <w:color w:val="auto"/>
        </w:rPr>
        <w:t>and Tenant hereby acknowledge and agree that, on or before August 31, 2019 (notwithstanding that such date occurs prior to the New Expiration Date, the "</w:t>
      </w:r>
      <w:r>
        <w:rPr>
          <w:rFonts w:ascii="Arial" w:cs="Arial" w:eastAsia="Arial" w:hAnsi="Arial"/>
          <w:sz w:val="22"/>
          <w:szCs w:val="22"/>
          <w:b w:val="1"/>
          <w:bCs w:val="1"/>
          <w:color w:val="auto"/>
        </w:rPr>
        <w:t>Surrender Date</w:t>
      </w:r>
      <w:r>
        <w:rPr>
          <w:rFonts w:ascii="Arial" w:cs="Arial" w:eastAsia="Arial" w:hAnsi="Arial"/>
          <w:sz w:val="22"/>
          <w:szCs w:val="22"/>
          <w:color w:val="auto"/>
        </w:rPr>
        <w:t xml:space="preserve">"), Tenant shall vacate and surrender and deliver possession of the Premises to Landlord in the condition described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below. In the event Tenant does not timely vacate and surrender possession of the Premises on or before the Surrender Date in accordance with the terms hereof, then the terms and conditions of </w:t>
      </w:r>
      <w:r>
        <w:rPr>
          <w:rFonts w:ascii="Arial" w:cs="Arial" w:eastAsia="Arial" w:hAnsi="Arial"/>
          <w:sz w:val="22"/>
          <w:szCs w:val="22"/>
          <w:u w:val="single" w:color="auto"/>
          <w:color w:val="auto"/>
        </w:rPr>
        <w:t>Article 16</w:t>
      </w:r>
      <w:r>
        <w:rPr>
          <w:rFonts w:ascii="Arial" w:cs="Arial" w:eastAsia="Arial" w:hAnsi="Arial"/>
          <w:sz w:val="22"/>
          <w:szCs w:val="22"/>
          <w:color w:val="auto"/>
        </w:rPr>
        <w:t xml:space="preserve"> of the Original Lease shall apply with</w:t>
      </w:r>
    </w:p>
    <w:p>
      <w:pPr>
        <w:sectPr>
          <w:pgSz w:w="11900" w:h="16838" w:orient="portrait"/>
          <w:cols w:equalWidth="0" w:num="1">
            <w:col w:w="11420"/>
          </w:cols>
          <w:pgMar w:left="240" w:top="388" w:right="239" w:bottom="1440" w:gutter="0" w:footer="0" w:header="0"/>
        </w:sectPr>
      </w:pPr>
    </w:p>
    <w:bookmarkStart w:id="82" w:name="page83"/>
    <w:bookmarkEnd w:id="82"/>
    <w:p>
      <w:pPr>
        <w:jc w:val="both"/>
        <w:spacing w:after="0" w:line="286" w:lineRule="auto"/>
        <w:rPr>
          <w:sz w:val="20"/>
          <w:szCs w:val="20"/>
          <w:color w:val="auto"/>
        </w:rPr>
      </w:pPr>
      <w:r>
        <w:rPr>
          <w:rFonts w:ascii="Arial" w:cs="Arial" w:eastAsia="Arial" w:hAnsi="Arial"/>
          <w:sz w:val="19"/>
          <w:szCs w:val="19"/>
          <w:color w:val="auto"/>
        </w:rPr>
        <w:t xml:space="preserve">respect thereto, provided, however, the Tenant indemnification obligations set forth in </w:t>
      </w:r>
      <w:r>
        <w:rPr>
          <w:rFonts w:ascii="Arial" w:cs="Arial" w:eastAsia="Arial" w:hAnsi="Arial"/>
          <w:sz w:val="19"/>
          <w:szCs w:val="19"/>
          <w:u w:val="single" w:color="auto"/>
          <w:color w:val="auto"/>
        </w:rPr>
        <w:t>Article 16</w:t>
      </w:r>
      <w:r>
        <w:rPr>
          <w:rFonts w:ascii="Arial" w:cs="Arial" w:eastAsia="Arial" w:hAnsi="Arial"/>
          <w:sz w:val="19"/>
          <w:szCs w:val="19"/>
          <w:color w:val="auto"/>
        </w:rPr>
        <w:t xml:space="preserve"> of the Original Lease shall not be applicable during the first thirty (30) days following the Surrender Date. Accordingly, subject to the terms and conditions of this </w:t>
      </w:r>
      <w:r>
        <w:rPr>
          <w:rFonts w:ascii="Arial" w:cs="Arial" w:eastAsia="Arial" w:hAnsi="Arial"/>
          <w:sz w:val="19"/>
          <w:szCs w:val="19"/>
          <w:u w:val="single" w:color="auto"/>
          <w:color w:val="auto"/>
        </w:rPr>
        <w:t>Section 2</w:t>
      </w:r>
      <w:r>
        <w:rPr>
          <w:rFonts w:ascii="Arial" w:cs="Arial" w:eastAsia="Arial" w:hAnsi="Arial"/>
          <w:sz w:val="19"/>
          <w:szCs w:val="19"/>
          <w:color w:val="auto"/>
        </w:rPr>
        <w:t>, during the period (the "</w:t>
      </w:r>
      <w:r>
        <w:rPr>
          <w:rFonts w:ascii="Arial" w:cs="Arial" w:eastAsia="Arial" w:hAnsi="Arial"/>
          <w:sz w:val="19"/>
          <w:szCs w:val="19"/>
          <w:b w:val="1"/>
          <w:bCs w:val="1"/>
          <w:color w:val="auto"/>
        </w:rPr>
        <w:t>Surrender Period</w:t>
      </w:r>
      <w:r>
        <w:rPr>
          <w:rFonts w:ascii="Arial" w:cs="Arial" w:eastAsia="Arial" w:hAnsi="Arial"/>
          <w:sz w:val="19"/>
          <w:szCs w:val="19"/>
          <w:color w:val="auto"/>
        </w:rPr>
        <w:t>") commencing on the day immediately following the Surrender Date and continuing through the New Expiration Date, the Lease, as amended hereby, shall remain in full force and effect; except that,</w:t>
      </w:r>
    </w:p>
    <w:p>
      <w:pPr>
        <w:spacing w:after="0" w:line="3" w:lineRule="exact"/>
        <w:rPr>
          <w:sz w:val="20"/>
          <w:szCs w:val="20"/>
          <w:color w:val="auto"/>
        </w:rPr>
      </w:pPr>
    </w:p>
    <w:p>
      <w:pPr>
        <w:jc w:val="both"/>
        <w:ind w:firstLine="8"/>
        <w:spacing w:after="0" w:line="283" w:lineRule="auto"/>
        <w:tabs>
          <w:tab w:leader="none" w:pos="293"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Tenant shall have surrendered the Premises and delivered possession of the Premises to Landlord in accordance with this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above as though the New Expiration Date had occurred on the Surrender Date, (ii) Tenant, its agents and representatives shall have no right to access, occupy, use and/or enter upon the Premises during the Surrender Period, and Tenant shall have no further responsibility, obligation or liability of any kind or nature whatsoever for the Premises, the condition thereof, the maintenance or repair thereof, or any act, occurrence or accident occurring on or about the Premises or emitting therefrom, (iii) in consideration for Landlord entering into this Fourth Amendment and providing for the early termination of the Lease, and notwithstanding Tenant's surrender of the Premises, the occupancy thereof by the New Tenant and/or the existence of the New Lease, Tenant shall remain liable for the payment of Base Rent and Tenant's Share of Direct Expenses as provided for in Section 4.1 below, but Tenant shall have no obligation for the payment of any other Rent or amounts owing under the Lease during the Surrender Period, including, without limitation, any after-hours HVAC charges or electricity costs, but Tenant shall continue to be responsible for late charges and interest on any late payment of Base Rent or Tenant's Share of Direct Expenses to the extent provided in </w:t>
      </w:r>
      <w:r>
        <w:rPr>
          <w:rFonts w:ascii="Arial" w:cs="Arial" w:eastAsia="Arial" w:hAnsi="Arial"/>
          <w:sz w:val="19"/>
          <w:szCs w:val="19"/>
          <w:u w:val="single" w:color="auto"/>
          <w:color w:val="auto"/>
        </w:rPr>
        <w:t>Article 25</w:t>
      </w:r>
      <w:r>
        <w:rPr>
          <w:rFonts w:ascii="Arial" w:cs="Arial" w:eastAsia="Arial" w:hAnsi="Arial"/>
          <w:sz w:val="19"/>
          <w:szCs w:val="19"/>
          <w:color w:val="auto"/>
        </w:rPr>
        <w:t xml:space="preserve"> of the Original Lease, (iv) Tenant shall not be obligated to provide any janitorial services to the Premises during the Surrender Period, (v) Landlord, its agents, representatives and any other third parties (including, without limitation, the New Tenant) shall have the right to enter upon, occupy, use, repair, and/or make alterations, improvements, demolitions or improvements to the Premises at any and all times and without notice to Tenant and Landlord shall indemnify and defend Tenant against and hold Tenant harmless from and against any and all claims, demands, losses, liabilities, lawsuits, judgments, costs and expenses (including, without limitation, reasonable attorneys' fees) with respect to any such entry upon, occupancy, use and/or repair of the Premises, and/or the making of any such alterations, improvements, demolitions or improvements to the Premises, whether by Landlord, its agents, representatives and any other third parties (including, without limitation, the New Tenant), (vi) in no event shall a constructive eviction be deemed to have occurred with respect to the Premises, (vii) as of the Surrender Date, the following provisions of the Lease shall be deemed deleted in their entirety and of no further effect, and neither Landlord nor Tenant shall have any rights or obligations under such provisions: </w:t>
      </w:r>
      <w:r>
        <w:rPr>
          <w:rFonts w:ascii="Arial" w:cs="Arial" w:eastAsia="Arial" w:hAnsi="Arial"/>
          <w:sz w:val="19"/>
          <w:szCs w:val="19"/>
          <w:u w:val="single" w:color="auto"/>
          <w:color w:val="auto"/>
        </w:rPr>
        <w:t>Sections 2.2</w:t>
      </w:r>
      <w:r>
        <w:rPr>
          <w:rFonts w:ascii="Arial" w:cs="Arial" w:eastAsia="Arial" w:hAnsi="Arial"/>
          <w:sz w:val="19"/>
          <w:szCs w:val="19"/>
          <w:color w:val="auto"/>
        </w:rPr>
        <w:t xml:space="preserve">, </w:t>
      </w:r>
      <w:r>
        <w:rPr>
          <w:rFonts w:ascii="Arial" w:cs="Arial" w:eastAsia="Arial" w:hAnsi="Arial"/>
          <w:sz w:val="19"/>
          <w:szCs w:val="19"/>
          <w:u w:val="single" w:color="auto"/>
          <w:color w:val="auto"/>
        </w:rPr>
        <w:t>4.5</w:t>
      </w:r>
      <w:r>
        <w:rPr>
          <w:rFonts w:ascii="Arial" w:cs="Arial" w:eastAsia="Arial" w:hAnsi="Arial"/>
          <w:sz w:val="19"/>
          <w:szCs w:val="19"/>
          <w:color w:val="auto"/>
        </w:rPr>
        <w:t xml:space="preserve">, </w:t>
      </w:r>
      <w:r>
        <w:rPr>
          <w:rFonts w:ascii="Arial" w:cs="Arial" w:eastAsia="Arial" w:hAnsi="Arial"/>
          <w:sz w:val="19"/>
          <w:szCs w:val="19"/>
          <w:u w:val="single" w:color="auto"/>
          <w:color w:val="auto"/>
        </w:rPr>
        <w:t>5</w:t>
      </w:r>
      <w:r>
        <w:rPr>
          <w:rFonts w:ascii="Arial" w:cs="Arial" w:eastAsia="Arial" w:hAnsi="Arial"/>
          <w:sz w:val="19"/>
          <w:szCs w:val="19"/>
          <w:color w:val="auto"/>
        </w:rPr>
        <w:t xml:space="preserve">, </w:t>
      </w:r>
      <w:r>
        <w:rPr>
          <w:rFonts w:ascii="Arial" w:cs="Arial" w:eastAsia="Arial" w:hAnsi="Arial"/>
          <w:sz w:val="19"/>
          <w:szCs w:val="19"/>
          <w:u w:val="single" w:color="auto"/>
          <w:color w:val="auto"/>
        </w:rPr>
        <w:t>6</w:t>
      </w:r>
      <w:r>
        <w:rPr>
          <w:rFonts w:ascii="Arial" w:cs="Arial" w:eastAsia="Arial" w:hAnsi="Arial"/>
          <w:sz w:val="19"/>
          <w:szCs w:val="19"/>
          <w:color w:val="auto"/>
        </w:rPr>
        <w:t xml:space="preserve">, </w:t>
      </w:r>
      <w:r>
        <w:rPr>
          <w:rFonts w:ascii="Arial" w:cs="Arial" w:eastAsia="Arial" w:hAnsi="Arial"/>
          <w:sz w:val="19"/>
          <w:szCs w:val="19"/>
          <w:u w:val="single" w:color="auto"/>
          <w:color w:val="auto"/>
        </w:rPr>
        <w:t>7</w:t>
      </w:r>
      <w:r>
        <w:rPr>
          <w:rFonts w:ascii="Arial" w:cs="Arial" w:eastAsia="Arial" w:hAnsi="Arial"/>
          <w:sz w:val="19"/>
          <w:szCs w:val="19"/>
          <w:color w:val="auto"/>
        </w:rPr>
        <w:t xml:space="preserve">, </w:t>
      </w:r>
      <w:r>
        <w:rPr>
          <w:rFonts w:ascii="Arial" w:cs="Arial" w:eastAsia="Arial" w:hAnsi="Arial"/>
          <w:sz w:val="19"/>
          <w:szCs w:val="19"/>
          <w:u w:val="single" w:color="auto"/>
          <w:color w:val="auto"/>
        </w:rPr>
        <w:t>8</w:t>
      </w:r>
      <w:r>
        <w:rPr>
          <w:rFonts w:ascii="Arial" w:cs="Arial" w:eastAsia="Arial" w:hAnsi="Arial"/>
          <w:sz w:val="19"/>
          <w:szCs w:val="19"/>
          <w:color w:val="auto"/>
        </w:rPr>
        <w:t xml:space="preserve">, </w:t>
      </w:r>
      <w:r>
        <w:rPr>
          <w:rFonts w:ascii="Arial" w:cs="Arial" w:eastAsia="Arial" w:hAnsi="Arial"/>
          <w:sz w:val="19"/>
          <w:szCs w:val="19"/>
          <w:u w:val="single" w:color="auto"/>
          <w:color w:val="auto"/>
        </w:rPr>
        <w:t>9</w:t>
      </w:r>
      <w:r>
        <w:rPr>
          <w:rFonts w:ascii="Arial" w:cs="Arial" w:eastAsia="Arial" w:hAnsi="Arial"/>
          <w:sz w:val="19"/>
          <w:szCs w:val="19"/>
          <w:color w:val="auto"/>
        </w:rPr>
        <w:t xml:space="preserve">, </w:t>
      </w:r>
      <w:r>
        <w:rPr>
          <w:rFonts w:ascii="Arial" w:cs="Arial" w:eastAsia="Arial" w:hAnsi="Arial"/>
          <w:sz w:val="19"/>
          <w:szCs w:val="19"/>
          <w:u w:val="single" w:color="auto"/>
          <w:color w:val="auto"/>
        </w:rPr>
        <w:t>10</w:t>
      </w:r>
      <w:r>
        <w:rPr>
          <w:rFonts w:ascii="Arial" w:cs="Arial" w:eastAsia="Arial" w:hAnsi="Arial"/>
          <w:sz w:val="19"/>
          <w:szCs w:val="19"/>
          <w:color w:val="auto"/>
        </w:rPr>
        <w:t xml:space="preserve">, </w:t>
      </w:r>
      <w:r>
        <w:rPr>
          <w:rFonts w:ascii="Arial" w:cs="Arial" w:eastAsia="Arial" w:hAnsi="Arial"/>
          <w:sz w:val="19"/>
          <w:szCs w:val="19"/>
          <w:u w:val="single" w:color="auto"/>
          <w:color w:val="auto"/>
        </w:rPr>
        <w:t>14.9</w:t>
      </w:r>
      <w:r>
        <w:rPr>
          <w:rFonts w:ascii="Arial" w:cs="Arial" w:eastAsia="Arial" w:hAnsi="Arial"/>
          <w:sz w:val="19"/>
          <w:szCs w:val="19"/>
          <w:color w:val="auto"/>
        </w:rPr>
        <w:t xml:space="preserve">, </w:t>
      </w:r>
      <w:r>
        <w:rPr>
          <w:rFonts w:ascii="Arial" w:cs="Arial" w:eastAsia="Arial" w:hAnsi="Arial"/>
          <w:sz w:val="19"/>
          <w:szCs w:val="19"/>
          <w:u w:val="single" w:color="auto"/>
          <w:color w:val="auto"/>
        </w:rPr>
        <w:t>15</w:t>
      </w:r>
      <w:r>
        <w:rPr>
          <w:rFonts w:ascii="Arial" w:cs="Arial" w:eastAsia="Arial" w:hAnsi="Arial"/>
          <w:sz w:val="19"/>
          <w:szCs w:val="19"/>
          <w:color w:val="auto"/>
        </w:rPr>
        <w:t xml:space="preserve">, </w:t>
      </w:r>
      <w:r>
        <w:rPr>
          <w:rFonts w:ascii="Arial" w:cs="Arial" w:eastAsia="Arial" w:hAnsi="Arial"/>
          <w:sz w:val="19"/>
          <w:szCs w:val="19"/>
          <w:u w:val="single" w:color="auto"/>
          <w:color w:val="auto"/>
        </w:rPr>
        <w:t>19.6</w:t>
      </w:r>
      <w:r>
        <w:rPr>
          <w:rFonts w:ascii="Arial" w:cs="Arial" w:eastAsia="Arial" w:hAnsi="Arial"/>
          <w:sz w:val="19"/>
          <w:szCs w:val="19"/>
          <w:color w:val="auto"/>
        </w:rPr>
        <w:t xml:space="preserve">, </w:t>
      </w:r>
      <w:r>
        <w:rPr>
          <w:rFonts w:ascii="Arial" w:cs="Arial" w:eastAsia="Arial" w:hAnsi="Arial"/>
          <w:sz w:val="19"/>
          <w:szCs w:val="19"/>
          <w:u w:val="single" w:color="auto"/>
          <w:color w:val="auto"/>
        </w:rPr>
        <w:t>20</w:t>
      </w:r>
      <w:r>
        <w:rPr>
          <w:rFonts w:ascii="Arial" w:cs="Arial" w:eastAsia="Arial" w:hAnsi="Arial"/>
          <w:sz w:val="19"/>
          <w:szCs w:val="19"/>
          <w:color w:val="auto"/>
        </w:rPr>
        <w:t xml:space="preserve">, 22, </w:t>
      </w:r>
      <w:r>
        <w:rPr>
          <w:rFonts w:ascii="Arial" w:cs="Arial" w:eastAsia="Arial" w:hAnsi="Arial"/>
          <w:sz w:val="19"/>
          <w:szCs w:val="19"/>
          <w:u w:val="single" w:color="auto"/>
          <w:color w:val="auto"/>
        </w:rPr>
        <w:t>23</w:t>
      </w:r>
      <w:r>
        <w:rPr>
          <w:rFonts w:ascii="Arial" w:cs="Arial" w:eastAsia="Arial" w:hAnsi="Arial"/>
          <w:sz w:val="19"/>
          <w:szCs w:val="19"/>
          <w:color w:val="auto"/>
        </w:rPr>
        <w:t xml:space="preserve">, </w:t>
      </w:r>
      <w:r>
        <w:rPr>
          <w:rFonts w:ascii="Arial" w:cs="Arial" w:eastAsia="Arial" w:hAnsi="Arial"/>
          <w:sz w:val="19"/>
          <w:szCs w:val="19"/>
          <w:u w:val="single" w:color="auto"/>
          <w:color w:val="auto"/>
        </w:rPr>
        <w:t>24</w:t>
      </w:r>
      <w:r>
        <w:rPr>
          <w:rFonts w:ascii="Arial" w:cs="Arial" w:eastAsia="Arial" w:hAnsi="Arial"/>
          <w:sz w:val="19"/>
          <w:szCs w:val="19"/>
          <w:color w:val="auto"/>
        </w:rPr>
        <w:t xml:space="preserve">, </w:t>
      </w:r>
      <w:r>
        <w:rPr>
          <w:rFonts w:ascii="Arial" w:cs="Arial" w:eastAsia="Arial" w:hAnsi="Arial"/>
          <w:sz w:val="19"/>
          <w:szCs w:val="19"/>
          <w:u w:val="single" w:color="auto"/>
          <w:color w:val="auto"/>
        </w:rPr>
        <w:t>28</w:t>
      </w:r>
      <w:r>
        <w:rPr>
          <w:rFonts w:ascii="Arial" w:cs="Arial" w:eastAsia="Arial" w:hAnsi="Arial"/>
          <w:sz w:val="19"/>
          <w:szCs w:val="19"/>
          <w:color w:val="auto"/>
        </w:rPr>
        <w:t xml:space="preserve">, </w:t>
      </w:r>
      <w:r>
        <w:rPr>
          <w:rFonts w:ascii="Arial" w:cs="Arial" w:eastAsia="Arial" w:hAnsi="Arial"/>
          <w:sz w:val="19"/>
          <w:szCs w:val="19"/>
          <w:u w:val="single" w:color="auto"/>
          <w:color w:val="auto"/>
        </w:rPr>
        <w:t>29.29</w:t>
      </w:r>
      <w:r>
        <w:rPr>
          <w:rFonts w:ascii="Arial" w:cs="Arial" w:eastAsia="Arial" w:hAnsi="Arial"/>
          <w:sz w:val="19"/>
          <w:szCs w:val="19"/>
          <w:color w:val="auto"/>
        </w:rPr>
        <w:t xml:space="preserve">, </w:t>
      </w:r>
      <w:r>
        <w:rPr>
          <w:rFonts w:ascii="Arial" w:cs="Arial" w:eastAsia="Arial" w:hAnsi="Arial"/>
          <w:sz w:val="19"/>
          <w:szCs w:val="19"/>
          <w:u w:val="single" w:color="auto"/>
          <w:color w:val="auto"/>
        </w:rPr>
        <w:t>29.30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29.32-29.37</w:t>
      </w:r>
      <w:r>
        <w:rPr>
          <w:rFonts w:ascii="Arial" w:cs="Arial" w:eastAsia="Arial" w:hAnsi="Arial"/>
          <w:sz w:val="19"/>
          <w:szCs w:val="19"/>
          <w:color w:val="auto"/>
        </w:rPr>
        <w:t xml:space="preserve"> of the Original Lease, and (viii) no event of casualty or condemnation event under </w:t>
      </w:r>
      <w:r>
        <w:rPr>
          <w:rFonts w:ascii="Arial" w:cs="Arial" w:eastAsia="Arial" w:hAnsi="Arial"/>
          <w:sz w:val="19"/>
          <w:szCs w:val="19"/>
          <w:u w:val="single" w:color="auto"/>
          <w:color w:val="auto"/>
        </w:rPr>
        <w:t>Article 11 or</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13</w:t>
      </w:r>
      <w:r>
        <w:rPr>
          <w:rFonts w:ascii="Arial" w:cs="Arial" w:eastAsia="Arial" w:hAnsi="Arial"/>
          <w:sz w:val="19"/>
          <w:szCs w:val="19"/>
          <w:color w:val="auto"/>
        </w:rPr>
        <w:t xml:space="preserve"> of the Original Lease shall result in an early termination of the Lease, but neither party shall have any repair or restoration obligations to the other.</w:t>
      </w: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ind w:left="1020" w:hanging="364"/>
        <w:spacing w:after="0"/>
        <w:tabs>
          <w:tab w:leader="none" w:pos="1020" w:val="left"/>
        </w:tabs>
        <w:numPr>
          <w:ilvl w:val="1"/>
          <w:numId w:val="35"/>
        </w:numPr>
        <w:rPr>
          <w:rFonts w:ascii="Arial" w:cs="Arial" w:eastAsia="Arial" w:hAnsi="Arial"/>
          <w:sz w:val="19"/>
          <w:szCs w:val="19"/>
          <w:color w:val="auto"/>
        </w:rPr>
      </w:pPr>
      <w:r>
        <w:rPr>
          <w:rFonts w:ascii="Arial" w:cs="Arial" w:eastAsia="Arial" w:hAnsi="Arial"/>
          <w:sz w:val="19"/>
          <w:szCs w:val="19"/>
          <w:b w:val="1"/>
          <w:bCs w:val="1"/>
          <w:u w:val="single" w:color="auto"/>
          <w:color w:val="auto"/>
        </w:rPr>
        <w:t>Surrender Obligations</w:t>
      </w:r>
      <w:r>
        <w:rPr>
          <w:rFonts w:ascii="Arial" w:cs="Arial" w:eastAsia="Arial" w:hAnsi="Arial"/>
          <w:sz w:val="19"/>
          <w:szCs w:val="19"/>
          <w:color w:val="auto"/>
        </w:rPr>
        <w:t>. Notwithstanding the terms of</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Sections 8.5, 15.2, and 29.32</w:t>
      </w:r>
      <w:r>
        <w:rPr>
          <w:rFonts w:ascii="Arial" w:cs="Arial" w:eastAsia="Arial" w:hAnsi="Arial"/>
          <w:sz w:val="19"/>
          <w:szCs w:val="19"/>
          <w:b w:val="1"/>
          <w:bCs w:val="1"/>
          <w:color w:val="auto"/>
        </w:rPr>
        <w:t xml:space="preserve"> </w:t>
      </w:r>
      <w:r>
        <w:rPr>
          <w:rFonts w:ascii="Arial" w:cs="Arial" w:eastAsia="Arial" w:hAnsi="Arial"/>
          <w:sz w:val="19"/>
          <w:szCs w:val="19"/>
          <w:color w:val="auto"/>
        </w:rPr>
        <w:t>of the Original Lease, Tenant shall</w:t>
      </w:r>
    </w:p>
    <w:p>
      <w:pPr>
        <w:spacing w:after="0" w:line="62" w:lineRule="exact"/>
        <w:rPr>
          <w:rFonts w:ascii="Arial" w:cs="Arial" w:eastAsia="Arial" w:hAnsi="Arial"/>
          <w:sz w:val="19"/>
          <w:szCs w:val="19"/>
          <w:color w:val="auto"/>
        </w:rPr>
      </w:pPr>
    </w:p>
    <w:p>
      <w:pPr>
        <w:jc w:val="both"/>
        <w:ind w:firstLine="8"/>
        <w:spacing w:after="0" w:line="247" w:lineRule="auto"/>
        <w:tabs>
          <w:tab w:leader="none" w:pos="283"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not be obligated to remove any Specialty Alterations or other Alterations or improvements from the Premises (or repair any damage caused by such removal), including, without limitation, the Building Bridges and Bridge Structures, (ii) not remove any Lines (as that term is defined in </w:t>
      </w:r>
      <w:r>
        <w:rPr>
          <w:rFonts w:ascii="Arial" w:cs="Arial" w:eastAsia="Arial" w:hAnsi="Arial"/>
          <w:sz w:val="22"/>
          <w:szCs w:val="22"/>
          <w:u w:val="single" w:color="auto"/>
          <w:color w:val="auto"/>
        </w:rPr>
        <w:t>Section 29.32</w:t>
      </w:r>
      <w:r>
        <w:rPr>
          <w:rFonts w:ascii="Arial" w:cs="Arial" w:eastAsia="Arial" w:hAnsi="Arial"/>
          <w:sz w:val="22"/>
          <w:szCs w:val="22"/>
          <w:color w:val="auto"/>
        </w:rPr>
        <w:t xml:space="preserve"> of the Original Lease) or any kitchens or cafeterias in the Premises, and (iii) continue to be obligated to remove all other of Tenant's Property (as defined in </w:t>
      </w:r>
      <w:r>
        <w:rPr>
          <w:rFonts w:ascii="Arial" w:cs="Arial" w:eastAsia="Arial" w:hAnsi="Arial"/>
          <w:sz w:val="22"/>
          <w:szCs w:val="22"/>
          <w:u w:val="single" w:color="auto"/>
          <w:color w:val="auto"/>
        </w:rPr>
        <w:t>Section 15.2</w:t>
      </w:r>
      <w:r>
        <w:rPr>
          <w:rFonts w:ascii="Arial" w:cs="Arial" w:eastAsia="Arial" w:hAnsi="Arial"/>
          <w:sz w:val="22"/>
          <w:szCs w:val="22"/>
          <w:color w:val="auto"/>
        </w:rPr>
        <w:t xml:space="preserve"> of the Original Lease) prior to the Surrender Date, but shall not be obligated to repair</w:t>
      </w:r>
    </w:p>
    <w:p>
      <w:pPr>
        <w:sectPr>
          <w:pgSz w:w="11900" w:h="16838" w:orient="portrait"/>
          <w:cols w:equalWidth="0" w:num="1">
            <w:col w:w="11420"/>
          </w:cols>
          <w:pgMar w:left="240" w:top="591" w:right="239" w:bottom="1440" w:gutter="0" w:footer="0" w:header="0"/>
        </w:sectPr>
      </w:pPr>
    </w:p>
    <w:bookmarkStart w:id="83" w:name="page84"/>
    <w:bookmarkEnd w:id="83"/>
    <w:p>
      <w:pPr>
        <w:spacing w:after="0"/>
        <w:rPr>
          <w:sz w:val="20"/>
          <w:szCs w:val="20"/>
          <w:color w:val="auto"/>
        </w:rPr>
      </w:pPr>
      <w:r>
        <w:rPr>
          <w:rFonts w:ascii="Arial" w:cs="Arial" w:eastAsia="Arial" w:hAnsi="Arial"/>
          <w:sz w:val="19"/>
          <w:szCs w:val="19"/>
          <w:color w:val="auto"/>
        </w:rPr>
        <w:t>any damage caused by such removal, except for any of such Tenant's Property, if any, that Tenant agrees to sell to the New Tenant.</w:t>
      </w:r>
    </w:p>
    <w:p>
      <w:pPr>
        <w:spacing w:after="0" w:line="248" w:lineRule="exact"/>
        <w:rPr>
          <w:sz w:val="20"/>
          <w:szCs w:val="20"/>
          <w:color w:val="auto"/>
        </w:rPr>
      </w:pPr>
    </w:p>
    <w:p>
      <w:pPr>
        <w:ind w:left="1000" w:hanging="344"/>
        <w:spacing w:after="0"/>
        <w:tabs>
          <w:tab w:leader="none" w:pos="1000" w:val="left"/>
        </w:tabs>
        <w:numPr>
          <w:ilvl w:val="0"/>
          <w:numId w:val="37"/>
        </w:numPr>
        <w:rPr>
          <w:rFonts w:ascii="Arial" w:cs="Arial" w:eastAsia="Arial" w:hAnsi="Arial"/>
          <w:sz w:val="22"/>
          <w:szCs w:val="22"/>
          <w:color w:val="auto"/>
        </w:rPr>
      </w:pPr>
      <w:r>
        <w:rPr>
          <w:rFonts w:ascii="Arial" w:cs="Arial" w:eastAsia="Arial" w:hAnsi="Arial"/>
          <w:sz w:val="22"/>
          <w:szCs w:val="22"/>
          <w:b w:val="1"/>
          <w:bCs w:val="1"/>
          <w:u w:val="single" w:color="auto"/>
          <w:color w:val="auto"/>
        </w:rPr>
        <w:t>Rent</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b w:val="1"/>
          <w:bCs w:val="1"/>
          <w:u w:val="single" w:color="auto"/>
          <w:color w:val="auto"/>
        </w:rPr>
        <w:t>During Surrender Period</w:t>
      </w:r>
      <w:r>
        <w:rPr>
          <w:rFonts w:ascii="Arial" w:cs="Arial" w:eastAsia="Arial" w:hAnsi="Arial"/>
          <w:sz w:val="22"/>
          <w:szCs w:val="22"/>
          <w:color w:val="auto"/>
        </w:rPr>
        <w:t xml:space="preserve">. During the Surrender Period, Tenant shall continue to pay Base Rent and Tenant's Share of Direct Expenses in accordance with the terms of the Lease; provided, however, the parties hereby stipulate that the estimated amount of Tenant's Share of Direct Expenses shall be equal to $35,474.40 per month, subject to reconciliation as set forth in </w:t>
      </w:r>
      <w:r>
        <w:rPr>
          <w:rFonts w:ascii="Arial" w:cs="Arial" w:eastAsia="Arial" w:hAnsi="Arial"/>
          <w:sz w:val="22"/>
          <w:szCs w:val="22"/>
          <w:u w:val="single" w:color="auto"/>
          <w:color w:val="auto"/>
        </w:rPr>
        <w:t>Section 4.4.1</w:t>
      </w:r>
      <w:r>
        <w:rPr>
          <w:rFonts w:ascii="Arial" w:cs="Arial" w:eastAsia="Arial" w:hAnsi="Arial"/>
          <w:sz w:val="22"/>
          <w:szCs w:val="22"/>
          <w:color w:val="auto"/>
        </w:rPr>
        <w:t xml:space="preserve"> of the Original Lease. Notwithstanding the terms of the Lease, Landlord shall use commercially reasonable efforts to deliver to Tenant the Statement (as defined in </w:t>
      </w:r>
      <w:r>
        <w:rPr>
          <w:rFonts w:ascii="Arial" w:cs="Arial" w:eastAsia="Arial" w:hAnsi="Arial"/>
          <w:sz w:val="22"/>
          <w:szCs w:val="22"/>
          <w:u w:val="single" w:color="auto"/>
          <w:color w:val="auto"/>
        </w:rPr>
        <w:t>Section 4.4.1</w:t>
      </w:r>
      <w:r>
        <w:rPr>
          <w:rFonts w:ascii="Arial" w:cs="Arial" w:eastAsia="Arial" w:hAnsi="Arial"/>
          <w:sz w:val="22"/>
          <w:szCs w:val="22"/>
          <w:color w:val="auto"/>
        </w:rPr>
        <w:t xml:space="preserve"> of the Original Lease) within ninety (90) days following the Expense Year to which such Direct Expenses relate.</w:t>
      </w:r>
    </w:p>
    <w:p>
      <w:pPr>
        <w:spacing w:after="0" w:line="182"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b w:val="1"/>
          <w:bCs w:val="1"/>
          <w:u w:val="single" w:color="auto"/>
          <w:color w:val="auto"/>
        </w:rPr>
        <w:t>After Surrender Period</w:t>
      </w:r>
      <w:r>
        <w:rPr>
          <w:rFonts w:ascii="Arial" w:cs="Arial" w:eastAsia="Arial" w:hAnsi="Arial"/>
          <w:sz w:val="19"/>
          <w:szCs w:val="19"/>
          <w:color w:val="auto"/>
        </w:rPr>
        <w:t>. During the period from December 1, 2019 through February 29, 2020 (the "</w:t>
      </w:r>
      <w:r>
        <w:rPr>
          <w:rFonts w:ascii="Arial" w:cs="Arial" w:eastAsia="Arial" w:hAnsi="Arial"/>
          <w:sz w:val="19"/>
          <w:szCs w:val="19"/>
          <w:b w:val="1"/>
          <w:bCs w:val="1"/>
          <w:color w:val="auto"/>
        </w:rPr>
        <w:t>Rent</w:t>
      </w:r>
      <w:r>
        <w:rPr>
          <w:rFonts w:ascii="Arial" w:cs="Arial" w:eastAsia="Arial" w:hAnsi="Arial"/>
          <w:sz w:val="19"/>
          <w:szCs w:val="19"/>
          <w:color w:val="auto"/>
        </w:rPr>
        <w:t xml:space="preserve"> </w:t>
      </w:r>
      <w:r>
        <w:rPr>
          <w:rFonts w:ascii="Arial" w:cs="Arial" w:eastAsia="Arial" w:hAnsi="Arial"/>
          <w:sz w:val="19"/>
          <w:szCs w:val="19"/>
          <w:b w:val="1"/>
          <w:bCs w:val="1"/>
          <w:color w:val="auto"/>
        </w:rPr>
        <w:t>Continuation Period</w:t>
      </w:r>
      <w:r>
        <w:rPr>
          <w:rFonts w:ascii="Arial" w:cs="Arial" w:eastAsia="Arial" w:hAnsi="Arial"/>
          <w:sz w:val="19"/>
          <w:szCs w:val="19"/>
          <w:color w:val="auto"/>
        </w:rPr>
        <w:t>"), notwithstanding the New Expiration Date, Tenant shall deliver three (3) monthly payments (the "</w:t>
      </w:r>
      <w:r>
        <w:rPr>
          <w:rFonts w:ascii="Arial" w:cs="Arial" w:eastAsia="Arial" w:hAnsi="Arial"/>
          <w:sz w:val="19"/>
          <w:szCs w:val="19"/>
          <w:b w:val="1"/>
          <w:bCs w:val="1"/>
          <w:color w:val="auto"/>
        </w:rPr>
        <w:t>Rent Continuation Payments</w:t>
      </w:r>
      <w:r>
        <w:rPr>
          <w:rFonts w:ascii="Arial" w:cs="Arial" w:eastAsia="Arial" w:hAnsi="Arial"/>
          <w:sz w:val="19"/>
          <w:szCs w:val="19"/>
          <w:color w:val="auto"/>
        </w:rPr>
        <w:t>") in the amounts of (i) $1,178,194.44 for Base Rent and $35,474.40 as the estimated amount of Tenant's</w:t>
      </w:r>
      <w:r>
        <w:rPr>
          <w:rFonts w:ascii="Arial" w:cs="Arial" w:eastAsia="Arial" w:hAnsi="Arial"/>
          <w:sz w:val="19"/>
          <w:szCs w:val="19"/>
          <w:b w:val="1"/>
          <w:bCs w:val="1"/>
          <w:color w:val="auto"/>
        </w:rPr>
        <w:t xml:space="preserve"> </w:t>
      </w:r>
      <w:r>
        <w:rPr>
          <w:rFonts w:ascii="Arial" w:cs="Arial" w:eastAsia="Arial" w:hAnsi="Arial"/>
          <w:sz w:val="19"/>
          <w:szCs w:val="19"/>
          <w:color w:val="auto"/>
        </w:rPr>
        <w:t>Share of Direct Expenses for December 2019, (ii) $1,178,194.44 for Base Rent and $43,327.39 as the estimated amount of Tenant's Share of Direct Expenses for January 2020, and (iii) $1,178,194.44 for Base Rent and $43,327.39 as the estimated amount of Tenant's Share of Direct Expenses for February 2020, respectively, due and payable on the first day of each calendar month during the Rent Continuation Period as payment of Base Rent and the estimated amount of Tenant's Share of Direct Expenses for the three</w:t>
      </w:r>
    </w:p>
    <w:p>
      <w:pPr>
        <w:spacing w:after="0" w:line="5" w:lineRule="exact"/>
        <w:rPr>
          <w:sz w:val="20"/>
          <w:szCs w:val="20"/>
          <w:color w:val="auto"/>
        </w:rPr>
      </w:pPr>
    </w:p>
    <w:p>
      <w:pPr>
        <w:jc w:val="both"/>
        <w:ind w:firstLine="8"/>
        <w:spacing w:after="0" w:line="286" w:lineRule="auto"/>
        <w:tabs>
          <w:tab w:leader="none" w:pos="307" w:val="left"/>
        </w:tabs>
        <w:numPr>
          <w:ilvl w:val="0"/>
          <w:numId w:val="38"/>
        </w:numPr>
        <w:rPr>
          <w:rFonts w:ascii="Arial" w:cs="Arial" w:eastAsia="Arial" w:hAnsi="Arial"/>
          <w:sz w:val="19"/>
          <w:szCs w:val="19"/>
          <w:color w:val="auto"/>
        </w:rPr>
      </w:pPr>
      <w:r>
        <w:rPr>
          <w:rFonts w:ascii="Arial" w:cs="Arial" w:eastAsia="Arial" w:hAnsi="Arial"/>
          <w:sz w:val="19"/>
          <w:szCs w:val="19"/>
          <w:color w:val="auto"/>
        </w:rPr>
        <w:t>month Rent Continuation Period, it being understood that such payment of Tenant's Share of Direct Expenses shall be subject to reconciliation as set forth in the Lease. If, at any time during the Rent Continuation Period, Tenant fails to make any Rent Continuation Payment within ten (10) business days of the due date (a "</w:t>
      </w:r>
      <w:r>
        <w:rPr>
          <w:rFonts w:ascii="Arial" w:cs="Arial" w:eastAsia="Arial" w:hAnsi="Arial"/>
          <w:sz w:val="19"/>
          <w:szCs w:val="19"/>
          <w:b w:val="1"/>
          <w:bCs w:val="1"/>
          <w:color w:val="auto"/>
        </w:rPr>
        <w:t>Rent Continuation Default</w:t>
      </w:r>
      <w:r>
        <w:rPr>
          <w:rFonts w:ascii="Arial" w:cs="Arial" w:eastAsia="Arial" w:hAnsi="Arial"/>
          <w:sz w:val="19"/>
          <w:szCs w:val="19"/>
          <w:color w:val="auto"/>
        </w:rPr>
        <w:t>"), and Tenant fails to cure such Rent Continuation Default within five (5) business days after it receives written notice of such Rent Continuation Default from Landlord (provided that Landlord shall have the right to immediately demand such sums and any arrears thereof, without providing prior notice or an opportunity to cure if (A) Tenant has filed a voluntary petition under the U. S. Bankruptcy Code or any state bankruptcy code (collectively, "</w:t>
      </w:r>
      <w:r>
        <w:rPr>
          <w:rFonts w:ascii="Arial" w:cs="Arial" w:eastAsia="Arial" w:hAnsi="Arial"/>
          <w:sz w:val="19"/>
          <w:szCs w:val="19"/>
          <w:b w:val="1"/>
          <w:bCs w:val="1"/>
          <w:color w:val="auto"/>
        </w:rPr>
        <w:t>Bankruptcy Code</w:t>
      </w:r>
      <w:r>
        <w:rPr>
          <w:rFonts w:ascii="Arial" w:cs="Arial" w:eastAsia="Arial" w:hAnsi="Arial"/>
          <w:sz w:val="19"/>
          <w:szCs w:val="19"/>
          <w:color w:val="auto"/>
        </w:rPr>
        <w:t>"), or (B) an involuntary petition has been filed against Tenant under the Bankruptcy Code, or (C) the Lease has been rejected, or is deemed rejected, under Section 365 of the U.S. Bankruptcy Code, following the filing of a voluntary petition by Tenant under the Bankruptcy Code, or the filing of an involuntary petition against Tenant under the Bankruptcy Code), then the unpaid Rent Continuation Payments shall immediately terminate, and Tenant shall immediately become obligated to pay the total amount of any unpaid Rent Continuation Payments in full.</w:t>
      </w:r>
    </w:p>
    <w:p>
      <w:pPr>
        <w:spacing w:after="0" w:line="150" w:lineRule="exact"/>
        <w:rPr>
          <w:rFonts w:ascii="Arial" w:cs="Arial" w:eastAsia="Arial" w:hAnsi="Arial"/>
          <w:sz w:val="19"/>
          <w:szCs w:val="19"/>
          <w:color w:val="auto"/>
        </w:rPr>
      </w:pPr>
    </w:p>
    <w:p>
      <w:pPr>
        <w:jc w:val="both"/>
        <w:ind w:firstLine="656"/>
        <w:spacing w:after="0" w:line="268" w:lineRule="auto"/>
        <w:tabs>
          <w:tab w:leader="none" w:pos="1017" w:val="left"/>
        </w:tabs>
        <w:numPr>
          <w:ilvl w:val="1"/>
          <w:numId w:val="38"/>
        </w:numPr>
        <w:rPr>
          <w:rFonts w:ascii="Arial" w:cs="Arial" w:eastAsia="Arial" w:hAnsi="Arial"/>
          <w:sz w:val="21"/>
          <w:szCs w:val="21"/>
          <w:color w:val="auto"/>
        </w:rPr>
      </w:pPr>
      <w:r>
        <w:rPr>
          <w:rFonts w:ascii="Arial" w:cs="Arial" w:eastAsia="Arial" w:hAnsi="Arial"/>
          <w:sz w:val="21"/>
          <w:szCs w:val="21"/>
          <w:b w:val="1"/>
          <w:bCs w:val="1"/>
          <w:u w:val="single" w:color="auto"/>
          <w:color w:val="auto"/>
        </w:rPr>
        <w:t>Representations of Tenant</w:t>
      </w:r>
      <w:r>
        <w:rPr>
          <w:rFonts w:ascii="Arial" w:cs="Arial" w:eastAsia="Arial" w:hAnsi="Arial"/>
          <w:sz w:val="21"/>
          <w:szCs w:val="21"/>
          <w:color w:val="auto"/>
        </w:rPr>
        <w:t>. Notwithstanding any provision to the contrary set forth in the Lease, after the date of this</w:t>
      </w:r>
      <w:r>
        <w:rPr>
          <w:rFonts w:ascii="Arial" w:cs="Arial" w:eastAsia="Arial" w:hAnsi="Arial"/>
          <w:sz w:val="21"/>
          <w:szCs w:val="21"/>
          <w:b w:val="1"/>
          <w:bCs w:val="1"/>
          <w:color w:val="auto"/>
        </w:rPr>
        <w:t xml:space="preserve"> </w:t>
      </w:r>
      <w:r>
        <w:rPr>
          <w:rFonts w:ascii="Arial" w:cs="Arial" w:eastAsia="Arial" w:hAnsi="Arial"/>
          <w:sz w:val="21"/>
          <w:szCs w:val="21"/>
          <w:color w:val="auto"/>
        </w:rPr>
        <w:t>Fourth Amendment, Tenant shall: (i) not make any Alterations to the Premises, except for on-going repair and maintenance and emergency repairs; and (ii) not enter into new assignments, subleases or any other obligations or agreements affecting the Premises, or any portion thereof, without the prior written consent of Landlord, which consent, in each instance, may be withheld in Landlord's sole discretion. Tenant represents and warrants to Landlord that, as</w:t>
      </w:r>
    </w:p>
    <w:p>
      <w:pPr>
        <w:sectPr>
          <w:pgSz w:w="11900" w:h="16838" w:orient="portrait"/>
          <w:cols w:equalWidth="0" w:num="1">
            <w:col w:w="11420"/>
          </w:cols>
          <w:pgMar w:left="240" w:top="591" w:right="239" w:bottom="1440" w:gutter="0" w:footer="0" w:header="0"/>
        </w:sectPr>
      </w:pPr>
    </w:p>
    <w:bookmarkStart w:id="84" w:name="page85"/>
    <w:bookmarkEnd w:id="84"/>
    <w:p>
      <w:pPr>
        <w:jc w:val="both"/>
        <w:spacing w:after="0" w:line="292" w:lineRule="auto"/>
        <w:rPr>
          <w:sz w:val="20"/>
          <w:szCs w:val="20"/>
          <w:color w:val="auto"/>
        </w:rPr>
      </w:pPr>
      <w:r>
        <w:rPr>
          <w:rFonts w:ascii="Arial" w:cs="Arial" w:eastAsia="Arial" w:hAnsi="Arial"/>
          <w:sz w:val="19"/>
          <w:szCs w:val="19"/>
          <w:color w:val="auto"/>
        </w:rPr>
        <w:t xml:space="preserve">of the Effective Date (a) Tenant has not heretofore assigned or sublet all or any portion of its interest with respect to Tenant's interest in the Lease; (b) no other person, firm or entity has any right, title or interest in the Lease; and (c) Tenant has the full right, legal power and actual authority to enter into this Fourth Amendment without the consent of any person, firm or entity. Tenant further represents and warrants to Landlord that as of the Effective Date there are no, and as of the Surrender Date there shall not be any, mechanic's liens or other liens encumbering all or any portion of the Premises, by virtue of any act or omission on the part of Tenant, its predecessors, contractors, agents, employees, successors or assigns. The representations and warranties set forth in this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shall survive the New Expiration Date and Tenant shall be liable to Landlord for any inaccuracy or any breach thereof.</w:t>
      </w:r>
    </w:p>
    <w:p>
      <w:pPr>
        <w:spacing w:after="0" w:line="145" w:lineRule="exact"/>
        <w:rPr>
          <w:sz w:val="20"/>
          <w:szCs w:val="20"/>
          <w:color w:val="auto"/>
        </w:rPr>
      </w:pPr>
    </w:p>
    <w:p>
      <w:pPr>
        <w:jc w:val="both"/>
        <w:ind w:firstLine="656"/>
        <w:spacing w:after="0" w:line="298" w:lineRule="auto"/>
        <w:tabs>
          <w:tab w:leader="none" w:pos="1152" w:val="left"/>
        </w:tabs>
        <w:numPr>
          <w:ilvl w:val="0"/>
          <w:numId w:val="39"/>
        </w:numPr>
        <w:rPr>
          <w:rFonts w:ascii="Arial" w:cs="Arial" w:eastAsia="Arial" w:hAnsi="Arial"/>
          <w:sz w:val="19"/>
          <w:szCs w:val="19"/>
          <w:color w:val="auto"/>
        </w:rPr>
      </w:pPr>
      <w:r>
        <w:rPr>
          <w:rFonts w:ascii="Arial" w:cs="Arial" w:eastAsia="Arial" w:hAnsi="Arial"/>
          <w:sz w:val="19"/>
          <w:szCs w:val="19"/>
          <w:b w:val="1"/>
          <w:bCs w:val="1"/>
          <w:u w:val="single" w:color="auto"/>
          <w:color w:val="auto"/>
        </w:rPr>
        <w:t>Letter of Credit</w:t>
      </w:r>
      <w:r>
        <w:rPr>
          <w:rFonts w:ascii="Arial" w:cs="Arial" w:eastAsia="Arial" w:hAnsi="Arial"/>
          <w:sz w:val="19"/>
          <w:szCs w:val="19"/>
          <w:color w:val="auto"/>
        </w:rPr>
        <w:t>. Pursuant to the Lease, Landlord is currently holding an "L-C" from Tenant in the amount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$12,544,502.78, as security under the Lease, which L-C, as the same may continue to be reduced pursuant to the Lease, shall be returned to Tenant on or before March 31, 2020, unless Landlord is otherwise entitled to retain the L-C pursuant to the terms of the Lease. Notwithstanding the foregoing, as of the Surrender Date, Tenant may reduce the L-C Amount to $7,297,719.00 by delivery of a certificate of amendment to the existing L-C, otherwise conforming in all respects to the requirements of </w:t>
      </w:r>
      <w:r>
        <w:rPr>
          <w:rFonts w:ascii="Arial" w:cs="Arial" w:eastAsia="Arial" w:hAnsi="Arial"/>
          <w:sz w:val="19"/>
          <w:szCs w:val="19"/>
          <w:u w:val="single" w:color="auto"/>
          <w:color w:val="auto"/>
        </w:rPr>
        <w:t>Article 21</w:t>
      </w:r>
      <w:r>
        <w:rPr>
          <w:rFonts w:ascii="Arial" w:cs="Arial" w:eastAsia="Arial" w:hAnsi="Arial"/>
          <w:sz w:val="19"/>
          <w:szCs w:val="19"/>
          <w:color w:val="auto"/>
        </w:rPr>
        <w:t xml:space="preserve"> of the Original Lease.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shall survive the expiration or earlier termination of the Lease.</w:t>
      </w:r>
    </w:p>
    <w:p>
      <w:pPr>
        <w:spacing w:after="0" w:line="141" w:lineRule="exact"/>
        <w:rPr>
          <w:rFonts w:ascii="Arial" w:cs="Arial" w:eastAsia="Arial" w:hAnsi="Arial"/>
          <w:sz w:val="19"/>
          <w:szCs w:val="19"/>
          <w:color w:val="auto"/>
        </w:rPr>
      </w:pPr>
    </w:p>
    <w:p>
      <w:pPr>
        <w:jc w:val="both"/>
        <w:ind w:firstLine="656"/>
        <w:spacing w:after="0" w:line="265" w:lineRule="auto"/>
        <w:tabs>
          <w:tab w:leader="none" w:pos="1044" w:val="left"/>
        </w:tabs>
        <w:numPr>
          <w:ilvl w:val="0"/>
          <w:numId w:val="39"/>
        </w:numPr>
        <w:rPr>
          <w:rFonts w:ascii="Arial" w:cs="Arial" w:eastAsia="Arial" w:hAnsi="Arial"/>
          <w:sz w:val="21"/>
          <w:szCs w:val="21"/>
          <w:color w:val="auto"/>
        </w:rPr>
      </w:pPr>
      <w:r>
        <w:rPr>
          <w:rFonts w:ascii="Arial" w:cs="Arial" w:eastAsia="Arial" w:hAnsi="Arial"/>
          <w:sz w:val="21"/>
          <w:szCs w:val="21"/>
          <w:b w:val="1"/>
          <w:bCs w:val="1"/>
          <w:u w:val="single" w:color="auto"/>
          <w:color w:val="auto"/>
        </w:rPr>
        <w:t>Confidentiality/Press Releases</w:t>
      </w:r>
      <w:r>
        <w:rPr>
          <w:rFonts w:ascii="Arial" w:cs="Arial" w:eastAsia="Arial" w:hAnsi="Arial"/>
          <w:sz w:val="21"/>
          <w:szCs w:val="21"/>
          <w:color w:val="auto"/>
        </w:rPr>
        <w:t>. Notwithstanding the terms of</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29.28</w:t>
      </w:r>
      <w:r>
        <w:rPr>
          <w:rFonts w:ascii="Arial" w:cs="Arial" w:eastAsia="Arial" w:hAnsi="Arial"/>
          <w:sz w:val="21"/>
          <w:szCs w:val="21"/>
          <w:b w:val="1"/>
          <w:bCs w:val="1"/>
          <w:color w:val="auto"/>
        </w:rPr>
        <w:t xml:space="preserve"> </w:t>
      </w:r>
      <w:r>
        <w:rPr>
          <w:rFonts w:ascii="Arial" w:cs="Arial" w:eastAsia="Arial" w:hAnsi="Arial"/>
          <w:sz w:val="21"/>
          <w:szCs w:val="21"/>
          <w:color w:val="auto"/>
        </w:rPr>
        <w:t>of the Original Lease, following the full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execution and delivery of this Fourth Amendment, Landlord shall be permitted to issue press releases or other similar public announcements disclosing the execution of this Fourth Amendment and the early termination date of the Lease; subject, however, to Tenant's prior review and reasonable approval of any portion of a press release or similar public announcement that mentions Tenant, the execution of this Fourth Amendment or the early termination date of the Lease, unless Landlord is otherwise permitted to make such disclosures pursuant to </w:t>
      </w:r>
      <w:r>
        <w:rPr>
          <w:rFonts w:ascii="Arial" w:cs="Arial" w:eastAsia="Arial" w:hAnsi="Arial"/>
          <w:sz w:val="21"/>
          <w:szCs w:val="21"/>
          <w:u w:val="single" w:color="auto"/>
          <w:color w:val="auto"/>
        </w:rPr>
        <w:t>Section 29.28</w:t>
      </w:r>
      <w:r>
        <w:rPr>
          <w:rFonts w:ascii="Arial" w:cs="Arial" w:eastAsia="Arial" w:hAnsi="Arial"/>
          <w:sz w:val="21"/>
          <w:szCs w:val="21"/>
          <w:color w:val="auto"/>
        </w:rPr>
        <w:t xml:space="preserve"> of the Original Lease.</w:t>
      </w:r>
    </w:p>
    <w:p>
      <w:pPr>
        <w:spacing w:after="0" w:line="169" w:lineRule="exact"/>
        <w:rPr>
          <w:rFonts w:ascii="Arial" w:cs="Arial" w:eastAsia="Arial" w:hAnsi="Arial"/>
          <w:sz w:val="21"/>
          <w:szCs w:val="21"/>
          <w:color w:val="auto"/>
        </w:rPr>
      </w:pPr>
    </w:p>
    <w:p>
      <w:pPr>
        <w:jc w:val="both"/>
        <w:ind w:firstLine="656"/>
        <w:spacing w:after="0" w:line="292" w:lineRule="auto"/>
        <w:tabs>
          <w:tab w:leader="none" w:pos="1017" w:val="left"/>
        </w:tabs>
        <w:numPr>
          <w:ilvl w:val="0"/>
          <w:numId w:val="39"/>
        </w:numPr>
        <w:rPr>
          <w:rFonts w:ascii="Arial" w:cs="Arial" w:eastAsia="Arial" w:hAnsi="Arial"/>
          <w:sz w:val="19"/>
          <w:szCs w:val="19"/>
          <w:color w:val="auto"/>
        </w:rPr>
      </w:pPr>
      <w:r>
        <w:rPr>
          <w:rFonts w:ascii="Arial" w:cs="Arial" w:eastAsia="Arial" w:hAnsi="Arial"/>
          <w:sz w:val="19"/>
          <w:szCs w:val="19"/>
          <w:b w:val="1"/>
          <w:bCs w:val="1"/>
          <w:u w:val="single" w:color="auto"/>
          <w:color w:val="auto"/>
        </w:rPr>
        <w:t>Brokers</w:t>
      </w:r>
      <w:r>
        <w:rPr>
          <w:rFonts w:ascii="Arial" w:cs="Arial" w:eastAsia="Arial" w:hAnsi="Arial"/>
          <w:sz w:val="19"/>
          <w:szCs w:val="19"/>
          <w:color w:val="auto"/>
        </w:rPr>
        <w:t>. Landlord and Tenant hereby warrant to each other that they have had no dealings with any real estate broker</w:t>
      </w:r>
      <w:r>
        <w:rPr>
          <w:rFonts w:ascii="Arial" w:cs="Arial" w:eastAsia="Arial" w:hAnsi="Arial"/>
          <w:sz w:val="19"/>
          <w:szCs w:val="19"/>
          <w:b w:val="1"/>
          <w:bCs w:val="1"/>
          <w:color w:val="auto"/>
        </w:rPr>
        <w:t xml:space="preserve"> </w:t>
      </w:r>
      <w:r>
        <w:rPr>
          <w:rFonts w:ascii="Arial" w:cs="Arial" w:eastAsia="Arial" w:hAnsi="Arial"/>
          <w:sz w:val="19"/>
          <w:szCs w:val="19"/>
          <w:color w:val="auto"/>
        </w:rPr>
        <w:t>or agent in connection with the negotiation of this Fourth Amendment, and that they know of no real estate broker or agent who is entitled to a commission in connection with this Fourth Amendment, except for CBRE, Inc. (the "</w:t>
      </w:r>
      <w:r>
        <w:rPr>
          <w:rFonts w:ascii="Arial" w:cs="Arial" w:eastAsia="Arial" w:hAnsi="Arial"/>
          <w:sz w:val="19"/>
          <w:szCs w:val="19"/>
          <w:b w:val="1"/>
          <w:bCs w:val="1"/>
          <w:color w:val="auto"/>
        </w:rPr>
        <w:t>Broker</w:t>
      </w:r>
      <w:r>
        <w:rPr>
          <w:rFonts w:ascii="Arial" w:cs="Arial" w:eastAsia="Arial" w:hAnsi="Arial"/>
          <w:sz w:val="19"/>
          <w:szCs w:val="19"/>
          <w:color w:val="auto"/>
        </w:rPr>
        <w:t xml:space="preserve">"). Each party agrees to indemnify and defend the other party against and hold the other party harmless from and against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in connection herewith occurring by, through or under the indemnifying party, other than the Broker. The Broker shall be compensated by Landlord pursuant to the provisions of a separate written agreement between Landlord and the Broker. The terms of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shall survive the expiration or earlier termination of the term of the Lease, as hereby amended.</w:t>
      </w:r>
    </w:p>
    <w:p>
      <w:pPr>
        <w:spacing w:after="0" w:line="146" w:lineRule="exact"/>
        <w:rPr>
          <w:rFonts w:ascii="Arial" w:cs="Arial" w:eastAsia="Arial" w:hAnsi="Arial"/>
          <w:sz w:val="19"/>
          <w:szCs w:val="19"/>
          <w:color w:val="auto"/>
        </w:rPr>
      </w:pPr>
    </w:p>
    <w:p>
      <w:pPr>
        <w:ind w:firstLine="656"/>
        <w:spacing w:after="0" w:line="282" w:lineRule="auto"/>
        <w:tabs>
          <w:tab w:leader="none" w:pos="990" w:val="left"/>
        </w:tabs>
        <w:numPr>
          <w:ilvl w:val="0"/>
          <w:numId w:val="39"/>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Defined Terms</w:t>
      </w:r>
      <w:r>
        <w:rPr>
          <w:rFonts w:ascii="Arial" w:cs="Arial" w:eastAsia="Arial" w:hAnsi="Arial"/>
          <w:sz w:val="22"/>
          <w:szCs w:val="22"/>
          <w:color w:val="auto"/>
        </w:rPr>
        <w:t>. All terms defined in the Lease when used herein shall have the same meaning as is given such terms in</w:t>
      </w:r>
      <w:r>
        <w:rPr>
          <w:rFonts w:ascii="Arial" w:cs="Arial" w:eastAsia="Arial" w:hAnsi="Arial"/>
          <w:sz w:val="22"/>
          <w:szCs w:val="22"/>
          <w:b w:val="1"/>
          <w:bCs w:val="1"/>
          <w:color w:val="auto"/>
        </w:rPr>
        <w:t xml:space="preserve"> </w:t>
      </w:r>
      <w:r>
        <w:rPr>
          <w:rFonts w:ascii="Arial" w:cs="Arial" w:eastAsia="Arial" w:hAnsi="Arial"/>
          <w:sz w:val="22"/>
          <w:szCs w:val="22"/>
          <w:color w:val="auto"/>
        </w:rPr>
        <w:t>the Lease unless expressly superseded by the terms of this Fourth Amendment.</w:t>
      </w:r>
    </w:p>
    <w:p>
      <w:pPr>
        <w:sectPr>
          <w:pgSz w:w="11900" w:h="16838" w:orient="portrait"/>
          <w:cols w:equalWidth="0" w:num="1">
            <w:col w:w="11420"/>
          </w:cols>
          <w:pgMar w:left="240" w:top="591" w:right="239" w:bottom="1440" w:gutter="0" w:footer="0" w:header="0"/>
        </w:sectPr>
      </w:pPr>
    </w:p>
    <w:bookmarkStart w:id="85" w:name="page86"/>
    <w:bookmarkEnd w:id="85"/>
    <w:p>
      <w:pPr>
        <w:jc w:val="both"/>
        <w:ind w:left="-656" w:firstLine="656"/>
        <w:spacing w:after="0" w:line="288" w:lineRule="auto"/>
        <w:tabs>
          <w:tab w:leader="none" w:pos="442" w:val="left"/>
        </w:tabs>
        <w:numPr>
          <w:ilvl w:val="0"/>
          <w:numId w:val="40"/>
        </w:numPr>
        <w:rPr>
          <w:rFonts w:ascii="Arial" w:cs="Arial" w:eastAsia="Arial" w:hAnsi="Arial"/>
          <w:sz w:val="19"/>
          <w:szCs w:val="19"/>
          <w:color w:val="auto"/>
        </w:rPr>
      </w:pPr>
      <w:r>
        <w:rPr>
          <w:rFonts w:ascii="Arial" w:cs="Arial" w:eastAsia="Arial" w:hAnsi="Arial"/>
          <w:sz w:val="19"/>
          <w:szCs w:val="19"/>
          <w:b w:val="1"/>
          <w:bCs w:val="1"/>
          <w:u w:val="single" w:color="auto"/>
          <w:color w:val="auto"/>
        </w:rPr>
        <w:t>Prohibited Persons; Foreign Corrupt Practices Act and Anti-Money Laundering</w:t>
      </w:r>
      <w:r>
        <w:rPr>
          <w:rFonts w:ascii="Arial" w:cs="Arial" w:eastAsia="Arial" w:hAnsi="Arial"/>
          <w:sz w:val="19"/>
          <w:szCs w:val="19"/>
          <w:color w:val="auto"/>
        </w:rPr>
        <w:t>. Neither (i) Tenant nor any of its</w:t>
      </w:r>
      <w:r>
        <w:rPr>
          <w:rFonts w:ascii="Arial" w:cs="Arial" w:eastAsia="Arial" w:hAnsi="Arial"/>
          <w:sz w:val="19"/>
          <w:szCs w:val="19"/>
          <w:b w:val="1"/>
          <w:bCs w:val="1"/>
          <w:color w:val="auto"/>
        </w:rPr>
        <w:t xml:space="preserve"> </w:t>
      </w:r>
      <w:r>
        <w:rPr>
          <w:rFonts w:ascii="Arial" w:cs="Arial" w:eastAsia="Arial" w:hAnsi="Arial"/>
          <w:sz w:val="19"/>
          <w:szCs w:val="19"/>
          <w:color w:val="auto"/>
        </w:rPr>
        <w:t>officers, directors or managers, or (ii) to Tenant's knowledge, any of Tenant's affiliates, nor any of their respective members, partners, other equity holders (excluding any holders of any publicly traded stock or other equity interests of Tenant, if any), officers, directors or managers is, nor during the Lease Term will they become, a person or entity with whom U.S. persons or entities are restricted from doing business under (a) the Patriot Act (as defined below), (b) any other requirements contained in the rules and regulations of the Office of Foreign Assets Control, Department of the Treasury ("</w:t>
      </w:r>
      <w:r>
        <w:rPr>
          <w:rFonts w:ascii="Arial" w:cs="Arial" w:eastAsia="Arial" w:hAnsi="Arial"/>
          <w:sz w:val="19"/>
          <w:szCs w:val="19"/>
          <w:b w:val="1"/>
          <w:bCs w:val="1"/>
          <w:color w:val="auto"/>
        </w:rPr>
        <w:t>OFAC</w:t>
      </w:r>
      <w:r>
        <w:rPr>
          <w:rFonts w:ascii="Arial" w:cs="Arial" w:eastAsia="Arial" w:hAnsi="Arial"/>
          <w:sz w:val="19"/>
          <w:szCs w:val="19"/>
          <w:color w:val="auto"/>
        </w:rPr>
        <w:t>") (including any "blocked" person or entity listed in the Annex to Executive Order Nos. 12947, 13099 and 13224 and any modifications thereto or thereof or any other person or entity named on OFAC's Specially Designated Blocked Persons List) or (c) any other U.S. statute, Executive Order (including the September 24, 2001, Executive Order Blocking Property and Prohibiting Transactions with Persons Who Commit, Threaten to Commit or Support Terrorism) or other governmental action (collectively, "</w:t>
      </w:r>
      <w:r>
        <w:rPr>
          <w:rFonts w:ascii="Arial" w:cs="Arial" w:eastAsia="Arial" w:hAnsi="Arial"/>
          <w:sz w:val="19"/>
          <w:szCs w:val="19"/>
          <w:b w:val="1"/>
          <w:bCs w:val="1"/>
          <w:color w:val="auto"/>
        </w:rPr>
        <w:t>Prohibited Persons</w:t>
      </w:r>
      <w:r>
        <w:rPr>
          <w:rFonts w:ascii="Arial" w:cs="Arial" w:eastAsia="Arial" w:hAnsi="Arial"/>
          <w:sz w:val="19"/>
          <w:szCs w:val="19"/>
          <w:color w:val="auto"/>
        </w:rPr>
        <w:t>"). Tenant is not entering into this Fourth Amendment, directly or indirectly, in violation of any laws relating to drug trafficking, money laundering or predicate crimes to money laundering. As used herein, "</w:t>
      </w:r>
      <w:r>
        <w:rPr>
          <w:rFonts w:ascii="Arial" w:cs="Arial" w:eastAsia="Arial" w:hAnsi="Arial"/>
          <w:sz w:val="19"/>
          <w:szCs w:val="19"/>
          <w:b w:val="1"/>
          <w:bCs w:val="1"/>
          <w:color w:val="auto"/>
        </w:rPr>
        <w:t>Patriot Act</w:t>
      </w:r>
      <w:r>
        <w:rPr>
          <w:rFonts w:ascii="Arial" w:cs="Arial" w:eastAsia="Arial" w:hAnsi="Arial"/>
          <w:sz w:val="19"/>
          <w:szCs w:val="19"/>
          <w:color w:val="auto"/>
        </w:rPr>
        <w:t>" shall mean the USA Patriot Act of 2001, 107 Public Law 56 (October 26, 2001) and all other statutes, orders, rules and regulations of the U.S. government and its various executive departments, agencies and offices interpreting and implementing the Patriot Act.</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jc w:val="both"/>
        <w:ind w:left="-656" w:firstLine="656"/>
        <w:spacing w:after="0" w:line="263" w:lineRule="auto"/>
        <w:tabs>
          <w:tab w:leader="none" w:pos="502" w:val="left"/>
        </w:tabs>
        <w:numPr>
          <w:ilvl w:val="0"/>
          <w:numId w:val="40"/>
        </w:numPr>
        <w:rPr>
          <w:rFonts w:ascii="Arial" w:cs="Arial" w:eastAsia="Arial" w:hAnsi="Arial"/>
          <w:sz w:val="21"/>
          <w:szCs w:val="21"/>
          <w:color w:val="auto"/>
        </w:rPr>
      </w:pPr>
      <w:r>
        <w:rPr>
          <w:rFonts w:ascii="Arial" w:cs="Arial" w:eastAsia="Arial" w:hAnsi="Arial"/>
          <w:sz w:val="21"/>
          <w:szCs w:val="21"/>
          <w:b w:val="1"/>
          <w:bCs w:val="1"/>
          <w:u w:val="single" w:color="auto"/>
          <w:color w:val="auto"/>
        </w:rPr>
        <w:t>Signatures</w:t>
      </w:r>
      <w:r>
        <w:rPr>
          <w:rFonts w:ascii="Arial" w:cs="Arial" w:eastAsia="Arial" w:hAnsi="Arial"/>
          <w:sz w:val="21"/>
          <w:szCs w:val="21"/>
          <w:color w:val="auto"/>
        </w:rPr>
        <w:t>. The parties hereto consent and agree that this Fourth Amendment may be signed and/or transmitted by</w:t>
      </w:r>
      <w:r>
        <w:rPr>
          <w:rFonts w:ascii="Arial" w:cs="Arial" w:eastAsia="Arial" w:hAnsi="Arial"/>
          <w:sz w:val="21"/>
          <w:szCs w:val="21"/>
          <w:b w:val="1"/>
          <w:bCs w:val="1"/>
          <w:color w:val="auto"/>
        </w:rPr>
        <w:t xml:space="preserve"> </w:t>
      </w:r>
      <w:r>
        <w:rPr>
          <w:rFonts w:ascii="Arial" w:cs="Arial" w:eastAsia="Arial" w:hAnsi="Arial"/>
          <w:sz w:val="21"/>
          <w:szCs w:val="21"/>
          <w:color w:val="auto"/>
        </w:rPr>
        <w:t>facsimile, e-mail of a .pdf document or using electronic signature technology (e.g., via DocuSign or similar electronic signature technology), and that such signed electronic record shall be valid and as effective to bind the party so signing as a paper copy bearing such party's handwritten signature. The parties further consent and agree that (1) to the extent a party signs this Fourth Amendment using electronic signature technology, by clicking "SIGN", such party is signing this Fourth Amendment electronically, and (2) the electronic signatures appearing on this Fourth Amendment shall be treated, for purposes of validity, enforceability and admissibility, the same as handwritten signatures.</w:t>
      </w:r>
    </w:p>
    <w:p>
      <w:pPr>
        <w:spacing w:after="0" w:line="173" w:lineRule="exact"/>
        <w:rPr>
          <w:rFonts w:ascii="Arial" w:cs="Arial" w:eastAsia="Arial" w:hAnsi="Arial"/>
          <w:sz w:val="21"/>
          <w:szCs w:val="21"/>
          <w:color w:val="auto"/>
        </w:rPr>
      </w:pPr>
    </w:p>
    <w:p>
      <w:pPr>
        <w:jc w:val="both"/>
        <w:ind w:left="-656" w:firstLine="656"/>
        <w:spacing w:after="0" w:line="260" w:lineRule="auto"/>
        <w:tabs>
          <w:tab w:leader="none" w:pos="537" w:val="left"/>
        </w:tabs>
        <w:numPr>
          <w:ilvl w:val="0"/>
          <w:numId w:val="40"/>
        </w:numPr>
        <w:rPr>
          <w:rFonts w:ascii="Arial" w:cs="Arial" w:eastAsia="Arial" w:hAnsi="Arial"/>
          <w:sz w:val="21"/>
          <w:szCs w:val="21"/>
          <w:color w:val="auto"/>
        </w:rPr>
      </w:pPr>
      <w:r>
        <w:rPr>
          <w:rFonts w:ascii="Arial" w:cs="Arial" w:eastAsia="Arial" w:hAnsi="Arial"/>
          <w:sz w:val="21"/>
          <w:szCs w:val="21"/>
          <w:b w:val="1"/>
          <w:bCs w:val="1"/>
          <w:u w:val="single" w:color="auto"/>
          <w:color w:val="auto"/>
        </w:rPr>
        <w:t>California Accessibility Disclosure</w:t>
      </w:r>
      <w:r>
        <w:rPr>
          <w:rFonts w:ascii="Arial" w:cs="Arial" w:eastAsia="Arial" w:hAnsi="Arial"/>
          <w:sz w:val="21"/>
          <w:szCs w:val="21"/>
          <w:color w:val="auto"/>
        </w:rPr>
        <w:t>. For purposes of Section 1938 of the California Civil Code, Landlord hereby</w:t>
      </w:r>
      <w:r>
        <w:rPr>
          <w:rFonts w:ascii="Arial" w:cs="Arial" w:eastAsia="Arial" w:hAnsi="Arial"/>
          <w:sz w:val="21"/>
          <w:szCs w:val="21"/>
          <w:b w:val="1"/>
          <w:bCs w:val="1"/>
          <w:color w:val="auto"/>
        </w:rPr>
        <w:t xml:space="preserve"> </w:t>
      </w:r>
      <w:r>
        <w:rPr>
          <w:rFonts w:ascii="Arial" w:cs="Arial" w:eastAsia="Arial" w:hAnsi="Arial"/>
          <w:sz w:val="21"/>
          <w:szCs w:val="21"/>
          <w:color w:val="auto"/>
        </w:rPr>
        <w:t>discloses to Tenant, and Tenant hereby acknowledges, that the Premises have not undergone inspection by a Certified Access Specialist ("</w:t>
      </w:r>
      <w:r>
        <w:rPr>
          <w:rFonts w:ascii="Arial" w:cs="Arial" w:eastAsia="Arial" w:hAnsi="Arial"/>
          <w:sz w:val="21"/>
          <w:szCs w:val="21"/>
          <w:b w:val="1"/>
          <w:bCs w:val="1"/>
          <w:color w:val="auto"/>
        </w:rPr>
        <w:t>CASp</w:t>
      </w:r>
      <w:r>
        <w:rPr>
          <w:rFonts w:ascii="Arial" w:cs="Arial" w:eastAsia="Arial" w:hAnsi="Arial"/>
          <w:sz w:val="21"/>
          <w:szCs w:val="21"/>
          <w:color w:val="auto"/>
        </w:rPr>
        <w:t>"). As required by Section 1938(e) of the California Civil Code, Landlord hereby 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179" w:lineRule="exact"/>
        <w:rPr>
          <w:rFonts w:ascii="Arial" w:cs="Arial" w:eastAsia="Arial" w:hAnsi="Arial"/>
          <w:sz w:val="21"/>
          <w:szCs w:val="21"/>
          <w:color w:val="auto"/>
        </w:rPr>
      </w:pPr>
    </w:p>
    <w:p>
      <w:pPr>
        <w:ind w:left="-656" w:firstLine="656"/>
        <w:spacing w:after="0" w:line="282" w:lineRule="auto"/>
        <w:tabs>
          <w:tab w:leader="none" w:pos="456" w:val="left"/>
        </w:tabs>
        <w:numPr>
          <w:ilvl w:val="0"/>
          <w:numId w:val="40"/>
        </w:numPr>
        <w:rPr>
          <w:rFonts w:ascii="Arial" w:cs="Arial" w:eastAsia="Arial" w:hAnsi="Arial"/>
          <w:sz w:val="22"/>
          <w:szCs w:val="22"/>
          <w:color w:val="auto"/>
        </w:rPr>
      </w:pPr>
      <w:r>
        <w:rPr>
          <w:rFonts w:ascii="Arial" w:cs="Arial" w:eastAsia="Arial" w:hAnsi="Arial"/>
          <w:sz w:val="22"/>
          <w:szCs w:val="22"/>
          <w:b w:val="1"/>
          <w:bCs w:val="1"/>
          <w:u w:val="single" w:color="auto"/>
          <w:color w:val="auto"/>
        </w:rPr>
        <w:t>No Further Modification</w:t>
      </w:r>
      <w:r>
        <w:rPr>
          <w:rFonts w:ascii="Arial" w:cs="Arial" w:eastAsia="Arial" w:hAnsi="Arial"/>
          <w:sz w:val="22"/>
          <w:szCs w:val="22"/>
          <w:color w:val="auto"/>
        </w:rPr>
        <w:t>. Except as set forth in this Fourth Amendment, all of the terms and provisions of the Lease</w:t>
      </w:r>
      <w:r>
        <w:rPr>
          <w:rFonts w:ascii="Arial" w:cs="Arial" w:eastAsia="Arial" w:hAnsi="Arial"/>
          <w:sz w:val="22"/>
          <w:szCs w:val="22"/>
          <w:b w:val="1"/>
          <w:bCs w:val="1"/>
          <w:color w:val="auto"/>
        </w:rPr>
        <w:t xml:space="preserve"> </w:t>
      </w:r>
      <w:r>
        <w:rPr>
          <w:rFonts w:ascii="Arial" w:cs="Arial" w:eastAsia="Arial" w:hAnsi="Arial"/>
          <w:sz w:val="22"/>
          <w:szCs w:val="22"/>
          <w:color w:val="auto"/>
        </w:rPr>
        <w:t>shall remain unmodified and in full force and effect. In the event</w:t>
      </w:r>
    </w:p>
    <w:p>
      <w:pPr>
        <w:sectPr>
          <w:pgSz w:w="11900" w:h="16838" w:orient="portrait"/>
          <w:cols w:equalWidth="0" w:num="1">
            <w:col w:w="10764"/>
          </w:cols>
          <w:pgMar w:left="896" w:top="585" w:right="239" w:bottom="1440" w:gutter="0" w:footer="0" w:header="0"/>
        </w:sectPr>
      </w:pPr>
    </w:p>
    <w:bookmarkStart w:id="86" w:name="page87"/>
    <w:bookmarkEnd w:id="86"/>
    <w:p>
      <w:pPr>
        <w:spacing w:after="0" w:line="263" w:lineRule="auto"/>
        <w:rPr>
          <w:sz w:val="20"/>
          <w:szCs w:val="20"/>
          <w:color w:val="auto"/>
        </w:rPr>
      </w:pPr>
      <w:r>
        <w:rPr>
          <w:rFonts w:ascii="Arial" w:cs="Arial" w:eastAsia="Arial" w:hAnsi="Arial"/>
          <w:sz w:val="22"/>
          <w:szCs w:val="22"/>
          <w:color w:val="auto"/>
        </w:rPr>
        <w:t>of any conflict between the terms and conditions of the Lease and the terms and conditions of this Fourth Amendment, the terms and conditions of this Fourth Amendment shall prevail.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FOLLOW ON NEXT PAGE]</w:t>
      </w:r>
    </w:p>
    <w:p>
      <w:pPr>
        <w:sectPr>
          <w:pgSz w:w="11900" w:h="16838" w:orient="portrait"/>
          <w:cols w:equalWidth="0" w:num="1">
            <w:col w:w="11420"/>
          </w:cols>
          <w:pgMar w:left="240" w:top="591" w:right="239" w:bottom="1440" w:gutter="0" w:footer="0" w:header="0"/>
        </w:sectPr>
      </w:pPr>
    </w:p>
    <w:bookmarkStart w:id="87" w:name="page88"/>
    <w:bookmarkEnd w:id="87"/>
    <w:p>
      <w:pPr>
        <w:ind w:firstLine="648"/>
        <w:spacing w:after="0" w:line="275" w:lineRule="auto"/>
        <w:rPr>
          <w:sz w:val="20"/>
          <w:szCs w:val="20"/>
          <w:color w:val="auto"/>
        </w:rPr>
      </w:pPr>
      <w:r>
        <w:rPr>
          <w:rFonts w:ascii="Arial" w:cs="Arial" w:eastAsia="Arial" w:hAnsi="Arial"/>
          <w:sz w:val="22"/>
          <w:szCs w:val="22"/>
          <w:color w:val="auto"/>
        </w:rPr>
        <w:t>IN WITNESS WHEREOF, Landlord and Tenant have executed this Fourth Amendment as of the day and year first above written.</w:t>
      </w:r>
    </w:p>
    <w:p>
      <w:pPr>
        <w:spacing w:after="0" w:line="302"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"LANDLORD":</w:t>
      </w:r>
    </w:p>
    <w:p>
      <w:pPr>
        <w:spacing w:after="0" w:line="239"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KILROY REALTY FINANCE PARTNERSHIP, L.P.,</w:t>
      </w:r>
    </w:p>
    <w:p>
      <w:pPr>
        <w:spacing w:after="0" w:line="8"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a Delaware limited partnership</w:t>
      </w:r>
    </w:p>
    <w:p>
      <w:pPr>
        <w:spacing w:after="0" w:line="188"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By: Kilroy Realty Finance, Inc.,</w:t>
      </w:r>
    </w:p>
    <w:p>
      <w:pPr>
        <w:spacing w:after="0" w:line="8"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a Delaware corporation</w:t>
      </w:r>
    </w:p>
    <w:p>
      <w:pPr>
        <w:spacing w:after="0" w:line="215"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Its: General Partner</w:t>
      </w:r>
    </w:p>
    <w:p>
      <w:pPr>
        <w:spacing w:after="0" w:line="314"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3625215</wp:posOffset>
            </wp:positionH>
            <wp:positionV relativeFrom="paragraph">
              <wp:posOffset>-17780</wp:posOffset>
            </wp:positionV>
            <wp:extent cx="14751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78" w:lineRule="exact"/>
        <w:rPr>
          <w:sz w:val="20"/>
          <w:szCs w:val="20"/>
          <w:color w:val="auto"/>
        </w:rPr>
      </w:pPr>
    </w:p>
    <w:p>
      <w:pPr>
        <w:ind w:left="576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-17780</wp:posOffset>
            </wp:positionV>
            <wp:extent cx="10636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78" w:lineRule="exact"/>
        <w:rPr>
          <w:sz w:val="20"/>
          <w:szCs w:val="20"/>
          <w:color w:val="auto"/>
        </w:rPr>
      </w:pPr>
    </w:p>
    <w:p>
      <w:pPr>
        <w:jc w:val="center"/>
        <w:ind w:left="340"/>
        <w:spacing w:after="0"/>
        <w:rPr>
          <w:sz w:val="20"/>
          <w:szCs w:val="20"/>
          <w:color w:val="auto"/>
        </w:rPr>
      </w:pPr>
      <w:r>
        <w:rPr>
          <w:rFonts w:ascii="Arial" w:cs="Arial" w:eastAsia="Arial" w:hAnsi="Arial"/>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3859530</wp:posOffset>
            </wp:positionH>
            <wp:positionV relativeFrom="paragraph">
              <wp:posOffset>-17780</wp:posOffset>
            </wp:positionV>
            <wp:extent cx="12350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3684905</wp:posOffset>
            </wp:positionH>
            <wp:positionV relativeFrom="paragraph">
              <wp:posOffset>-17780</wp:posOffset>
            </wp:positionV>
            <wp:extent cx="1406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78" w:lineRule="exact"/>
        <w:rPr>
          <w:sz w:val="20"/>
          <w:szCs w:val="20"/>
          <w:color w:val="auto"/>
        </w:rPr>
      </w:pPr>
    </w:p>
    <w:p>
      <w:pPr>
        <w:ind w:left="576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-17780</wp:posOffset>
            </wp:positionV>
            <wp:extent cx="10293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78" w:lineRule="exact"/>
        <w:rPr>
          <w:sz w:val="20"/>
          <w:szCs w:val="20"/>
          <w:color w:val="auto"/>
        </w:rPr>
      </w:pPr>
    </w:p>
    <w:p>
      <w:pPr>
        <w:ind w:left="5760"/>
        <w:spacing w:after="0"/>
        <w:rPr>
          <w:sz w:val="20"/>
          <w:szCs w:val="20"/>
          <w:color w:val="auto"/>
        </w:rPr>
      </w:pPr>
      <w:r>
        <w:rPr>
          <w:rFonts w:ascii="Arial" w:cs="Arial" w:eastAsia="Arial" w:hAnsi="Arial"/>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-17780</wp:posOffset>
            </wp:positionV>
            <wp:extent cx="12350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61"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"TENANT":</w:t>
      </w:r>
    </w:p>
    <w:p>
      <w:pPr>
        <w:spacing w:after="0" w:line="212"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DROPBOX, INC.,</w:t>
      </w:r>
    </w:p>
    <w:p>
      <w:pPr>
        <w:spacing w:after="0" w:line="8"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spacing w:after="0" w:line="339"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-17780</wp:posOffset>
            </wp:positionV>
            <wp:extent cx="15436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78"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-17780</wp:posOffset>
            </wp:positionV>
            <wp:extent cx="11664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78"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3662045</wp:posOffset>
            </wp:positionH>
            <wp:positionV relativeFrom="paragraph">
              <wp:posOffset>-17780</wp:posOffset>
            </wp:positionV>
            <wp:extent cx="13722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94"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-17780</wp:posOffset>
            </wp:positionV>
            <wp:extent cx="15436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78"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-17780</wp:posOffset>
            </wp:positionV>
            <wp:extent cx="11664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78"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3662045</wp:posOffset>
            </wp:positionH>
            <wp:positionV relativeFrom="paragraph">
              <wp:posOffset>-17780</wp:posOffset>
            </wp:positionV>
            <wp:extent cx="13722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ectPr>
          <w:pgSz w:w="11900" w:h="16838" w:orient="portrait"/>
          <w:cols w:equalWidth="0" w:num="1">
            <w:col w:w="11400"/>
          </w:cols>
          <w:pgMar w:left="240" w:top="1054" w:right="259" w:bottom="1440" w:gutter="0" w:footer="0" w:header="0"/>
        </w:sectPr>
      </w:pPr>
    </w:p>
    <w:bookmarkStart w:id="88" w:name="page89"/>
    <w:bookmarkEnd w:id="88"/>
    <w:p>
      <w:pPr>
        <w:jc w:val="right"/>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SECOND AMENDMENT TO OFFICE LEASE</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This SECOND AMENDMENT TO OFFICE LEASE ("</w:t>
      </w:r>
      <w:r>
        <w:rPr>
          <w:rFonts w:ascii="Arial" w:cs="Arial" w:eastAsia="Arial" w:hAnsi="Arial"/>
          <w:sz w:val="22"/>
          <w:szCs w:val="22"/>
          <w:b w:val="1"/>
          <w:bCs w:val="1"/>
          <w:color w:val="auto"/>
        </w:rPr>
        <w:t>First Amendment</w:t>
      </w:r>
      <w:r>
        <w:rPr>
          <w:rFonts w:ascii="Arial" w:cs="Arial" w:eastAsia="Arial" w:hAnsi="Arial"/>
          <w:sz w:val="22"/>
          <w:szCs w:val="22"/>
          <w:color w:val="auto"/>
        </w:rPr>
        <w:t>") is made and entered into as of May 25, 2018, by and between KR MISSION BAY, LLC, a Delaware limited liability company ("</w:t>
      </w:r>
      <w:r>
        <w:rPr>
          <w:rFonts w:ascii="Arial" w:cs="Arial" w:eastAsia="Arial" w:hAnsi="Arial"/>
          <w:sz w:val="22"/>
          <w:szCs w:val="22"/>
          <w:b w:val="1"/>
          <w:bCs w:val="1"/>
          <w:color w:val="auto"/>
        </w:rPr>
        <w:t>Landlord</w:t>
      </w:r>
      <w:r>
        <w:rPr>
          <w:rFonts w:ascii="Arial" w:cs="Arial" w:eastAsia="Arial" w:hAnsi="Arial"/>
          <w:sz w:val="22"/>
          <w:szCs w:val="22"/>
          <w:color w:val="auto"/>
        </w:rPr>
        <w:t>"), and DROPBOX, INC., a Delaware corporation ("</w:t>
      </w:r>
      <w:r>
        <w:rPr>
          <w:rFonts w:ascii="Arial" w:cs="Arial" w:eastAsia="Arial" w:hAnsi="Arial"/>
          <w:sz w:val="22"/>
          <w:szCs w:val="22"/>
          <w:b w:val="1"/>
          <w:bCs w:val="1"/>
          <w:color w:val="auto"/>
        </w:rPr>
        <w:t>Tenant</w:t>
      </w:r>
      <w:r>
        <w:rPr>
          <w:rFonts w:ascii="Arial" w:cs="Arial" w:eastAsia="Arial" w:hAnsi="Arial"/>
          <w:sz w:val="22"/>
          <w:szCs w:val="22"/>
          <w:color w:val="auto"/>
        </w:rPr>
        <w: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 E C I T A L S</w:t>
      </w:r>
      <w:r>
        <w:rPr>
          <w:rFonts w:ascii="Arial" w:cs="Arial" w:eastAsia="Arial" w:hAnsi="Arial"/>
          <w:sz w:val="22"/>
          <w:szCs w:val="22"/>
          <w:color w:val="auto"/>
        </w:rPr>
        <w:t xml:space="preserve"> :</w:t>
      </w:r>
    </w:p>
    <w:p>
      <w:pPr>
        <w:spacing w:after="0" w:line="200" w:lineRule="exact"/>
        <w:rPr>
          <w:sz w:val="20"/>
          <w:szCs w:val="20"/>
          <w:color w:val="auto"/>
        </w:rPr>
      </w:pPr>
    </w:p>
    <w:p>
      <w:pPr>
        <w:spacing w:after="0" w:line="230" w:lineRule="exact"/>
        <w:rPr>
          <w:sz w:val="20"/>
          <w:szCs w:val="20"/>
          <w:color w:val="auto"/>
        </w:rPr>
      </w:pPr>
    </w:p>
    <w:p>
      <w:pPr>
        <w:jc w:val="both"/>
        <w:ind w:firstLine="656"/>
        <w:spacing w:after="0" w:line="304" w:lineRule="auto"/>
        <w:tabs>
          <w:tab w:leader="none" w:pos="1089" w:val="left"/>
        </w:tabs>
        <w:numPr>
          <w:ilvl w:val="0"/>
          <w:numId w:val="41"/>
        </w:numPr>
        <w:rPr>
          <w:rFonts w:ascii="Arial" w:cs="Arial" w:eastAsia="Arial" w:hAnsi="Arial"/>
          <w:sz w:val="19"/>
          <w:szCs w:val="19"/>
          <w:color w:val="auto"/>
        </w:rPr>
      </w:pPr>
      <w:r>
        <w:rPr>
          <w:rFonts w:ascii="Arial" w:cs="Arial" w:eastAsia="Arial" w:hAnsi="Arial"/>
          <w:sz w:val="19"/>
          <w:szCs w:val="19"/>
          <w:color w:val="auto"/>
        </w:rPr>
        <w:t>Landlord and Tenant are parties to the Office Lease dated October 6, 2017 (the "</w:t>
      </w:r>
      <w:r>
        <w:rPr>
          <w:rFonts w:ascii="Arial" w:cs="Arial" w:eastAsia="Arial" w:hAnsi="Arial"/>
          <w:sz w:val="19"/>
          <w:szCs w:val="19"/>
          <w:b w:val="1"/>
          <w:bCs w:val="1"/>
          <w:color w:val="auto"/>
        </w:rPr>
        <w:t>Original Lease</w:t>
      </w:r>
      <w:r>
        <w:rPr>
          <w:rFonts w:ascii="Arial" w:cs="Arial" w:eastAsia="Arial" w:hAnsi="Arial"/>
          <w:sz w:val="19"/>
          <w:szCs w:val="19"/>
          <w:color w:val="auto"/>
        </w:rPr>
        <w:t>"), as amended by that certain First Amendment to Office Lease dated May 18, 2018 (the "</w:t>
      </w:r>
      <w:r>
        <w:rPr>
          <w:rFonts w:ascii="Arial" w:cs="Arial" w:eastAsia="Arial" w:hAnsi="Arial"/>
          <w:sz w:val="19"/>
          <w:szCs w:val="19"/>
          <w:b w:val="1"/>
          <w:bCs w:val="1"/>
          <w:color w:val="auto"/>
        </w:rPr>
        <w:t>First Amendment</w:t>
      </w:r>
      <w:r>
        <w:rPr>
          <w:rFonts w:ascii="Arial" w:cs="Arial" w:eastAsia="Arial" w:hAnsi="Arial"/>
          <w:sz w:val="19"/>
          <w:szCs w:val="19"/>
          <w:color w:val="auto"/>
        </w:rPr>
        <w:t>"), whereby Tenant leases space (the "</w:t>
      </w:r>
      <w:r>
        <w:rPr>
          <w:rFonts w:ascii="Arial" w:cs="Arial" w:eastAsia="Arial" w:hAnsi="Arial"/>
          <w:sz w:val="19"/>
          <w:szCs w:val="19"/>
          <w:b w:val="1"/>
          <w:bCs w:val="1"/>
          <w:color w:val="auto"/>
        </w:rPr>
        <w:t>Premises</w:t>
      </w:r>
      <w:r>
        <w:rPr>
          <w:rFonts w:ascii="Arial" w:cs="Arial" w:eastAsia="Arial" w:hAnsi="Arial"/>
          <w:sz w:val="19"/>
          <w:szCs w:val="19"/>
          <w:color w:val="auto"/>
        </w:rPr>
        <w:t>") within that certain Project commonly known as "The Exchange" and more particularly described in the Lease (the "</w:t>
      </w:r>
      <w:r>
        <w:rPr>
          <w:rFonts w:ascii="Arial" w:cs="Arial" w:eastAsia="Arial" w:hAnsi="Arial"/>
          <w:sz w:val="19"/>
          <w:szCs w:val="19"/>
          <w:b w:val="1"/>
          <w:bCs w:val="1"/>
          <w:color w:val="auto"/>
        </w:rPr>
        <w:t>Project</w:t>
      </w:r>
      <w:r>
        <w:rPr>
          <w:rFonts w:ascii="Arial" w:cs="Arial" w:eastAsia="Arial" w:hAnsi="Arial"/>
          <w:sz w:val="19"/>
          <w:szCs w:val="19"/>
          <w:color w:val="auto"/>
        </w:rPr>
        <w:t>"). The Original Lease and First Amendment shall collectively be referred to herein as the "</w:t>
      </w:r>
      <w:r>
        <w:rPr>
          <w:rFonts w:ascii="Arial" w:cs="Arial" w:eastAsia="Arial" w:hAnsi="Arial"/>
          <w:sz w:val="19"/>
          <w:szCs w:val="19"/>
          <w:b w:val="1"/>
          <w:bCs w:val="1"/>
          <w:color w:val="auto"/>
        </w:rPr>
        <w:t>Lease</w:t>
      </w:r>
      <w:r>
        <w:rPr>
          <w:rFonts w:ascii="Arial" w:cs="Arial" w:eastAsia="Arial" w:hAnsi="Arial"/>
          <w:sz w:val="19"/>
          <w:szCs w:val="19"/>
          <w:color w:val="auto"/>
        </w:rPr>
        <w:t>".</w:t>
      </w:r>
    </w:p>
    <w:p>
      <w:pPr>
        <w:spacing w:after="0" w:line="141" w:lineRule="exact"/>
        <w:rPr>
          <w:rFonts w:ascii="Arial" w:cs="Arial" w:eastAsia="Arial" w:hAnsi="Arial"/>
          <w:sz w:val="19"/>
          <w:szCs w:val="19"/>
          <w:color w:val="auto"/>
        </w:rPr>
      </w:pPr>
    </w:p>
    <w:p>
      <w:pPr>
        <w:ind w:left="1080" w:hanging="424"/>
        <w:spacing w:after="0"/>
        <w:tabs>
          <w:tab w:leader="none" w:pos="10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Landlord and Tenant desire to amend the Lease as hereinafter provided.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 G R E E M E N T</w:t>
      </w:r>
      <w:r>
        <w:rPr>
          <w:rFonts w:ascii="Arial" w:cs="Arial" w:eastAsia="Arial" w:hAnsi="Arial"/>
          <w:sz w:val="22"/>
          <w:szCs w:val="22"/>
          <w:color w:val="auto"/>
        </w:rPr>
        <w:t xml:space="preserve"> :</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recitals and the mutual covenants contained herein, and for other good and valuable consideration, the receipt and sufficiency of which are hereby acknowledged, the parties hereto hereby agree as follows:</w:t>
      </w:r>
    </w:p>
    <w:p>
      <w:pPr>
        <w:spacing w:after="0" w:line="180" w:lineRule="exact"/>
        <w:rPr>
          <w:sz w:val="20"/>
          <w:szCs w:val="20"/>
          <w:color w:val="auto"/>
        </w:rPr>
      </w:pPr>
    </w:p>
    <w:p>
      <w:pPr>
        <w:ind w:right="20" w:firstLine="656"/>
        <w:spacing w:after="0" w:line="282" w:lineRule="auto"/>
        <w:tabs>
          <w:tab w:leader="none" w:pos="1017" w:val="left"/>
        </w:tabs>
        <w:numPr>
          <w:ilvl w:val="0"/>
          <w:numId w:val="42"/>
        </w:numPr>
        <w:rPr>
          <w:rFonts w:ascii="Arial" w:cs="Arial" w:eastAsia="Arial" w:hAnsi="Arial"/>
          <w:sz w:val="22"/>
          <w:szCs w:val="22"/>
          <w:color w:val="auto"/>
        </w:rPr>
      </w:pPr>
      <w:r>
        <w:rPr>
          <w:rFonts w:ascii="Arial" w:cs="Arial" w:eastAsia="Arial" w:hAnsi="Arial"/>
          <w:sz w:val="22"/>
          <w:szCs w:val="22"/>
          <w:b w:val="1"/>
          <w:bCs w:val="1"/>
          <w:u w:val="single" w:color="auto"/>
          <w:color w:val="auto"/>
        </w:rPr>
        <w:t>Capitalized Terms</w:t>
      </w:r>
      <w:r>
        <w:rPr>
          <w:rFonts w:ascii="Arial" w:cs="Arial" w:eastAsia="Arial" w:hAnsi="Arial"/>
          <w:sz w:val="22"/>
          <w:szCs w:val="22"/>
          <w:color w:val="auto"/>
        </w:rPr>
        <w:t>. All capitalized terms when used herein shall have the same meaning as is given such terms in the</w:t>
      </w:r>
      <w:r>
        <w:rPr>
          <w:rFonts w:ascii="Arial" w:cs="Arial" w:eastAsia="Arial" w:hAnsi="Arial"/>
          <w:sz w:val="22"/>
          <w:szCs w:val="22"/>
          <w:b w:val="1"/>
          <w:bCs w:val="1"/>
          <w:color w:val="auto"/>
        </w:rPr>
        <w:t xml:space="preserve"> </w:t>
      </w:r>
      <w:r>
        <w:rPr>
          <w:rFonts w:ascii="Arial" w:cs="Arial" w:eastAsia="Arial" w:hAnsi="Arial"/>
          <w:sz w:val="22"/>
          <w:szCs w:val="22"/>
          <w:color w:val="auto"/>
        </w:rPr>
        <w:t>Lease unless expressly superseded by the terms of this Second Amendment.</w:t>
      </w:r>
    </w:p>
    <w:p>
      <w:pPr>
        <w:spacing w:after="0" w:line="148" w:lineRule="exact"/>
        <w:rPr>
          <w:rFonts w:ascii="Arial" w:cs="Arial" w:eastAsia="Arial" w:hAnsi="Arial"/>
          <w:sz w:val="22"/>
          <w:szCs w:val="22"/>
          <w:color w:val="auto"/>
        </w:rPr>
      </w:pPr>
    </w:p>
    <w:p>
      <w:pPr>
        <w:jc w:val="both"/>
        <w:ind w:firstLine="656"/>
        <w:spacing w:after="0" w:line="259" w:lineRule="auto"/>
        <w:tabs>
          <w:tab w:leader="none" w:pos="1004" w:val="left"/>
        </w:tabs>
        <w:numPr>
          <w:ilvl w:val="0"/>
          <w:numId w:val="42"/>
        </w:numPr>
        <w:rPr>
          <w:rFonts w:ascii="Arial" w:cs="Arial" w:eastAsia="Arial" w:hAnsi="Arial"/>
          <w:sz w:val="21"/>
          <w:szCs w:val="21"/>
          <w:color w:val="auto"/>
        </w:rPr>
      </w:pPr>
      <w:r>
        <w:rPr>
          <w:rFonts w:ascii="Arial" w:cs="Arial" w:eastAsia="Arial" w:hAnsi="Arial"/>
          <w:sz w:val="21"/>
          <w:szCs w:val="21"/>
          <w:b w:val="1"/>
          <w:bCs w:val="1"/>
          <w:u w:val="single" w:color="auto"/>
          <w:color w:val="auto"/>
        </w:rPr>
        <w:t>Modification of Base Rent Abatement</w:t>
      </w:r>
      <w:r>
        <w:rPr>
          <w:rFonts w:ascii="Arial" w:cs="Arial" w:eastAsia="Arial" w:hAnsi="Arial"/>
          <w:sz w:val="21"/>
          <w:szCs w:val="21"/>
          <w:color w:val="auto"/>
        </w:rPr>
        <w:t>. Notwithstanding any provision to the contrary set forth in the Lease, as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date of this Second Amendment, the first sentence of </w:t>
      </w:r>
      <w:r>
        <w:rPr>
          <w:rFonts w:ascii="Arial" w:cs="Arial" w:eastAsia="Arial" w:hAnsi="Arial"/>
          <w:sz w:val="21"/>
          <w:szCs w:val="21"/>
          <w:u w:val="single" w:color="auto"/>
          <w:color w:val="auto"/>
        </w:rPr>
        <w:t>Section 3.2</w:t>
      </w:r>
      <w:r>
        <w:rPr>
          <w:rFonts w:ascii="Arial" w:cs="Arial" w:eastAsia="Arial" w:hAnsi="Arial"/>
          <w:sz w:val="21"/>
          <w:szCs w:val="21"/>
          <w:color w:val="auto"/>
        </w:rPr>
        <w:t xml:space="preserve"> of the Original Lease is hereby deleted and replaced with the following: "</w:t>
      </w:r>
      <w:r>
        <w:rPr>
          <w:rFonts w:ascii="Arial" w:cs="Arial" w:eastAsia="Arial" w:hAnsi="Arial"/>
          <w:sz w:val="21"/>
          <w:szCs w:val="21"/>
          <w:i w:val="1"/>
          <w:iCs w:val="1"/>
          <w:color w:val="auto"/>
        </w:rPr>
        <w:t>Provided that Tenant is not then in Default, and subject to the terms of this</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Section 3.2</w:t>
      </w:r>
      <w:r>
        <w:rPr>
          <w:rFonts w:ascii="Arial" w:cs="Arial" w:eastAsia="Arial" w:hAnsi="Arial"/>
          <w:sz w:val="21"/>
          <w:szCs w:val="21"/>
          <w:color w:val="auto"/>
        </w:rPr>
        <w:t xml:space="preserve"> </w:t>
      </w:r>
      <w:r>
        <w:rPr>
          <w:rFonts w:ascii="Arial" w:cs="Arial" w:eastAsia="Arial" w:hAnsi="Arial"/>
          <w:sz w:val="21"/>
          <w:szCs w:val="21"/>
          <w:i w:val="1"/>
          <w:iCs w:val="1"/>
          <w:color w:val="auto"/>
        </w:rPr>
        <w:t>below, then (i) during the last</w:t>
      </w:r>
      <w:r>
        <w:rPr>
          <w:rFonts w:ascii="Arial" w:cs="Arial" w:eastAsia="Arial" w:hAnsi="Arial"/>
          <w:sz w:val="21"/>
          <w:szCs w:val="21"/>
          <w:color w:val="auto"/>
        </w:rPr>
        <w:t xml:space="preserve"> </w:t>
      </w:r>
      <w:r>
        <w:rPr>
          <w:rFonts w:ascii="Arial" w:cs="Arial" w:eastAsia="Arial" w:hAnsi="Arial"/>
          <w:sz w:val="21"/>
          <w:szCs w:val="21"/>
          <w:i w:val="1"/>
          <w:iCs w:val="1"/>
          <w:color w:val="auto"/>
        </w:rPr>
        <w:t>sixteen (16) full calendar months of the Lease Term with respect to the Phase I Premises, Tenant shall not be obligated to pay Base Rent otherwise attributable to the Phase I Premises during the applicable portion of the Base Rent Abatement Period (defined below) for a total amount not to exceed $32,425,917.22 (i.e., an amount based on fifteen (15) full calendar months of Base Rent due during months one (1) through fifteen (15) of the Lease Term and a portion of Base Rent due during month sixteen (16) of the Lease Term, (ii) during the last three (3) full calendar months of the Lease Term with respect to the Phase II Premises, Tenant shall not be obligated to pay any Base Rent otherwise attributable to the Phase II Premises during the applicable portion of the Base Rent Abatement Period, and (iii) during the last three (3) full calendar months of the Lease Term with respect to the Phase III Premises, Tenant shall not be obligated to pay any Base Rent otherwise attributable to the Phase III Premises during the applicable portion of the Base Rent Abatement Period (the sixteen (16) month, three (3) month, and three (3) month periods above are collectively,</w:t>
      </w:r>
    </w:p>
    <w:p>
      <w:pPr>
        <w:sectPr>
          <w:pgSz w:w="11900" w:h="16838" w:orient="portrait"/>
          <w:cols w:equalWidth="0" w:num="1">
            <w:col w:w="11420"/>
          </w:cols>
          <w:pgMar w:left="240" w:top="388" w:right="239" w:bottom="1440" w:gutter="0" w:footer="0" w:header="0"/>
        </w:sectPr>
      </w:pPr>
    </w:p>
    <w:bookmarkStart w:id="89" w:name="page90"/>
    <w:bookmarkEnd w:id="89"/>
    <w:p>
      <w:pPr>
        <w:ind w:right="20"/>
        <w:spacing w:after="0" w:line="263" w:lineRule="auto"/>
        <w:rPr>
          <w:sz w:val="20"/>
          <w:szCs w:val="20"/>
          <w:color w:val="auto"/>
        </w:rPr>
      </w:pPr>
      <w:r>
        <w:rPr>
          <w:rFonts w:ascii="Arial" w:cs="Arial" w:eastAsia="Arial" w:hAnsi="Arial"/>
          <w:sz w:val="22"/>
          <w:szCs w:val="22"/>
          <w:i w:val="1"/>
          <w:iCs w:val="1"/>
          <w:color w:val="auto"/>
        </w:rPr>
        <w:t>the "</w:t>
      </w:r>
      <w:r>
        <w:rPr>
          <w:rFonts w:ascii="Arial" w:cs="Arial" w:eastAsia="Arial" w:hAnsi="Arial"/>
          <w:sz w:val="22"/>
          <w:szCs w:val="22"/>
          <w:b w:val="1"/>
          <w:bCs w:val="1"/>
          <w:i w:val="1"/>
          <w:iCs w:val="1"/>
          <w:color w:val="auto"/>
        </w:rPr>
        <w:t>Base Rent Abatement Period</w:t>
      </w:r>
      <w:r>
        <w:rPr>
          <w:rFonts w:ascii="Arial" w:cs="Arial" w:eastAsia="Arial" w:hAnsi="Arial"/>
          <w:sz w:val="22"/>
          <w:szCs w:val="22"/>
          <w:i w:val="1"/>
          <w:iCs w:val="1"/>
          <w:color w:val="auto"/>
        </w:rPr>
        <w:t>"). The total amount of Base Rent abated pursuant to the preceding sentence is the "</w:t>
      </w:r>
      <w:r>
        <w:rPr>
          <w:rFonts w:ascii="Arial" w:cs="Arial" w:eastAsia="Arial" w:hAnsi="Arial"/>
          <w:sz w:val="22"/>
          <w:szCs w:val="22"/>
          <w:b w:val="1"/>
          <w:bCs w:val="1"/>
          <w:i w:val="1"/>
          <w:iCs w:val="1"/>
          <w:color w:val="auto"/>
        </w:rPr>
        <w:t>Base Rent</w:t>
      </w:r>
      <w:r>
        <w:rPr>
          <w:rFonts w:ascii="Arial" w:cs="Arial" w:eastAsia="Arial" w:hAnsi="Arial"/>
          <w:sz w:val="22"/>
          <w:szCs w:val="22"/>
          <w:i w:val="1"/>
          <w:iCs w:val="1"/>
          <w:color w:val="auto"/>
        </w:rPr>
        <w:t xml:space="preserve"> </w:t>
      </w:r>
      <w:r>
        <w:rPr>
          <w:rFonts w:ascii="Arial" w:cs="Arial" w:eastAsia="Arial" w:hAnsi="Arial"/>
          <w:sz w:val="22"/>
          <w:szCs w:val="22"/>
          <w:b w:val="1"/>
          <w:bCs w:val="1"/>
          <w:i w:val="1"/>
          <w:iCs w:val="1"/>
          <w:color w:val="auto"/>
        </w:rPr>
        <w:t>Abatement Amount</w:t>
      </w:r>
      <w:r>
        <w:rPr>
          <w:rFonts w:ascii="Arial" w:cs="Arial" w:eastAsia="Arial" w:hAnsi="Arial"/>
          <w:sz w:val="22"/>
          <w:szCs w:val="22"/>
          <w:i w:val="1"/>
          <w:iCs w:val="1"/>
          <w:color w:val="auto"/>
        </w:rPr>
        <w:t>".</w:t>
      </w:r>
      <w:r>
        <w:rPr>
          <w:rFonts w:ascii="Arial" w:cs="Arial" w:eastAsia="Arial" w:hAnsi="Arial"/>
          <w:sz w:val="22"/>
          <w:szCs w:val="22"/>
          <w:color w:val="auto"/>
        </w:rPr>
        <w:t>"</w:t>
      </w:r>
    </w:p>
    <w:p>
      <w:pPr>
        <w:spacing w:after="0" w:line="169" w:lineRule="exact"/>
        <w:rPr>
          <w:sz w:val="20"/>
          <w:szCs w:val="20"/>
          <w:color w:val="auto"/>
        </w:rPr>
      </w:pPr>
    </w:p>
    <w:p>
      <w:pPr>
        <w:jc w:val="both"/>
        <w:ind w:firstLine="656"/>
        <w:spacing w:after="0" w:line="295" w:lineRule="auto"/>
        <w:tabs>
          <w:tab w:leader="none" w:pos="1017" w:val="left"/>
        </w:tabs>
        <w:numPr>
          <w:ilvl w:val="0"/>
          <w:numId w:val="43"/>
        </w:numPr>
        <w:rPr>
          <w:rFonts w:ascii="Arial" w:cs="Arial" w:eastAsia="Arial" w:hAnsi="Arial"/>
          <w:sz w:val="19"/>
          <w:szCs w:val="19"/>
          <w:color w:val="auto"/>
        </w:rPr>
      </w:pPr>
      <w:r>
        <w:rPr>
          <w:rFonts w:ascii="Arial" w:cs="Arial" w:eastAsia="Arial" w:hAnsi="Arial"/>
          <w:sz w:val="19"/>
          <w:szCs w:val="19"/>
          <w:b w:val="1"/>
          <w:bCs w:val="1"/>
          <w:u w:val="single" w:color="auto"/>
          <w:color w:val="auto"/>
        </w:rPr>
        <w:t>Modification of Improvement Allowance</w:t>
      </w:r>
      <w:r>
        <w:rPr>
          <w:rFonts w:ascii="Arial" w:cs="Arial" w:eastAsia="Arial" w:hAnsi="Arial"/>
          <w:sz w:val="19"/>
          <w:szCs w:val="19"/>
          <w:color w:val="auto"/>
        </w:rPr>
        <w:t>. Notwithstanding any provision to the contrary set forth in the Lease, as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date of this Second Amendment, Landlord hereby grants Tenant an increase to the Improvement Allowance in the amount of One Million One Hundred Eighty-Five Thousand One Hundred Thirty-One and 40/100 Dollars ($1,185,131.40) (the "</w:t>
      </w:r>
      <w:r>
        <w:rPr>
          <w:rFonts w:ascii="Arial" w:cs="Arial" w:eastAsia="Arial" w:hAnsi="Arial"/>
          <w:sz w:val="19"/>
          <w:szCs w:val="19"/>
          <w:b w:val="1"/>
          <w:bCs w:val="1"/>
          <w:color w:val="auto"/>
        </w:rPr>
        <w:t>Additional</w:t>
      </w:r>
      <w:r>
        <w:rPr>
          <w:rFonts w:ascii="Arial" w:cs="Arial" w:eastAsia="Arial" w:hAnsi="Arial"/>
          <w:sz w:val="19"/>
          <w:szCs w:val="19"/>
          <w:color w:val="auto"/>
        </w:rPr>
        <w:t xml:space="preserve"> </w:t>
      </w:r>
      <w:r>
        <w:rPr>
          <w:rFonts w:ascii="Arial" w:cs="Arial" w:eastAsia="Arial" w:hAnsi="Arial"/>
          <w:sz w:val="19"/>
          <w:szCs w:val="19"/>
          <w:b w:val="1"/>
          <w:bCs w:val="1"/>
          <w:color w:val="auto"/>
        </w:rPr>
        <w:t>Improvement Allowance</w:t>
      </w:r>
      <w:r>
        <w:rPr>
          <w:rFonts w:ascii="Arial" w:cs="Arial" w:eastAsia="Arial" w:hAnsi="Arial"/>
          <w:sz w:val="19"/>
          <w:szCs w:val="19"/>
          <w:color w:val="auto"/>
        </w:rPr>
        <w:t>"), which Additional Improvement Allowance shall be deemed part of the Improvement Allowance</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the terms of the Work Letter, but may only be utilized for construction of Improvements pertaining to the Phase I Premises. Any portion of the Additional Improvement Allowance not utilized for Tenant Requested Changes shall continue to be available for construction of Improvements pertaining to the Phase I Premises.</w:t>
      </w:r>
    </w:p>
    <w:p>
      <w:pPr>
        <w:spacing w:after="0" w:line="145" w:lineRule="exact"/>
        <w:rPr>
          <w:rFonts w:ascii="Arial" w:cs="Arial" w:eastAsia="Arial" w:hAnsi="Arial"/>
          <w:sz w:val="19"/>
          <w:szCs w:val="19"/>
          <w:color w:val="auto"/>
        </w:rPr>
      </w:pPr>
    </w:p>
    <w:p>
      <w:pPr>
        <w:jc w:val="both"/>
        <w:ind w:firstLine="656"/>
        <w:spacing w:after="0" w:line="292" w:lineRule="auto"/>
        <w:tabs>
          <w:tab w:leader="none" w:pos="1017" w:val="left"/>
        </w:tabs>
        <w:numPr>
          <w:ilvl w:val="0"/>
          <w:numId w:val="43"/>
        </w:numPr>
        <w:rPr>
          <w:rFonts w:ascii="Arial" w:cs="Arial" w:eastAsia="Arial" w:hAnsi="Arial"/>
          <w:sz w:val="19"/>
          <w:szCs w:val="19"/>
          <w:color w:val="auto"/>
        </w:rPr>
      </w:pPr>
      <w:r>
        <w:rPr>
          <w:rFonts w:ascii="Arial" w:cs="Arial" w:eastAsia="Arial" w:hAnsi="Arial"/>
          <w:sz w:val="19"/>
          <w:szCs w:val="19"/>
          <w:b w:val="1"/>
          <w:bCs w:val="1"/>
          <w:u w:val="single" w:color="auto"/>
          <w:color w:val="auto"/>
        </w:rPr>
        <w:t>Brokers</w:t>
      </w:r>
      <w:r>
        <w:rPr>
          <w:rFonts w:ascii="Arial" w:cs="Arial" w:eastAsia="Arial" w:hAnsi="Arial"/>
          <w:sz w:val="19"/>
          <w:szCs w:val="19"/>
          <w:color w:val="auto"/>
        </w:rPr>
        <w:t>. Landlord and Tenant hereby warrant to each other that they have had no dealings with any real estate broker</w:t>
      </w:r>
      <w:r>
        <w:rPr>
          <w:rFonts w:ascii="Arial" w:cs="Arial" w:eastAsia="Arial" w:hAnsi="Arial"/>
          <w:sz w:val="19"/>
          <w:szCs w:val="19"/>
          <w:b w:val="1"/>
          <w:bCs w:val="1"/>
          <w:color w:val="auto"/>
        </w:rPr>
        <w:t xml:space="preserve"> </w:t>
      </w:r>
      <w:r>
        <w:rPr>
          <w:rFonts w:ascii="Arial" w:cs="Arial" w:eastAsia="Arial" w:hAnsi="Arial"/>
          <w:sz w:val="19"/>
          <w:szCs w:val="19"/>
          <w:color w:val="auto"/>
        </w:rPr>
        <w:t>or agent in connection with the negotiation of this Second Amendment, and that they know of no real estate broker or agent who is entitled to a commission in connection with this Second Amendment, except for CBRE, Inc. (the "</w:t>
      </w:r>
      <w:r>
        <w:rPr>
          <w:rFonts w:ascii="Arial" w:cs="Arial" w:eastAsia="Arial" w:hAnsi="Arial"/>
          <w:sz w:val="19"/>
          <w:szCs w:val="19"/>
          <w:b w:val="1"/>
          <w:bCs w:val="1"/>
          <w:color w:val="auto"/>
        </w:rPr>
        <w:t>Broker</w:t>
      </w:r>
      <w:r>
        <w:rPr>
          <w:rFonts w:ascii="Arial" w:cs="Arial" w:eastAsia="Arial" w:hAnsi="Arial"/>
          <w:sz w:val="19"/>
          <w:szCs w:val="19"/>
          <w:color w:val="auto"/>
        </w:rPr>
        <w:t xml:space="preserve">"). Each party agrees to indemnify and defend the other party against and hold the other party harmless from and against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in connection herewith occurring by, through or under the indemnifying party, other than the Broker. The Broker shall be compensated by Landlord pursuant to the provisions of a separate written agreement between Landlord and the Broker. The terms of this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shall survive the expiration or earlier termination of the term of the Lease, as hereby amended.</w:t>
      </w:r>
    </w:p>
    <w:p>
      <w:pPr>
        <w:spacing w:after="0" w:line="146" w:lineRule="exact"/>
        <w:rPr>
          <w:rFonts w:ascii="Arial" w:cs="Arial" w:eastAsia="Arial" w:hAnsi="Arial"/>
          <w:sz w:val="19"/>
          <w:szCs w:val="19"/>
          <w:color w:val="auto"/>
        </w:rPr>
      </w:pPr>
    </w:p>
    <w:p>
      <w:pPr>
        <w:jc w:val="both"/>
        <w:ind w:firstLine="656"/>
        <w:spacing w:after="0" w:line="288" w:lineRule="auto"/>
        <w:tabs>
          <w:tab w:leader="none" w:pos="1017" w:val="left"/>
        </w:tabs>
        <w:numPr>
          <w:ilvl w:val="0"/>
          <w:numId w:val="43"/>
        </w:numPr>
        <w:rPr>
          <w:rFonts w:ascii="Arial" w:cs="Arial" w:eastAsia="Arial" w:hAnsi="Arial"/>
          <w:sz w:val="19"/>
          <w:szCs w:val="19"/>
          <w:color w:val="auto"/>
        </w:rPr>
      </w:pPr>
      <w:r>
        <w:rPr>
          <w:rFonts w:ascii="Arial" w:cs="Arial" w:eastAsia="Arial" w:hAnsi="Arial"/>
          <w:sz w:val="19"/>
          <w:szCs w:val="19"/>
          <w:b w:val="1"/>
          <w:bCs w:val="1"/>
          <w:u w:val="single" w:color="auto"/>
          <w:color w:val="auto"/>
        </w:rPr>
        <w:t>Prohibited Persons; Foreign Corrupt Practices Act and Anti-Money Laundering</w:t>
      </w:r>
      <w:r>
        <w:rPr>
          <w:rFonts w:ascii="Arial" w:cs="Arial" w:eastAsia="Arial" w:hAnsi="Arial"/>
          <w:sz w:val="19"/>
          <w:szCs w:val="19"/>
          <w:color w:val="auto"/>
        </w:rPr>
        <w:t>. Neither (i) Tenant nor any of its</w:t>
      </w:r>
      <w:r>
        <w:rPr>
          <w:rFonts w:ascii="Arial" w:cs="Arial" w:eastAsia="Arial" w:hAnsi="Arial"/>
          <w:sz w:val="19"/>
          <w:szCs w:val="19"/>
          <w:b w:val="1"/>
          <w:bCs w:val="1"/>
          <w:color w:val="auto"/>
        </w:rPr>
        <w:t xml:space="preserve"> </w:t>
      </w:r>
      <w:r>
        <w:rPr>
          <w:rFonts w:ascii="Arial" w:cs="Arial" w:eastAsia="Arial" w:hAnsi="Arial"/>
          <w:sz w:val="19"/>
          <w:szCs w:val="19"/>
          <w:color w:val="auto"/>
        </w:rPr>
        <w:t>officers, directors or managers, or (ii) to Tenant's knowledge, any of Tenant's affiliates, nor any of their respective members, partners, other equity holders (excluding any holders of any publicly traded stock or other equity interests of Tenant, if any), officers, directors or managers is, nor during the Lease Term will they become, a person or entity with whom U.S. persons or entities are restricted from doing business under (a) the Patriot Act (as defined below), (b) any other requirements contained in the rules and regulations of the Office of Foreign Assets Control, Department of the Treasury ("</w:t>
      </w:r>
      <w:r>
        <w:rPr>
          <w:rFonts w:ascii="Arial" w:cs="Arial" w:eastAsia="Arial" w:hAnsi="Arial"/>
          <w:sz w:val="19"/>
          <w:szCs w:val="19"/>
          <w:b w:val="1"/>
          <w:bCs w:val="1"/>
          <w:color w:val="auto"/>
        </w:rPr>
        <w:t>OFAC</w:t>
      </w:r>
      <w:r>
        <w:rPr>
          <w:rFonts w:ascii="Arial" w:cs="Arial" w:eastAsia="Arial" w:hAnsi="Arial"/>
          <w:sz w:val="19"/>
          <w:szCs w:val="19"/>
          <w:color w:val="auto"/>
        </w:rPr>
        <w:t>") (including any "blocked" person or entity listed in the Annex to Executive Order Nos. 12947, 13099 and 13224 and any modifications thereto or thereof or any other person or entity named on OFAC's Specially Designated Blocked Persons List) or (c) any other U.S. statute, Executive Order (including the September 24, 2001, Executive Order Blocking Property and Prohibiting Transactions with Persons Who Commit, Threaten to Commit or Support Terrorism) or other governmental action (collectively, "</w:t>
      </w:r>
      <w:r>
        <w:rPr>
          <w:rFonts w:ascii="Arial" w:cs="Arial" w:eastAsia="Arial" w:hAnsi="Arial"/>
          <w:sz w:val="19"/>
          <w:szCs w:val="19"/>
          <w:b w:val="1"/>
          <w:bCs w:val="1"/>
          <w:color w:val="auto"/>
        </w:rPr>
        <w:t>Prohibited Persons</w:t>
      </w:r>
      <w:r>
        <w:rPr>
          <w:rFonts w:ascii="Arial" w:cs="Arial" w:eastAsia="Arial" w:hAnsi="Arial"/>
          <w:sz w:val="19"/>
          <w:szCs w:val="19"/>
          <w:color w:val="auto"/>
        </w:rPr>
        <w:t>"). Tenant is not entering into this Second Amendment, directly or indirectly, in violation of any laws relating to drug trafficking, money laundering or predicate crimes to money laundering. As used herein, "</w:t>
      </w:r>
      <w:r>
        <w:rPr>
          <w:rFonts w:ascii="Arial" w:cs="Arial" w:eastAsia="Arial" w:hAnsi="Arial"/>
          <w:sz w:val="19"/>
          <w:szCs w:val="19"/>
          <w:b w:val="1"/>
          <w:bCs w:val="1"/>
          <w:color w:val="auto"/>
        </w:rPr>
        <w:t>Patriot Act</w:t>
      </w:r>
      <w:r>
        <w:rPr>
          <w:rFonts w:ascii="Arial" w:cs="Arial" w:eastAsia="Arial" w:hAnsi="Arial"/>
          <w:sz w:val="19"/>
          <w:szCs w:val="19"/>
          <w:color w:val="auto"/>
        </w:rPr>
        <w:t>" shall mean the USA Patriot Act of 2001, 107 Public Law 56 (October 26, 2001) and all other statutes, orders, rules and regulations of the U.S. government and its various executive departments, agencies and offices interpreting and implementing the Patriot Act.</w:t>
      </w:r>
    </w:p>
    <w:p>
      <w:pPr>
        <w:sectPr>
          <w:pgSz w:w="11900" w:h="16838" w:orient="portrait"/>
          <w:cols w:equalWidth="0" w:num="1">
            <w:col w:w="11420"/>
          </w:cols>
          <w:pgMar w:left="240" w:top="591" w:right="239" w:bottom="1440" w:gutter="0" w:footer="0" w:header="0"/>
        </w:sectPr>
      </w:pPr>
    </w:p>
    <w:bookmarkStart w:id="90" w:name="page91"/>
    <w:bookmarkEnd w:id="90"/>
    <w:p>
      <w:pPr>
        <w:jc w:val="both"/>
        <w:ind w:left="-20" w:firstLine="656"/>
        <w:spacing w:after="0" w:line="263" w:lineRule="auto"/>
        <w:tabs>
          <w:tab w:leader="none" w:pos="1051" w:val="left"/>
        </w:tabs>
        <w:numPr>
          <w:ilvl w:val="0"/>
          <w:numId w:val="44"/>
        </w:numPr>
        <w:rPr>
          <w:rFonts w:ascii="Arial" w:cs="Arial" w:eastAsia="Arial" w:hAnsi="Arial"/>
          <w:sz w:val="21"/>
          <w:szCs w:val="21"/>
          <w:color w:val="auto"/>
        </w:rPr>
      </w:pPr>
      <w:r>
        <w:rPr>
          <w:rFonts w:ascii="Arial" w:cs="Arial" w:eastAsia="Arial" w:hAnsi="Arial"/>
          <w:sz w:val="21"/>
          <w:szCs w:val="21"/>
          <w:b w:val="1"/>
          <w:bCs w:val="1"/>
          <w:u w:val="single" w:color="auto"/>
          <w:color w:val="auto"/>
        </w:rPr>
        <w:t>Signatures</w:t>
      </w:r>
      <w:r>
        <w:rPr>
          <w:rFonts w:ascii="Arial" w:cs="Arial" w:eastAsia="Arial" w:hAnsi="Arial"/>
          <w:sz w:val="21"/>
          <w:szCs w:val="21"/>
          <w:color w:val="auto"/>
        </w:rPr>
        <w:t>. The parties hereto consent and agree that this Second Amendment may be signed and/or transmitted by</w:t>
      </w:r>
      <w:r>
        <w:rPr>
          <w:rFonts w:ascii="Arial" w:cs="Arial" w:eastAsia="Arial" w:hAnsi="Arial"/>
          <w:sz w:val="21"/>
          <w:szCs w:val="21"/>
          <w:b w:val="1"/>
          <w:bCs w:val="1"/>
          <w:color w:val="auto"/>
        </w:rPr>
        <w:t xml:space="preserve"> </w:t>
      </w:r>
      <w:r>
        <w:rPr>
          <w:rFonts w:ascii="Arial" w:cs="Arial" w:eastAsia="Arial" w:hAnsi="Arial"/>
          <w:sz w:val="21"/>
          <w:szCs w:val="21"/>
          <w:color w:val="auto"/>
        </w:rPr>
        <w:t>facsimile, e-mail of a .pdf document or using electronic signature technology (e.g., via DocuSign or similar electronic signature technology), and that such signed electronic record shall be valid and as effective to bind the party so signing as a paper copy bearing such party's handwritten signature. The parties further consent and agree that (1) to the extent a party signs this Second Amendment using electronic signature technology, by clicking "SIGN", such party is signing this Second Amendment electronically, and (2) the electronic signatures appearing on this Second Amendment shall be treated, for purposes of validity, enforceability and admissibility, the same as handwritten signatures.</w:t>
      </w:r>
    </w:p>
    <w:p>
      <w:pPr>
        <w:spacing w:after="0" w:line="173" w:lineRule="exact"/>
        <w:rPr>
          <w:rFonts w:ascii="Arial" w:cs="Arial" w:eastAsia="Arial" w:hAnsi="Arial"/>
          <w:sz w:val="21"/>
          <w:szCs w:val="21"/>
          <w:color w:val="auto"/>
        </w:rPr>
      </w:pPr>
    </w:p>
    <w:p>
      <w:pPr>
        <w:jc w:val="both"/>
        <w:ind w:left="-20" w:firstLine="656"/>
        <w:spacing w:after="0" w:line="260" w:lineRule="auto"/>
        <w:tabs>
          <w:tab w:leader="none" w:pos="1092" w:val="left"/>
        </w:tabs>
        <w:numPr>
          <w:ilvl w:val="0"/>
          <w:numId w:val="44"/>
        </w:numPr>
        <w:rPr>
          <w:rFonts w:ascii="Arial" w:cs="Arial" w:eastAsia="Arial" w:hAnsi="Arial"/>
          <w:sz w:val="21"/>
          <w:szCs w:val="21"/>
          <w:color w:val="auto"/>
        </w:rPr>
      </w:pPr>
      <w:r>
        <w:rPr>
          <w:rFonts w:ascii="Arial" w:cs="Arial" w:eastAsia="Arial" w:hAnsi="Arial"/>
          <w:sz w:val="21"/>
          <w:szCs w:val="21"/>
          <w:b w:val="1"/>
          <w:bCs w:val="1"/>
          <w:u w:val="single" w:color="auto"/>
          <w:color w:val="auto"/>
        </w:rPr>
        <w:t>California Accessibility Disclosure</w:t>
      </w:r>
      <w:r>
        <w:rPr>
          <w:rFonts w:ascii="Arial" w:cs="Arial" w:eastAsia="Arial" w:hAnsi="Arial"/>
          <w:sz w:val="21"/>
          <w:szCs w:val="21"/>
          <w:color w:val="auto"/>
        </w:rPr>
        <w:t>. For purposes of Section 1938 of the California Civil Code, Landlord hereby</w:t>
      </w:r>
      <w:r>
        <w:rPr>
          <w:rFonts w:ascii="Arial" w:cs="Arial" w:eastAsia="Arial" w:hAnsi="Arial"/>
          <w:sz w:val="21"/>
          <w:szCs w:val="21"/>
          <w:b w:val="1"/>
          <w:bCs w:val="1"/>
          <w:color w:val="auto"/>
        </w:rPr>
        <w:t xml:space="preserve"> </w:t>
      </w:r>
      <w:r>
        <w:rPr>
          <w:rFonts w:ascii="Arial" w:cs="Arial" w:eastAsia="Arial" w:hAnsi="Arial"/>
          <w:sz w:val="21"/>
          <w:szCs w:val="21"/>
          <w:color w:val="auto"/>
        </w:rPr>
        <w:t>discloses to Tenant, and Tenant hereby acknowledges, that the Premises have not undergone inspection by a Certified Access Specialist ("</w:t>
      </w:r>
      <w:r>
        <w:rPr>
          <w:rFonts w:ascii="Arial" w:cs="Arial" w:eastAsia="Arial" w:hAnsi="Arial"/>
          <w:sz w:val="21"/>
          <w:szCs w:val="21"/>
          <w:b w:val="1"/>
          <w:bCs w:val="1"/>
          <w:color w:val="auto"/>
        </w:rPr>
        <w:t>CASp</w:t>
      </w:r>
      <w:r>
        <w:rPr>
          <w:rFonts w:ascii="Arial" w:cs="Arial" w:eastAsia="Arial" w:hAnsi="Arial"/>
          <w:sz w:val="21"/>
          <w:szCs w:val="21"/>
          <w:color w:val="auto"/>
        </w:rPr>
        <w:t>"). As required by Section 1938(e) of the California Civil Code, Landlord hereby 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179" w:lineRule="exact"/>
        <w:rPr>
          <w:rFonts w:ascii="Arial" w:cs="Arial" w:eastAsia="Arial" w:hAnsi="Arial"/>
          <w:sz w:val="21"/>
          <w:szCs w:val="21"/>
          <w:color w:val="auto"/>
        </w:rPr>
      </w:pPr>
    </w:p>
    <w:p>
      <w:pPr>
        <w:jc w:val="both"/>
        <w:ind w:left="-20" w:firstLine="656"/>
        <w:spacing w:after="0" w:line="323" w:lineRule="auto"/>
        <w:tabs>
          <w:tab w:leader="none" w:pos="997" w:val="left"/>
        </w:tabs>
        <w:numPr>
          <w:ilvl w:val="0"/>
          <w:numId w:val="44"/>
        </w:numPr>
        <w:rPr>
          <w:rFonts w:ascii="Arial" w:cs="Arial" w:eastAsia="Arial" w:hAnsi="Arial"/>
          <w:sz w:val="19"/>
          <w:szCs w:val="19"/>
          <w:color w:val="auto"/>
        </w:rPr>
      </w:pPr>
      <w:r>
        <w:rPr>
          <w:rFonts w:ascii="Arial" w:cs="Arial" w:eastAsia="Arial" w:hAnsi="Arial"/>
          <w:sz w:val="19"/>
          <w:szCs w:val="19"/>
          <w:b w:val="1"/>
          <w:bCs w:val="1"/>
          <w:u w:val="single" w:color="auto"/>
          <w:color w:val="auto"/>
        </w:rPr>
        <w:t>No Further Modification</w:t>
      </w:r>
      <w:r>
        <w:rPr>
          <w:rFonts w:ascii="Arial" w:cs="Arial" w:eastAsia="Arial" w:hAnsi="Arial"/>
          <w:sz w:val="19"/>
          <w:szCs w:val="19"/>
          <w:color w:val="auto"/>
        </w:rPr>
        <w:t>. Except as set forth in this Second Amendment, all of the terms and provisions of the Lease</w:t>
      </w:r>
      <w:r>
        <w:rPr>
          <w:rFonts w:ascii="Arial" w:cs="Arial" w:eastAsia="Arial" w:hAnsi="Arial"/>
          <w:sz w:val="19"/>
          <w:szCs w:val="19"/>
          <w:b w:val="1"/>
          <w:bCs w:val="1"/>
          <w:color w:val="auto"/>
        </w:rPr>
        <w:t xml:space="preserve"> </w:t>
      </w:r>
      <w:r>
        <w:rPr>
          <w:rFonts w:ascii="Arial" w:cs="Arial" w:eastAsia="Arial" w:hAnsi="Arial"/>
          <w:sz w:val="19"/>
          <w:szCs w:val="19"/>
          <w:color w:val="auto"/>
        </w:rPr>
        <w:t>shall remain unmodified and in full force and effect. In the event of any conflict between the terms and conditions of the Lease and the terms and conditions of this Second Amendment, the terms and conditions of this Second Amendment shall prevail.</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follow on next page]</w:t>
      </w:r>
    </w:p>
    <w:p>
      <w:pPr>
        <w:sectPr>
          <w:pgSz w:w="11900" w:h="16838" w:orient="portrait"/>
          <w:cols w:equalWidth="0" w:num="1">
            <w:col w:w="11400"/>
          </w:cols>
          <w:pgMar w:left="260" w:top="585" w:right="239" w:bottom="1440" w:gutter="0" w:footer="0" w:header="0"/>
        </w:sectPr>
      </w:pPr>
    </w:p>
    <w:bookmarkStart w:id="91" w:name="page92"/>
    <w:bookmarkEnd w:id="91"/>
    <w:p>
      <w:pPr>
        <w:ind w:left="660"/>
        <w:spacing w:after="0"/>
        <w:rPr>
          <w:sz w:val="20"/>
          <w:szCs w:val="20"/>
          <w:color w:val="auto"/>
        </w:rPr>
      </w:pPr>
      <w:r>
        <w:rPr>
          <w:rFonts w:ascii="Arial" w:cs="Arial" w:eastAsia="Arial" w:hAnsi="Arial"/>
          <w:sz w:val="19"/>
          <w:szCs w:val="19"/>
          <w:color w:val="auto"/>
        </w:rPr>
        <w:t>IN WITNESS WHEREOF, this Second Amendment has been executed as of the day and year first above written.</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LANDLORD:</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KR MISSION BAY,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42"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Kilroy Realty, L.P.,</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Delaware limited partnership</w:t>
      </w:r>
    </w:p>
    <w:p>
      <w:pPr>
        <w:spacing w:after="0" w:line="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Sole Member</w:t>
      </w:r>
    </w:p>
    <w:p>
      <w:pPr>
        <w:spacing w:after="0" w:line="24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Kilroy Realty Corporation,</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 Maryland corporation</w:t>
      </w:r>
    </w:p>
    <w:p>
      <w:pPr>
        <w:spacing w:after="0" w:line="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General Partner</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1163955</wp:posOffset>
            </wp:positionH>
            <wp:positionV relativeFrom="paragraph">
              <wp:posOffset>-17780</wp:posOffset>
            </wp:positionV>
            <wp:extent cx="6858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1330960</wp:posOffset>
            </wp:positionH>
            <wp:positionV relativeFrom="paragraph">
              <wp:posOffset>-29210</wp:posOffset>
            </wp:positionV>
            <wp:extent cx="6858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1141095</wp:posOffset>
            </wp:positionH>
            <wp:positionV relativeFrom="paragraph">
              <wp:posOffset>-29210</wp:posOffset>
            </wp:positionV>
            <wp:extent cx="6858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1163955</wp:posOffset>
            </wp:positionH>
            <wp:positionV relativeFrom="paragraph">
              <wp:posOffset>-17780</wp:posOffset>
            </wp:positionV>
            <wp:extent cx="6858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1330960</wp:posOffset>
            </wp:positionH>
            <wp:positionV relativeFrom="paragraph">
              <wp:posOffset>-29210</wp:posOffset>
            </wp:positionV>
            <wp:extent cx="6858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1141095</wp:posOffset>
            </wp:positionH>
            <wp:positionV relativeFrom="paragraph">
              <wp:posOffset>-29210</wp:posOffset>
            </wp:positionV>
            <wp:extent cx="6858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color w:val="auto"/>
        </w:rPr>
        <w:t>TENANT: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DROPBOX,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 Delaware corporation</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6858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-29210</wp:posOffset>
            </wp:positionV>
            <wp:extent cx="6858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-29210</wp:posOffset>
            </wp:positionV>
            <wp:extent cx="6858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6858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-29210</wp:posOffset>
            </wp:positionV>
            <wp:extent cx="6858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-29210</wp:posOffset>
            </wp:positionV>
            <wp:extent cx="6858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ectPr>
          <w:pgSz w:w="11900" w:h="16838" w:orient="portrait"/>
          <w:cols w:equalWidth="0" w:num="1">
            <w:col w:w="10460"/>
          </w:cols>
          <w:pgMar w:left="240" w:top="591" w:right="119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W. Houston, certify that:</w:t>
      </w:r>
    </w:p>
    <w:p>
      <w:pPr>
        <w:spacing w:after="0" w:line="225"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Dropbox,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4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2018</w:t>
      </w:r>
    </w:p>
    <w:p>
      <w:pPr>
        <w:spacing w:after="0" w:line="1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DROPBOX, INC.</w:t>
      </w:r>
    </w:p>
    <w:p>
      <w:pPr>
        <w:spacing w:after="0" w:line="360"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Pr>
          <w:p>
            <w:pPr>
              <w:ind w:left="20"/>
              <w:spacing w:after="0"/>
              <w:rPr>
                <w:sz w:val="20"/>
                <w:szCs w:val="20"/>
                <w:color w:val="auto"/>
              </w:rPr>
            </w:pPr>
            <w:r>
              <w:rPr>
                <w:rFonts w:ascii="Arial" w:cs="Arial" w:eastAsia="Arial" w:hAnsi="Arial"/>
                <w:sz w:val="18"/>
                <w:szCs w:val="18"/>
                <w:color w:val="auto"/>
              </w:rPr>
              <w:t>/s/ Andrew W. Houston</w:t>
            </w:r>
          </w:p>
        </w:tc>
      </w:tr>
      <w:tr>
        <w:trPr>
          <w:trHeight w:val="27"/>
        </w:trPr>
        <w:tc>
          <w:tcPr>
            <w:tcW w:w="70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20"/>
              <w:spacing w:after="0"/>
              <w:rPr>
                <w:sz w:val="20"/>
                <w:szCs w:val="20"/>
                <w:color w:val="auto"/>
              </w:rPr>
            </w:pPr>
            <w:r>
              <w:rPr>
                <w:rFonts w:ascii="Arial" w:cs="Arial" w:eastAsia="Arial" w:hAnsi="Arial"/>
                <w:sz w:val="18"/>
                <w:szCs w:val="18"/>
                <w:color w:val="auto"/>
              </w:rPr>
              <w:t>Andrew W. Houston</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70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Ajay V. Vashee, certify that:</w:t>
      </w:r>
    </w:p>
    <w:p>
      <w:pPr>
        <w:spacing w:after="0" w:line="225"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Dropbox,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4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2018</w:t>
      </w:r>
    </w:p>
    <w:p>
      <w:pPr>
        <w:spacing w:after="0" w:line="1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DROPBOX, INC.</w:t>
      </w:r>
    </w:p>
    <w:p>
      <w:pPr>
        <w:spacing w:after="0" w:line="360"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Pr>
          <w:p>
            <w:pPr>
              <w:ind w:left="20"/>
              <w:spacing w:after="0"/>
              <w:rPr>
                <w:sz w:val="20"/>
                <w:szCs w:val="20"/>
                <w:color w:val="auto"/>
              </w:rPr>
            </w:pPr>
            <w:r>
              <w:rPr>
                <w:rFonts w:ascii="Arial" w:cs="Arial" w:eastAsia="Arial" w:hAnsi="Arial"/>
                <w:sz w:val="18"/>
                <w:szCs w:val="18"/>
                <w:color w:val="auto"/>
              </w:rPr>
              <w:t>/s/ Ajay V. Vashee</w:t>
            </w:r>
          </w:p>
        </w:tc>
      </w:tr>
      <w:tr>
        <w:trPr>
          <w:trHeight w:val="27"/>
        </w:trPr>
        <w:tc>
          <w:tcPr>
            <w:tcW w:w="70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20"/>
              <w:spacing w:after="0"/>
              <w:rPr>
                <w:sz w:val="20"/>
                <w:szCs w:val="20"/>
                <w:color w:val="auto"/>
              </w:rPr>
            </w:pPr>
            <w:r>
              <w:rPr>
                <w:rFonts w:ascii="Arial" w:cs="Arial" w:eastAsia="Arial" w:hAnsi="Arial"/>
                <w:sz w:val="18"/>
                <w:szCs w:val="18"/>
                <w:color w:val="auto"/>
              </w:rPr>
              <w:t>Ajay V. Vashee</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70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20"/>
          <w:szCs w:val="20"/>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 OF PRINCIPAL EXECUTIVE OFFICER AND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w:t>
      </w:r>
    </w:p>
    <w:p>
      <w:pPr>
        <w:jc w:val="center"/>
        <w:spacing w:after="0"/>
        <w:rPr>
          <w:sz w:val="20"/>
          <w:szCs w:val="20"/>
          <w:color w:val="auto"/>
        </w:rPr>
      </w:pPr>
      <w:r>
        <w:rPr>
          <w:rFonts w:ascii="Arial" w:cs="Arial" w:eastAsia="Arial" w:hAnsi="Arial"/>
          <w:sz w:val="20"/>
          <w:szCs w:val="20"/>
          <w:b w:val="1"/>
          <w:bCs w:val="1"/>
          <w:color w:val="auto"/>
        </w:rPr>
        <w:t>18 U.S.C. SECTION 1350,</w:t>
      </w: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 Andrew W. Houston, certify, pursuant to 18 U.S.C. Section 1350, as adopted pursuant to Section 906 of the Sarbanes-Oxley Act of 2002, that the Quarterly Report on Form 10-Q of Dropbox, Inc. for the fiscal quarter ended June 30, 2018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16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20"/>
                <w:szCs w:val="20"/>
                <w:color w:val="auto"/>
              </w:rPr>
              <w:t>Date:</w:t>
            </w:r>
          </w:p>
        </w:tc>
        <w:tc>
          <w:tcPr>
            <w:tcW w:w="49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August 10, 2018</w:t>
            </w:r>
          </w:p>
        </w:tc>
        <w:tc>
          <w:tcPr>
            <w:tcW w:w="90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By:</w:t>
            </w:r>
          </w:p>
        </w:tc>
        <w:tc>
          <w:tcPr>
            <w:tcW w:w="4440" w:type="dxa"/>
            <w:vAlign w:val="bottom"/>
            <w:tcBorders>
              <w:bottom w:val="single" w:sz="8" w:color="auto"/>
            </w:tcBorders>
            <w:shd w:val="clear" w:color="auto" w:fill="FEFEFE"/>
          </w:tcPr>
          <w:p>
            <w:pPr>
              <w:ind w:left="20"/>
              <w:spacing w:after="0"/>
              <w:rPr>
                <w:sz w:val="20"/>
                <w:szCs w:val="20"/>
                <w:color w:val="auto"/>
              </w:rPr>
            </w:pPr>
            <w:r>
              <w:rPr>
                <w:rFonts w:ascii="Arial" w:cs="Arial" w:eastAsia="Arial" w:hAnsi="Arial"/>
                <w:sz w:val="20"/>
                <w:szCs w:val="20"/>
                <w:color w:val="auto"/>
              </w:rPr>
              <w:t>/s/ Andrew W. Houston</w:t>
            </w:r>
          </w:p>
        </w:tc>
      </w:tr>
      <w:tr>
        <w:trPr>
          <w:trHeight w:val="261"/>
        </w:trPr>
        <w:tc>
          <w:tcPr>
            <w:tcW w:w="1160" w:type="dxa"/>
            <w:vAlign w:val="bottom"/>
            <w:shd w:val="clear" w:color="auto" w:fill="FEFEFE"/>
          </w:tcPr>
          <w:p>
            <w:pPr>
              <w:spacing w:after="0"/>
              <w:rPr>
                <w:sz w:val="22"/>
                <w:szCs w:val="22"/>
                <w:color w:val="auto"/>
              </w:rPr>
            </w:pPr>
          </w:p>
        </w:tc>
        <w:tc>
          <w:tcPr>
            <w:tcW w:w="4920" w:type="dxa"/>
            <w:vAlign w:val="bottom"/>
            <w:shd w:val="clear" w:color="auto" w:fill="FEFEFE"/>
          </w:tcPr>
          <w:p>
            <w:pPr>
              <w:spacing w:after="0"/>
              <w:rPr>
                <w:sz w:val="22"/>
                <w:szCs w:val="22"/>
                <w:color w:val="auto"/>
              </w:rPr>
            </w:pPr>
          </w:p>
        </w:tc>
        <w:tc>
          <w:tcPr>
            <w:tcW w:w="900" w:type="dxa"/>
            <w:vAlign w:val="bottom"/>
            <w:shd w:val="clear" w:color="auto" w:fill="FEFEFE"/>
          </w:tcPr>
          <w:p>
            <w:pPr>
              <w:ind w:left="20"/>
              <w:spacing w:after="0"/>
              <w:rPr>
                <w:sz w:val="20"/>
                <w:szCs w:val="20"/>
                <w:color w:val="auto"/>
              </w:rPr>
            </w:pPr>
            <w:r>
              <w:rPr>
                <w:rFonts w:ascii="Arial" w:cs="Arial" w:eastAsia="Arial" w:hAnsi="Arial"/>
                <w:sz w:val="20"/>
                <w:szCs w:val="20"/>
                <w:color w:val="auto"/>
              </w:rPr>
              <w:t>Name:</w:t>
            </w:r>
          </w:p>
        </w:tc>
        <w:tc>
          <w:tcPr>
            <w:tcW w:w="4440" w:type="dxa"/>
            <w:vAlign w:val="bottom"/>
            <w:shd w:val="clear" w:color="auto" w:fill="FEFEFE"/>
          </w:tcPr>
          <w:p>
            <w:pPr>
              <w:ind w:left="20"/>
              <w:spacing w:after="0"/>
              <w:rPr>
                <w:sz w:val="20"/>
                <w:szCs w:val="20"/>
                <w:color w:val="auto"/>
              </w:rPr>
            </w:pPr>
            <w:r>
              <w:rPr>
                <w:rFonts w:ascii="Arial" w:cs="Arial" w:eastAsia="Arial" w:hAnsi="Arial"/>
                <w:sz w:val="20"/>
                <w:szCs w:val="20"/>
                <w:color w:val="auto"/>
              </w:rPr>
              <w:t>Andrew W. Houston</w:t>
            </w:r>
          </w:p>
        </w:tc>
      </w:tr>
      <w:tr>
        <w:trPr>
          <w:trHeight w:val="270"/>
        </w:trPr>
        <w:tc>
          <w:tcPr>
            <w:tcW w:w="1160" w:type="dxa"/>
            <w:vAlign w:val="bottom"/>
            <w:shd w:val="clear" w:color="auto" w:fill="FEFEFE"/>
          </w:tcPr>
          <w:p>
            <w:pPr>
              <w:spacing w:after="0"/>
              <w:rPr>
                <w:sz w:val="23"/>
                <w:szCs w:val="23"/>
                <w:color w:val="auto"/>
              </w:rPr>
            </w:pPr>
          </w:p>
        </w:tc>
        <w:tc>
          <w:tcPr>
            <w:tcW w:w="4920" w:type="dxa"/>
            <w:vAlign w:val="bottom"/>
            <w:shd w:val="clear" w:color="auto" w:fill="FEFEFE"/>
          </w:tcPr>
          <w:p>
            <w:pPr>
              <w:spacing w:after="0"/>
              <w:rPr>
                <w:sz w:val="23"/>
                <w:szCs w:val="23"/>
                <w:color w:val="auto"/>
              </w:rPr>
            </w:pPr>
          </w:p>
        </w:tc>
        <w:tc>
          <w:tcPr>
            <w:tcW w:w="900" w:type="dxa"/>
            <w:vAlign w:val="bottom"/>
            <w:shd w:val="clear" w:color="auto" w:fill="FEFEFE"/>
          </w:tcPr>
          <w:p>
            <w:pPr>
              <w:ind w:left="20"/>
              <w:spacing w:after="0"/>
              <w:rPr>
                <w:sz w:val="20"/>
                <w:szCs w:val="20"/>
                <w:color w:val="auto"/>
              </w:rPr>
            </w:pPr>
            <w:r>
              <w:rPr>
                <w:rFonts w:ascii="Arial" w:cs="Arial" w:eastAsia="Arial" w:hAnsi="Arial"/>
                <w:sz w:val="20"/>
                <w:szCs w:val="20"/>
                <w:color w:val="auto"/>
              </w:rPr>
              <w:t>Title:</w:t>
            </w:r>
          </w:p>
        </w:tc>
        <w:tc>
          <w:tcPr>
            <w:tcW w:w="4440" w:type="dxa"/>
            <w:vAlign w:val="bottom"/>
            <w:shd w:val="clear" w:color="auto" w:fill="FEFEFE"/>
          </w:tcPr>
          <w:p>
            <w:pPr>
              <w:ind w:left="20"/>
              <w:spacing w:after="0"/>
              <w:rPr>
                <w:sz w:val="20"/>
                <w:szCs w:val="20"/>
                <w:color w:val="auto"/>
              </w:rPr>
            </w:pPr>
            <w:r>
              <w:rPr>
                <w:rFonts w:ascii="Arial" w:cs="Arial" w:eastAsia="Arial" w:hAnsi="Arial"/>
                <w:sz w:val="20"/>
                <w:szCs w:val="20"/>
                <w:color w:val="auto"/>
              </w:rPr>
              <w:t>Chief Executive Officer</w:t>
            </w:r>
          </w:p>
        </w:tc>
      </w:tr>
      <w:tr>
        <w:trPr>
          <w:trHeight w:val="297"/>
        </w:trPr>
        <w:tc>
          <w:tcPr>
            <w:tcW w:w="1160" w:type="dxa"/>
            <w:vAlign w:val="bottom"/>
            <w:shd w:val="clear" w:color="auto" w:fill="FEFEFE"/>
          </w:tcPr>
          <w:p>
            <w:pPr>
              <w:spacing w:after="0"/>
              <w:rPr>
                <w:sz w:val="24"/>
                <w:szCs w:val="24"/>
                <w:color w:val="auto"/>
              </w:rPr>
            </w:pPr>
          </w:p>
        </w:tc>
        <w:tc>
          <w:tcPr>
            <w:tcW w:w="4920" w:type="dxa"/>
            <w:vAlign w:val="bottom"/>
            <w:shd w:val="clear" w:color="auto" w:fill="FEFEFE"/>
          </w:tcPr>
          <w:p>
            <w:pPr>
              <w:spacing w:after="0"/>
              <w:rPr>
                <w:sz w:val="24"/>
                <w:szCs w:val="24"/>
                <w:color w:val="auto"/>
              </w:rPr>
            </w:pPr>
          </w:p>
        </w:tc>
        <w:tc>
          <w:tcPr>
            <w:tcW w:w="900" w:type="dxa"/>
            <w:vAlign w:val="bottom"/>
            <w:shd w:val="clear" w:color="auto" w:fill="FEFEFE"/>
          </w:tcPr>
          <w:p>
            <w:pPr>
              <w:spacing w:after="0"/>
              <w:rPr>
                <w:sz w:val="24"/>
                <w:szCs w:val="24"/>
                <w:color w:val="auto"/>
              </w:rPr>
            </w:pPr>
          </w:p>
        </w:tc>
        <w:tc>
          <w:tcPr>
            <w:tcW w:w="4440" w:type="dxa"/>
            <w:vAlign w:val="bottom"/>
            <w:shd w:val="clear" w:color="auto" w:fill="FEFEFE"/>
          </w:tcPr>
          <w:p>
            <w:pPr>
              <w:ind w:left="20"/>
              <w:spacing w:after="0"/>
              <w:rPr>
                <w:sz w:val="20"/>
                <w:szCs w:val="20"/>
                <w:color w:val="auto"/>
              </w:rPr>
            </w:pPr>
            <w:r>
              <w:rPr>
                <w:rFonts w:ascii="Arial" w:cs="Arial" w:eastAsia="Arial" w:hAnsi="Arial"/>
                <w:sz w:val="20"/>
                <w:szCs w:val="20"/>
                <w:color w:val="auto"/>
              </w:rPr>
              <w:t>(Principal Executive Officer)</w:t>
            </w:r>
          </w:p>
        </w:tc>
      </w:tr>
      <w:tr>
        <w:trPr>
          <w:trHeight w:val="266"/>
        </w:trPr>
        <w:tc>
          <w:tcPr>
            <w:tcW w:w="1160" w:type="dxa"/>
            <w:vAlign w:val="bottom"/>
            <w:shd w:val="clear" w:color="auto" w:fill="FEFEFE"/>
          </w:tcPr>
          <w:p>
            <w:pPr>
              <w:spacing w:after="0"/>
              <w:rPr>
                <w:sz w:val="23"/>
                <w:szCs w:val="23"/>
                <w:color w:val="auto"/>
              </w:rPr>
            </w:pPr>
          </w:p>
        </w:tc>
        <w:tc>
          <w:tcPr>
            <w:tcW w:w="4920" w:type="dxa"/>
            <w:vAlign w:val="bottom"/>
            <w:shd w:val="clear" w:color="auto" w:fill="FEFEFE"/>
          </w:tcPr>
          <w:p>
            <w:pPr>
              <w:spacing w:after="0"/>
              <w:rPr>
                <w:sz w:val="23"/>
                <w:szCs w:val="23"/>
                <w:color w:val="auto"/>
              </w:rPr>
            </w:pPr>
          </w:p>
        </w:tc>
        <w:tc>
          <w:tcPr>
            <w:tcW w:w="900" w:type="dxa"/>
            <w:vAlign w:val="bottom"/>
            <w:shd w:val="clear" w:color="auto" w:fill="FEFEFE"/>
          </w:tcPr>
          <w:p>
            <w:pPr>
              <w:spacing w:after="0"/>
              <w:rPr>
                <w:sz w:val="23"/>
                <w:szCs w:val="23"/>
                <w:color w:val="auto"/>
              </w:rPr>
            </w:pPr>
          </w:p>
        </w:tc>
        <w:tc>
          <w:tcPr>
            <w:tcW w:w="4440" w:type="dxa"/>
            <w:vAlign w:val="bottom"/>
            <w:shd w:val="clear" w:color="auto" w:fill="FEFEFE"/>
          </w:tcPr>
          <w:p>
            <w:pPr>
              <w:spacing w:after="0"/>
              <w:rPr>
                <w:sz w:val="23"/>
                <w:szCs w:val="23"/>
                <w:color w:val="auto"/>
              </w:rPr>
            </w:pPr>
          </w:p>
        </w:tc>
      </w:tr>
    </w:tbl>
    <w:p>
      <w:pPr>
        <w:spacing w:after="0" w:line="1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 Ajay V. Vashee, certify, pursuant to 18 U.S.C. Section 1350, as adopted pursuant to Section 906 of the Sarbanes-Oxley Act of 2002, that the Quarterly Report on Form 10-Q of Dropbox, Inc. for the fiscal quarter ended June 30, 2018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16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20"/>
                <w:szCs w:val="20"/>
                <w:color w:val="auto"/>
              </w:rPr>
              <w:t>Date:</w:t>
            </w:r>
          </w:p>
        </w:tc>
        <w:tc>
          <w:tcPr>
            <w:tcW w:w="49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August 10, 2018</w:t>
            </w:r>
          </w:p>
        </w:tc>
        <w:tc>
          <w:tcPr>
            <w:tcW w:w="90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By:</w:t>
            </w:r>
          </w:p>
        </w:tc>
        <w:tc>
          <w:tcPr>
            <w:tcW w:w="4440" w:type="dxa"/>
            <w:vAlign w:val="bottom"/>
            <w:tcBorders>
              <w:bottom w:val="single" w:sz="8" w:color="auto"/>
            </w:tcBorders>
            <w:shd w:val="clear" w:color="auto" w:fill="FEFEFE"/>
          </w:tcPr>
          <w:p>
            <w:pPr>
              <w:ind w:left="20"/>
              <w:spacing w:after="0"/>
              <w:rPr>
                <w:sz w:val="20"/>
                <w:szCs w:val="20"/>
                <w:color w:val="auto"/>
              </w:rPr>
            </w:pPr>
            <w:r>
              <w:rPr>
                <w:rFonts w:ascii="Arial" w:cs="Arial" w:eastAsia="Arial" w:hAnsi="Arial"/>
                <w:sz w:val="20"/>
                <w:szCs w:val="20"/>
                <w:color w:val="auto"/>
              </w:rPr>
              <w:t>/s/ Ajay V. Vashee</w:t>
            </w:r>
          </w:p>
        </w:tc>
      </w:tr>
      <w:tr>
        <w:trPr>
          <w:trHeight w:val="250"/>
        </w:trPr>
        <w:tc>
          <w:tcPr>
            <w:tcW w:w="1160" w:type="dxa"/>
            <w:vAlign w:val="bottom"/>
            <w:shd w:val="clear" w:color="auto" w:fill="FEFEFE"/>
          </w:tcPr>
          <w:p>
            <w:pPr>
              <w:spacing w:after="0"/>
              <w:rPr>
                <w:sz w:val="21"/>
                <w:szCs w:val="21"/>
                <w:color w:val="auto"/>
              </w:rPr>
            </w:pPr>
          </w:p>
        </w:tc>
        <w:tc>
          <w:tcPr>
            <w:tcW w:w="4920" w:type="dxa"/>
            <w:vAlign w:val="bottom"/>
            <w:shd w:val="clear" w:color="auto" w:fill="FEFEFE"/>
          </w:tcPr>
          <w:p>
            <w:pPr>
              <w:spacing w:after="0"/>
              <w:rPr>
                <w:sz w:val="21"/>
                <w:szCs w:val="21"/>
                <w:color w:val="auto"/>
              </w:rPr>
            </w:pPr>
          </w:p>
        </w:tc>
        <w:tc>
          <w:tcPr>
            <w:tcW w:w="900" w:type="dxa"/>
            <w:vAlign w:val="bottom"/>
            <w:shd w:val="clear" w:color="auto" w:fill="FEFEFE"/>
          </w:tcPr>
          <w:p>
            <w:pPr>
              <w:ind w:left="20"/>
              <w:spacing w:after="0"/>
              <w:rPr>
                <w:sz w:val="20"/>
                <w:szCs w:val="20"/>
                <w:color w:val="auto"/>
              </w:rPr>
            </w:pPr>
            <w:r>
              <w:rPr>
                <w:rFonts w:ascii="Arial" w:cs="Arial" w:eastAsia="Arial" w:hAnsi="Arial"/>
                <w:sz w:val="20"/>
                <w:szCs w:val="20"/>
                <w:color w:val="auto"/>
              </w:rPr>
              <w:t>Name:</w:t>
            </w:r>
          </w:p>
        </w:tc>
        <w:tc>
          <w:tcPr>
            <w:tcW w:w="4440" w:type="dxa"/>
            <w:vAlign w:val="bottom"/>
            <w:shd w:val="clear" w:color="auto" w:fill="FEFEFE"/>
          </w:tcPr>
          <w:p>
            <w:pPr>
              <w:ind w:left="20"/>
              <w:spacing w:after="0"/>
              <w:rPr>
                <w:sz w:val="20"/>
                <w:szCs w:val="20"/>
                <w:color w:val="auto"/>
              </w:rPr>
            </w:pPr>
            <w:r>
              <w:rPr>
                <w:rFonts w:ascii="Arial" w:cs="Arial" w:eastAsia="Arial" w:hAnsi="Arial"/>
                <w:sz w:val="20"/>
                <w:szCs w:val="20"/>
                <w:color w:val="auto"/>
              </w:rPr>
              <w:t>Ajay V. Vashee</w:t>
            </w:r>
          </w:p>
        </w:tc>
      </w:tr>
      <w:tr>
        <w:trPr>
          <w:trHeight w:val="267"/>
        </w:trPr>
        <w:tc>
          <w:tcPr>
            <w:tcW w:w="1160" w:type="dxa"/>
            <w:vAlign w:val="bottom"/>
            <w:shd w:val="clear" w:color="auto" w:fill="FEFEFE"/>
          </w:tcPr>
          <w:p>
            <w:pPr>
              <w:spacing w:after="0"/>
              <w:rPr>
                <w:sz w:val="23"/>
                <w:szCs w:val="23"/>
                <w:color w:val="auto"/>
              </w:rPr>
            </w:pPr>
          </w:p>
        </w:tc>
        <w:tc>
          <w:tcPr>
            <w:tcW w:w="4920" w:type="dxa"/>
            <w:vAlign w:val="bottom"/>
            <w:shd w:val="clear" w:color="auto" w:fill="FEFEFE"/>
          </w:tcPr>
          <w:p>
            <w:pPr>
              <w:spacing w:after="0"/>
              <w:rPr>
                <w:sz w:val="23"/>
                <w:szCs w:val="23"/>
                <w:color w:val="auto"/>
              </w:rPr>
            </w:pPr>
          </w:p>
        </w:tc>
        <w:tc>
          <w:tcPr>
            <w:tcW w:w="900" w:type="dxa"/>
            <w:vAlign w:val="bottom"/>
            <w:shd w:val="clear" w:color="auto" w:fill="FEFEFE"/>
          </w:tcPr>
          <w:p>
            <w:pPr>
              <w:ind w:left="20"/>
              <w:spacing w:after="0"/>
              <w:rPr>
                <w:sz w:val="20"/>
                <w:szCs w:val="20"/>
                <w:color w:val="auto"/>
              </w:rPr>
            </w:pPr>
            <w:r>
              <w:rPr>
                <w:rFonts w:ascii="Arial" w:cs="Arial" w:eastAsia="Arial" w:hAnsi="Arial"/>
                <w:sz w:val="20"/>
                <w:szCs w:val="20"/>
                <w:color w:val="auto"/>
              </w:rPr>
              <w:t>Title:</w:t>
            </w:r>
          </w:p>
        </w:tc>
        <w:tc>
          <w:tcPr>
            <w:tcW w:w="4440" w:type="dxa"/>
            <w:vAlign w:val="bottom"/>
            <w:shd w:val="clear" w:color="auto" w:fill="FEFEFE"/>
          </w:tcPr>
          <w:p>
            <w:pPr>
              <w:ind w:left="20"/>
              <w:spacing w:after="0"/>
              <w:rPr>
                <w:sz w:val="20"/>
                <w:szCs w:val="20"/>
                <w:color w:val="auto"/>
              </w:rPr>
            </w:pPr>
            <w:r>
              <w:rPr>
                <w:rFonts w:ascii="Arial" w:cs="Arial" w:eastAsia="Arial" w:hAnsi="Arial"/>
                <w:sz w:val="20"/>
                <w:szCs w:val="20"/>
                <w:color w:val="auto"/>
              </w:rPr>
              <w:t>Chief Financial Officer</w:t>
            </w:r>
          </w:p>
        </w:tc>
      </w:tr>
      <w:tr>
        <w:trPr>
          <w:trHeight w:val="270"/>
        </w:trPr>
        <w:tc>
          <w:tcPr>
            <w:tcW w:w="1160" w:type="dxa"/>
            <w:vAlign w:val="bottom"/>
            <w:shd w:val="clear" w:color="auto" w:fill="FEFEFE"/>
          </w:tcPr>
          <w:p>
            <w:pPr>
              <w:spacing w:after="0"/>
              <w:rPr>
                <w:sz w:val="23"/>
                <w:szCs w:val="23"/>
                <w:color w:val="auto"/>
              </w:rPr>
            </w:pPr>
          </w:p>
        </w:tc>
        <w:tc>
          <w:tcPr>
            <w:tcW w:w="4920" w:type="dxa"/>
            <w:vAlign w:val="bottom"/>
            <w:shd w:val="clear" w:color="auto" w:fill="FEFEFE"/>
          </w:tcPr>
          <w:p>
            <w:pPr>
              <w:spacing w:after="0"/>
              <w:rPr>
                <w:sz w:val="23"/>
                <w:szCs w:val="23"/>
                <w:color w:val="auto"/>
              </w:rPr>
            </w:pPr>
          </w:p>
        </w:tc>
        <w:tc>
          <w:tcPr>
            <w:tcW w:w="900" w:type="dxa"/>
            <w:vAlign w:val="bottom"/>
            <w:shd w:val="clear" w:color="auto" w:fill="FEFEFE"/>
          </w:tcPr>
          <w:p>
            <w:pPr>
              <w:spacing w:after="0"/>
              <w:rPr>
                <w:sz w:val="23"/>
                <w:szCs w:val="23"/>
                <w:color w:val="auto"/>
              </w:rPr>
            </w:pPr>
          </w:p>
        </w:tc>
        <w:tc>
          <w:tcPr>
            <w:tcW w:w="4440" w:type="dxa"/>
            <w:vAlign w:val="bottom"/>
            <w:shd w:val="clear" w:color="auto" w:fill="FEFEFE"/>
          </w:tcPr>
          <w:p>
            <w:pPr>
              <w:ind w:left="20"/>
              <w:spacing w:after="0"/>
              <w:rPr>
                <w:sz w:val="20"/>
                <w:szCs w:val="20"/>
                <w:color w:val="auto"/>
              </w:rPr>
            </w:pPr>
            <w:r>
              <w:rPr>
                <w:rFonts w:ascii="Arial" w:cs="Arial" w:eastAsia="Arial" w:hAnsi="Arial"/>
                <w:sz w:val="20"/>
                <w:szCs w:val="20"/>
                <w:color w:val="auto"/>
              </w:rPr>
              <w:t>(Principal Financial Officer)</w:t>
            </w:r>
          </w:p>
        </w:tc>
      </w:tr>
      <w:tr>
        <w:trPr>
          <w:trHeight w:val="23"/>
        </w:trPr>
        <w:tc>
          <w:tcPr>
            <w:tcW w:w="1160" w:type="dxa"/>
            <w:vAlign w:val="bottom"/>
            <w:shd w:val="clear" w:color="auto" w:fill="FEFEFE"/>
          </w:tcPr>
          <w:p>
            <w:pPr>
              <w:spacing w:after="0"/>
              <w:rPr>
                <w:sz w:val="2"/>
                <w:szCs w:val="2"/>
                <w:color w:val="auto"/>
              </w:rPr>
            </w:pPr>
          </w:p>
        </w:tc>
        <w:tc>
          <w:tcPr>
            <w:tcW w:w="4920" w:type="dxa"/>
            <w:vAlign w:val="bottom"/>
            <w:shd w:val="clear" w:color="auto" w:fill="FEFEFE"/>
          </w:tcPr>
          <w:p>
            <w:pPr>
              <w:spacing w:after="0"/>
              <w:rPr>
                <w:sz w:val="2"/>
                <w:szCs w:val="2"/>
                <w:color w:val="auto"/>
              </w:rPr>
            </w:pPr>
          </w:p>
        </w:tc>
        <w:tc>
          <w:tcPr>
            <w:tcW w:w="900" w:type="dxa"/>
            <w:vAlign w:val="bottom"/>
            <w:shd w:val="clear" w:color="auto" w:fill="FEFEFE"/>
          </w:tcPr>
          <w:p>
            <w:pPr>
              <w:spacing w:after="0"/>
              <w:rPr>
                <w:sz w:val="2"/>
                <w:szCs w:val="2"/>
                <w:color w:val="auto"/>
              </w:rPr>
            </w:pPr>
          </w:p>
        </w:tc>
        <w:tc>
          <w:tcPr>
            <w:tcW w:w="4440" w:type="dxa"/>
            <w:vAlign w:val="bottom"/>
            <w:shd w:val="clear" w:color="auto" w:fill="FEFEFE"/>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420"/>
      </w:cols>
      <w:pgMar w:left="240" w:top="11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2"/>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2"/>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1."/>
      <w:numFmt w:val="upperLetter"/>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lowerRoman"/>
      <w:start w:val="1"/>
    </w:lvl>
    <w:lvl w:ilvl="1">
      <w:lvlJc w:val="left"/>
      <w:lvlText w:val="%2."/>
      <w:numFmt w:val="decimal"/>
      <w:start w:val="3"/>
    </w:lvl>
  </w:abstractNum>
  <w:abstractNum w:abstractNumId="35">
    <w:nsid w:val="153EA438"/>
    <w:multiLevelType w:val="hybridMultilevel"/>
    <w:lvl w:ilvl="0">
      <w:lvlJc w:val="left"/>
      <w:lvlText w:val="(%1)"/>
      <w:numFmt w:val="lowerRoman"/>
      <w:start w:val="1"/>
    </w:lvl>
    <w:lvl w:ilvl="1">
      <w:lvlJc w:val="left"/>
      <w:lvlText w:val="%2"/>
      <w:numFmt w:val="decimal"/>
      <w:start w:val="1"/>
    </w:lvl>
  </w:abstractNum>
  <w:abstractNum w:abstractNumId="36">
    <w:nsid w:val="3855585C"/>
    <w:multiLevelType w:val="hybridMultilevel"/>
    <w:lvl w:ilvl="0">
      <w:lvlJc w:val="left"/>
      <w:lvlText w:val="%1."/>
      <w:numFmt w:val="decimal"/>
      <w:start w:val="4"/>
    </w:lvl>
  </w:abstractNum>
  <w:abstractNum w:abstractNumId="37">
    <w:nsid w:val="70A64E2A"/>
    <w:multiLevelType w:val="hybridMultilevel"/>
    <w:lvl w:ilvl="0">
      <w:lvlJc w:val="left"/>
      <w:lvlText w:val="(%1)"/>
      <w:numFmt w:val="decimal"/>
      <w:start w:val="3"/>
    </w:lvl>
    <w:lvl w:ilvl="1">
      <w:lvlJc w:val="left"/>
      <w:lvlText w:val="%2."/>
      <w:numFmt w:val="decimal"/>
      <w:start w:val="5"/>
    </w:lvl>
  </w:abstractNum>
  <w:abstractNum w:abstractNumId="38">
    <w:nsid w:val="6A2342EC"/>
    <w:multiLevelType w:val="hybridMultilevel"/>
    <w:lvl w:ilvl="0">
      <w:lvlJc w:val="left"/>
      <w:lvlText w:val="%1."/>
      <w:numFmt w:val="decimal"/>
      <w:start w:val="6"/>
    </w:lvl>
  </w:abstractNum>
  <w:abstractNum w:abstractNumId="39">
    <w:nsid w:val="2A487CB0"/>
    <w:multiLevelType w:val="hybridMultilevel"/>
    <w:lvl w:ilvl="0">
      <w:lvlJc w:val="left"/>
      <w:lvlText w:val="%1."/>
      <w:numFmt w:val="decimal"/>
      <w:start w:val="10"/>
    </w:lvl>
  </w:abstractNum>
  <w:abstractNum w:abstractNumId="40">
    <w:nsid w:val="1D4ED43B"/>
    <w:multiLevelType w:val="hybridMultilevel"/>
    <w:lvl w:ilvl="0">
      <w:lvlJc w:val="left"/>
      <w:lvlText w:val="%1."/>
      <w:numFmt w:val="upperLetter"/>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3"/>
    </w:lvl>
  </w:abstractNum>
  <w:abstractNum w:abstractNumId="43">
    <w:nsid w:val="57E4CCAF"/>
    <w:multiLevelType w:val="hybridMultilevel"/>
    <w:lvl w:ilvl="0">
      <w:lvlJc w:val="left"/>
      <w:lvlText w:val="%1."/>
      <w:numFmt w:val="decimal"/>
      <w:start w:val="6"/>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2019-12-28T20:07:22Z</dcterms:created>
  <dcterms:modified xsi:type="dcterms:W3CDTF">2019-12-28T20:07:22Z</dcterms:modified>
</cp:coreProperties>
</file>