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us26210c1045_040518.txt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DROPBOX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26210C104</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March 31, 2018</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26210C104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10468463</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10477103</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10477103</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12.5%</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DROPBOX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333 BRANNAN STREET</w:t>
      </w:r>
    </w:p>
    <w:p>
      <w:pPr>
        <w:spacing w:after="0" w:line="238" w:lineRule="auto"/>
        <w:rPr>
          <w:sz w:val="20"/>
          <w:szCs w:val="20"/>
          <w:color w:val="auto"/>
        </w:rPr>
      </w:pPr>
      <w:r>
        <w:rPr>
          <w:rFonts w:ascii="Courier New" w:cs="Courier New" w:eastAsia="Courier New" w:hAnsi="Courier New"/>
          <w:sz w:val="18"/>
          <w:szCs w:val="18"/>
          <w:color w:val="auto"/>
        </w:rPr>
        <w:t>SAN FRANCISCO United States 94107</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10477103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12.5%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10468463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10477103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ind w:left="420" w:right="3039" w:hanging="419"/>
        <w:spacing w:after="0" w:line="235" w:lineRule="auto"/>
        <w:tabs>
          <w:tab w:leader="none" w:pos="400" w:val="left"/>
        </w:tabs>
        <w:rPr>
          <w:sz w:val="20"/>
          <w:szCs w:val="20"/>
          <w:color w:val="auto"/>
        </w:rPr>
      </w:pPr>
      <w:r>
        <w:rPr>
          <w:rFonts w:ascii="Courier New" w:cs="Courier New" w:eastAsia="Courier New" w:hAnsi="Courier New"/>
          <w:sz w:val="18"/>
          <w:szCs w:val="18"/>
          <w:color w:val="auto"/>
        </w:rPr>
        <w:t>The</w:t>
        <w:tab/>
        <w:t>interest of 1 such person, Global Allocation Fund, in the common stock</w:t>
      </w:r>
    </w:p>
    <w:p>
      <w:pPr>
        <w:spacing w:after="0"/>
        <w:rPr>
          <w:sz w:val="20"/>
          <w:szCs w:val="20"/>
          <w:color w:val="auto"/>
        </w:rPr>
      </w:pPr>
      <w:r>
        <w:rPr>
          <w:rFonts w:ascii="Courier New" w:cs="Courier New" w:eastAsia="Courier New" w:hAnsi="Courier New"/>
          <w:sz w:val="18"/>
          <w:szCs w:val="18"/>
          <w:color w:val="auto"/>
        </w:rPr>
        <w:t>of DROPBOX INC</w:t>
      </w:r>
    </w:p>
    <w:p>
      <w:pPr>
        <w:spacing w:after="0" w:line="4" w:lineRule="exact"/>
        <w:rPr>
          <w:sz w:val="20"/>
          <w:szCs w:val="20"/>
          <w:color w:val="auto"/>
        </w:rPr>
      </w:pPr>
    </w:p>
    <w:p>
      <w:pPr>
        <w:ind w:right="3779" w:firstLine="421"/>
        <w:spacing w:after="0" w:line="235" w:lineRule="auto"/>
        <w:rPr>
          <w:sz w:val="20"/>
          <w:szCs w:val="20"/>
          <w:color w:val="auto"/>
        </w:rPr>
      </w:pPr>
      <w:r>
        <w:rPr>
          <w:rFonts w:ascii="Courier New" w:cs="Courier New" w:eastAsia="Courier New" w:hAnsi="Courier New"/>
          <w:sz w:val="18"/>
          <w:szCs w:val="18"/>
          <w:color w:val="auto"/>
        </w:rPr>
        <w:t>is more than five percent of the total outstanding common stock.</w:t>
      </w:r>
    </w:p>
    <w:p>
      <w:pPr>
        <w:sectPr>
          <w:pgSz w:w="11900" w:h="16838" w:orient="portrait"/>
          <w:cols w:equalWidth="0" w:num="1">
            <w:col w:w="10219"/>
          </w:cols>
          <w:pgMar w:left="240" w:top="142" w:right="1440" w:bottom="0" w:gutter="0" w:footer="0" w:header="0"/>
        </w:sectPr>
      </w:pPr>
    </w:p>
    <w:bookmarkStart w:id="3" w:name="page4"/>
    <w:bookmarkEnd w:id="3"/>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April 5, 2018</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ectPr>
          <w:pgSz w:w="11900" w:h="16838" w:orient="portrait"/>
          <w:cols w:equalWidth="0" w:num="1">
            <w:col w:w="10219"/>
          </w:cols>
          <w:pgMar w:left="240" w:top="344" w:right="1440" w:bottom="132"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(Luxembourg) S.A.</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2019-12-15T16:41:29Z</dcterms:created>
  <dcterms:modified xsi:type="dcterms:W3CDTF">2019-12-15T16:41:29Z</dcterms:modified>
</cp:coreProperties>
</file>