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Regan Timothy</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08/16/2021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65"/>
        <w:spacing w:after="0"/>
        <w:rPr>
          <w:sz w:val="20"/>
          <w:szCs w:val="20"/>
          <w:color w:val="auto"/>
        </w:rPr>
      </w:pPr>
      <w:r>
        <w:rPr>
          <w:rFonts w:ascii="Arial" w:cs="Arial" w:eastAsia="Arial" w:hAnsi="Arial"/>
          <w:sz w:val="17"/>
          <w:szCs w:val="17"/>
          <w:color w:val="0000FF"/>
        </w:rPr>
        <w:t>Chief Financial Officer</w:t>
      </w:r>
    </w:p>
    <w:p>
      <w:pPr>
        <w:spacing w:after="0" w:line="568"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right="200"/>
        <w:spacing w:after="0"/>
        <w:rPr>
          <w:sz w:val="20"/>
          <w:szCs w:val="20"/>
          <w:color w:val="auto"/>
        </w:rPr>
      </w:pPr>
      <w:r>
        <w:rPr>
          <w:rFonts w:ascii="Arial" w:cs="Arial" w:eastAsia="Arial" w:hAnsi="Arial"/>
          <w:sz w:val="34"/>
          <w:szCs w:val="34"/>
          <w:color w:val="0000FF"/>
          <w:vertAlign w:val="superscript"/>
        </w:rPr>
        <w:t>SAN</w:t>
      </w:r>
      <w:r>
        <w:rPr>
          <w:rFonts w:ascii="Arial" w:cs="Arial" w:eastAsia="Arial" w:hAnsi="Arial"/>
          <w:sz w:val="17"/>
          <w:szCs w:val="17"/>
          <w:color w:val="0000FF"/>
        </w:rPr>
        <w:t xml:space="preserve"> CA 94158 FRANCISCO</w:t>
      </w:r>
    </w:p>
    <w:p>
      <w:pPr>
        <w:spacing w:after="0" w:line="36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498" w:lineRule="exact"/>
        <w:rPr>
          <w:sz w:val="24"/>
          <w:szCs w:val="24"/>
          <w:color w:val="auto"/>
        </w:rPr>
      </w:pPr>
    </w:p>
    <w:p>
      <w:pPr>
        <w:sectPr>
          <w:pgSz w:w="11900" w:h="16838" w:orient="portrait"/>
          <w:cols w:equalWidth="0" w:num="2">
            <w:col w:w="3200" w:space="72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60" w:type="dxa"/>
            <w:vAlign w:val="bottom"/>
            <w:tcBorders>
              <w:bottom w:val="single" w:sz="8" w:color="2C2C2C"/>
            </w:tcBorders>
            <w:gridSpan w:val="2"/>
          </w:tcPr>
          <w:p>
            <w:pPr>
              <w:ind w:left="620"/>
              <w:spacing w:after="0"/>
              <w:rPr>
                <w:sz w:val="20"/>
                <w:szCs w:val="20"/>
                <w:color w:val="auto"/>
              </w:rPr>
            </w:pPr>
            <w:r>
              <w:rPr>
                <w:rFonts w:ascii="Arial" w:cs="Arial" w:eastAsia="Arial" w:hAnsi="Arial"/>
                <w:sz w:val="17"/>
                <w:szCs w:val="17"/>
                <w:color w:val="0000FF"/>
              </w:rPr>
              <w:t>08/16/2021</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F</w:t>
            </w:r>
            <w:r>
              <w:rPr>
                <w:rFonts w:ascii="Arial" w:cs="Arial" w:eastAsia="Arial" w:hAnsi="Arial"/>
                <w:sz w:val="11"/>
                <w:szCs w:val="11"/>
                <w:color w:val="008000"/>
              </w:rPr>
              <w:t>(1)</w:t>
            </w:r>
          </w:p>
        </w:tc>
        <w:tc>
          <w:tcPr>
            <w:tcW w:w="720" w:type="dxa"/>
            <w:vAlign w:val="bottom"/>
            <w:tcBorders>
              <w:bottom w:val="single" w:sz="8" w:color="2C2C2C"/>
            </w:tcBorders>
          </w:tcPr>
          <w:p>
            <w:pPr>
              <w:ind w:left="180"/>
              <w:spacing w:after="0"/>
              <w:rPr>
                <w:sz w:val="20"/>
                <w:szCs w:val="20"/>
                <w:color w:val="auto"/>
              </w:rPr>
            </w:pPr>
            <w:r>
              <w:rPr>
                <w:rFonts w:ascii="Arial" w:cs="Arial" w:eastAsia="Arial" w:hAnsi="Arial"/>
                <w:sz w:val="17"/>
                <w:szCs w:val="17"/>
                <w:color w:val="0000FF"/>
                <w:w w:val="99"/>
              </w:rPr>
              <w:t>16,494</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32.13</w:t>
            </w:r>
          </w:p>
        </w:tc>
        <w:tc>
          <w:tcPr>
            <w:tcW w:w="120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420,028</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52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that have been withheld by the Issuer to satisfy income tax withholding and remittance obligations in connection with the vesting and net settlement of restricted stock units and restricted stock awards previously reported.</w:t>
      </w:r>
    </w:p>
    <w:p>
      <w:pPr>
        <w:spacing w:after="0" w:line="15" w:lineRule="exact"/>
        <w:rPr>
          <w:rFonts w:ascii="Arial" w:cs="Arial" w:eastAsia="Arial" w:hAnsi="Arial"/>
          <w:sz w:val="13"/>
          <w:szCs w:val="13"/>
          <w:color w:val="008000"/>
        </w:rPr>
      </w:pPr>
    </w:p>
    <w:p>
      <w:pPr>
        <w:jc w:val="both"/>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2025. In the event the Reporting Person ceases to be a Service Provider, the unvested restricted stock awards and restricted stock units will be cancelled by the Issuer.</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08/18/2021</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1"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365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 /s/ Timothy Regan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Regan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1/25/2021</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4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2021-08-18T16:44:52Z</dcterms:created>
  <dcterms:modified xsi:type="dcterms:W3CDTF">2021-08-18T16:44:52Z</dcterms:modified>
</cp:coreProperties>
</file>