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30"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39"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August 6, 2020</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230"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4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218" w:right="239" w:bottom="1440" w:gutter="0" w:footer="0" w:header="0"/>
        </w:sectPr>
      </w:pPr>
    </w:p>
    <w:p>
      <w:pPr>
        <w:spacing w:after="0" w:line="200" w:lineRule="exact"/>
        <w:rPr>
          <w:sz w:val="24"/>
          <w:szCs w:val="24"/>
          <w:color w:val="auto"/>
        </w:rPr>
      </w:pPr>
    </w:p>
    <w:p>
      <w:pPr>
        <w:spacing w:after="0" w:line="317" w:lineRule="exact"/>
        <w:rPr>
          <w:sz w:val="24"/>
          <w:szCs w:val="24"/>
          <w:color w:val="auto"/>
        </w:rPr>
      </w:pPr>
    </w:p>
    <w:p>
      <w:pPr>
        <w:ind w:left="20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7" w:lineRule="exact"/>
        <w:rPr>
          <w:sz w:val="24"/>
          <w:szCs w:val="24"/>
          <w:color w:val="auto"/>
        </w:rPr>
      </w:pPr>
    </w:p>
    <w:p>
      <w:pPr>
        <w:jc w:val="center"/>
        <w:ind w:right="1720"/>
        <w:spacing w:after="0"/>
        <w:rPr>
          <w:sz w:val="20"/>
          <w:szCs w:val="20"/>
          <w:color w:val="auto"/>
        </w:rPr>
      </w:pPr>
      <w:r>
        <w:rPr>
          <w:rFonts w:ascii="Arial" w:cs="Arial" w:eastAsia="Arial" w:hAnsi="Arial"/>
          <w:sz w:val="15"/>
          <w:szCs w:val="15"/>
          <w:b w:val="1"/>
          <w:bCs w:val="1"/>
          <w:color w:val="auto"/>
        </w:rPr>
        <w:t>001-38434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26-0138832</w:t>
      </w:r>
    </w:p>
    <w:p>
      <w:pPr>
        <w:spacing w:after="0" w:line="93" w:lineRule="exact"/>
        <w:rPr>
          <w:sz w:val="24"/>
          <w:szCs w:val="24"/>
          <w:color w:val="auto"/>
        </w:rPr>
      </w:pPr>
    </w:p>
    <w:p>
      <w:pPr>
        <w:sectPr>
          <w:pgSz w:w="11900" w:h="16838" w:orient="portrait"/>
          <w:cols w:equalWidth="0" w:num="3">
            <w:col w:w="4580" w:space="720"/>
            <w:col w:w="2480" w:space="720"/>
            <w:col w:w="2840"/>
          </w:cols>
          <w:pgMar w:left="320" w:top="218" w:right="239" w:bottom="1440" w:gutter="0" w:footer="0" w:header="0"/>
          <w:type w:val="continuous"/>
        </w:sectPr>
      </w:pPr>
    </w:p>
    <w:p>
      <w:pPr>
        <w:jc w:val="center"/>
        <w:ind w:left="82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(I. R. S. Employer Identification No.)</w:t>
      </w:r>
    </w:p>
    <w:p>
      <w:pPr>
        <w:spacing w:after="0" w:line="57" w:lineRule="exact"/>
        <w:rPr>
          <w:sz w:val="24"/>
          <w:szCs w:val="24"/>
          <w:color w:val="auto"/>
        </w:rPr>
      </w:pPr>
    </w:p>
    <w:p>
      <w:pPr>
        <w:sectPr>
          <w:pgSz w:w="11900" w:h="16838" w:orient="portrait"/>
          <w:cols w:equalWidth="0" w:num="3">
            <w:col w:w="3920" w:space="720"/>
            <w:col w:w="2180" w:space="720"/>
            <w:col w:w="3800"/>
          </w:cols>
          <w:pgMar w:left="320" w:top="218" w:right="239" w:bottom="1440" w:gutter="0" w:footer="0" w:header="0"/>
          <w:type w:val="continuous"/>
        </w:sectPr>
      </w:pPr>
    </w:p>
    <w:p>
      <w:pPr>
        <w:ind w:left="182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218" w:right="239" w:bottom="1440" w:gutter="0" w:footer="0" w:header="0"/>
          <w:type w:val="continuous"/>
        </w:sectPr>
      </w:pPr>
    </w:p>
    <w:p>
      <w:pPr>
        <w:spacing w:after="0" w:line="26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0" w:lineRule="exact"/>
        <w:rPr>
          <w:sz w:val="24"/>
          <w:szCs w:val="24"/>
          <w:color w:val="auto"/>
        </w:rPr>
      </w:pPr>
    </w:p>
    <w:p>
      <w:pPr>
        <w:spacing w:after="0" w:line="219" w:lineRule="exact"/>
        <w:rPr>
          <w:sz w:val="24"/>
          <w:szCs w:val="24"/>
          <w:color w:val="auto"/>
        </w:rPr>
      </w:pPr>
    </w:p>
    <w:p>
      <w:pPr>
        <w:ind w:right="220"/>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5"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Written communications pursuant to Rule 425 under the Securities Act (17 CFR 230.425)</w:t>
      </w:r>
    </w:p>
    <w:p>
      <w:pPr>
        <w:spacing w:after="0" w:line="237"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Soliciting material pursuant to Rule 14a-12 under the Exchange Act (17 CFR 240.14a-12)</w:t>
      </w:r>
    </w:p>
    <w:p>
      <w:pPr>
        <w:spacing w:after="0" w:line="237"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Pre-commencement communications pursuant to Rule 14d-2(b) under the Exchange Act (17 CFR 240.14d-2(b))</w:t>
      </w:r>
    </w:p>
    <w:p>
      <w:pPr>
        <w:spacing w:after="0" w:line="237"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Pre-commencement communications pursuant to Rule 13e-4(c) under the Exchange Act (17 CFR 240.13e-4(c))</w:t>
      </w:r>
    </w:p>
    <w:p>
      <w:pPr>
        <w:spacing w:after="0" w:line="3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95885</wp:posOffset>
            </wp:positionV>
            <wp:extent cx="6249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328"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660" w:type="dxa"/>
            <w:vAlign w:val="bottom"/>
            <w:gridSpan w:val="2"/>
          </w:tcPr>
          <w:p>
            <w:pPr>
              <w:jc w:val="center"/>
              <w:ind w:right="1600"/>
              <w:spacing w:after="0"/>
              <w:rPr>
                <w:sz w:val="20"/>
                <w:szCs w:val="20"/>
                <w:color w:val="auto"/>
              </w:rPr>
            </w:pPr>
            <w:r>
              <w:rPr>
                <w:rFonts w:ascii="Arial" w:cs="Arial" w:eastAsia="Arial" w:hAnsi="Arial"/>
                <w:sz w:val="14"/>
                <w:szCs w:val="14"/>
                <w:b w:val="1"/>
                <w:bCs w:val="1"/>
                <w:color w:val="auto"/>
                <w:w w:val="87"/>
              </w:rPr>
              <w:t>Title of each class</w:t>
            </w:r>
          </w:p>
        </w:tc>
        <w:tc>
          <w:tcPr>
            <w:tcW w:w="326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2"/>
              </w:rPr>
              <w:t>Trading Symbol(s)</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r>
      <w:tr>
        <w:trPr>
          <w:trHeight w:val="208"/>
        </w:trPr>
        <w:tc>
          <w:tcPr>
            <w:tcW w:w="3660" w:type="dxa"/>
            <w:vAlign w:val="bottom"/>
            <w:gridSpan w:val="3"/>
          </w:tcPr>
          <w:p>
            <w:pPr>
              <w:jc w:val="center"/>
              <w:ind w:right="600"/>
              <w:spacing w:after="0"/>
              <w:rPr>
                <w:sz w:val="20"/>
                <w:szCs w:val="20"/>
                <w:color w:val="auto"/>
              </w:rPr>
            </w:pPr>
            <w:r>
              <w:rPr>
                <w:rFonts w:ascii="Arial" w:cs="Arial" w:eastAsia="Arial" w:hAnsi="Arial"/>
                <w:sz w:val="14"/>
                <w:szCs w:val="14"/>
                <w:color w:val="auto"/>
                <w:w w:val="90"/>
              </w:rPr>
              <w:t>Class A Common Stock, par value $0.00001 per share</w:t>
            </w:r>
          </w:p>
        </w:tc>
        <w:tc>
          <w:tcPr>
            <w:tcW w:w="600" w:type="dxa"/>
            <w:vAlign w:val="bottom"/>
          </w:tcPr>
          <w:p>
            <w:pPr>
              <w:spacing w:after="0"/>
              <w:rPr>
                <w:sz w:val="18"/>
                <w:szCs w:val="18"/>
                <w:color w:val="auto"/>
              </w:rPr>
            </w:pPr>
          </w:p>
        </w:tc>
        <w:tc>
          <w:tcPr>
            <w:tcW w:w="2660" w:type="dxa"/>
            <w:vAlign w:val="bottom"/>
            <w:gridSpan w:val="2"/>
          </w:tcPr>
          <w:p>
            <w:pPr>
              <w:jc w:val="center"/>
              <w:ind w:right="1520"/>
              <w:spacing w:after="0"/>
              <w:rPr>
                <w:sz w:val="20"/>
                <w:szCs w:val="20"/>
                <w:color w:val="auto"/>
              </w:rPr>
            </w:pPr>
            <w:r>
              <w:rPr>
                <w:rFonts w:ascii="Arial" w:cs="Arial" w:eastAsia="Arial" w:hAnsi="Arial"/>
                <w:sz w:val="14"/>
                <w:szCs w:val="14"/>
                <w:color w:val="auto"/>
              </w:rPr>
              <w:t>DBX</w:t>
            </w:r>
          </w:p>
        </w:tc>
        <w:tc>
          <w:tcPr>
            <w:tcW w:w="230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332"/>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r>
    </w:tbl>
    <w:p>
      <w:pPr>
        <w:spacing w:after="0" w:line="371"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99" w:lineRule="exact"/>
        <w:rPr>
          <w:sz w:val="24"/>
          <w:szCs w:val="24"/>
          <w:color w:val="auto"/>
        </w:rPr>
      </w:pPr>
    </w:p>
    <w:p>
      <w:pPr>
        <w:ind w:right="260"/>
        <w:spacing w:after="0" w:line="26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ectPr>
          <w:pgSz w:w="11900" w:h="16838" w:orient="portrait"/>
          <w:cols w:equalWidth="0" w:num="1">
            <w:col w:w="11340"/>
          </w:cols>
          <w:pgMar w:left="320" w:top="21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24"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On August 6, 2020, Dropbox, Inc. (“Dropbox” or the "Company") issued a press release and will hold a conference call announcing its financial results for the quarter ended June 30, 2020. A copy of the press release is attached as Exhibit 99.1 to this current report on Form 8-K and is incorporated by reference herein.</w:t>
      </w:r>
    </w:p>
    <w:p>
      <w:pPr>
        <w:spacing w:after="0" w:line="182" w:lineRule="exact"/>
        <w:rPr>
          <w:sz w:val="20"/>
          <w:szCs w:val="20"/>
          <w:color w:val="auto"/>
        </w:rPr>
      </w:pPr>
    </w:p>
    <w:p>
      <w:pPr>
        <w:ind w:right="360"/>
        <w:spacing w:after="0" w:line="272" w:lineRule="auto"/>
        <w:rPr>
          <w:sz w:val="20"/>
          <w:szCs w:val="20"/>
          <w:color w:val="auto"/>
        </w:rPr>
      </w:pPr>
      <w:r>
        <w:rPr>
          <w:rFonts w:ascii="Arial" w:cs="Arial" w:eastAsia="Arial" w:hAnsi="Arial"/>
          <w:sz w:val="18"/>
          <w:szCs w:val="18"/>
          <w:b w:val="1"/>
          <w:bCs w:val="1"/>
          <w:color w:val="auto"/>
        </w:rPr>
        <w:t>Item 5.02 – Departure of Directors of Certain Officers; Election of Directors: Appointment of Certain Officers; Compensatory Arrangements of Certain Officers</w:t>
      </w:r>
    </w:p>
    <w:p>
      <w:pPr>
        <w:spacing w:after="0" w:line="26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July 31, 2020, Ajay Vashee notified Dropbox of his decision to resign as Chief Financial Officer after more than eight years with the Company. Mr. Vashee’s resignation as Chief Financial Officer will be effective on September 15, 2020, following which he will remain at the Company in an advisory role to help with the transition until October 15, 2020.</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“Being part of Dropbox has been an amazing experience, and I’m so proud of everything we’ve accomplished together,” said Mr. Vashee. “We’ve grown from a 100 employee private start-up when I first started, to a nearly 3,000 employee profitable public company. Thank you to Drew and the management team for the privilege of being part of the company’s incredible journey.”</w:t>
      </w:r>
    </w:p>
    <w:p>
      <w:pPr>
        <w:spacing w:after="0" w:line="18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Company’s Board of Directors (the “Board”) appointed Timothy Regan, 43, the Company’s Chief Accounting Officer, to succeed Mr. Vashee as Chief Financial Officer, effective September 15, 2020. Mr. Regan will continue to act as Dropbox’s principal accounting officer and oversee the Company’s accounting functions and personnel.</w:t>
      </w:r>
    </w:p>
    <w:p>
      <w:pPr>
        <w:spacing w:after="0" w:line="188" w:lineRule="exact"/>
        <w:rPr>
          <w:sz w:val="20"/>
          <w:szCs w:val="20"/>
          <w:color w:val="auto"/>
        </w:rPr>
      </w:pPr>
    </w:p>
    <w:p>
      <w:pPr>
        <w:ind w:right="100"/>
        <w:spacing w:after="0" w:line="331" w:lineRule="auto"/>
        <w:rPr>
          <w:sz w:val="20"/>
          <w:szCs w:val="20"/>
          <w:color w:val="auto"/>
        </w:rPr>
      </w:pPr>
      <w:r>
        <w:rPr>
          <w:rFonts w:ascii="Arial" w:cs="Arial" w:eastAsia="Arial" w:hAnsi="Arial"/>
          <w:sz w:val="15"/>
          <w:szCs w:val="15"/>
          <w:color w:val="auto"/>
        </w:rPr>
        <w:t>“It’s always hard to see such beloved leaders like Ajay leave the company, but I’m grateful for the many years of commitment and dedication he’s given to Dropbox.” said Drew Houston, Dropbox’s CEO and Chairman of the Board. “I’m also happy to welcome Tim as our new CFO. With his decades of experience and the impact he’s already had at Dropbox as our CAO, I’m confident in his ability to lead our finance organization to the next stage of growth.”</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“Thank you to Drew and the management team for this opportunity,” said Mr. Regan. “It was clear to me when I first joined Dropbox a few years ago that this was a special company with an even greater future in store. I’m excited to take on the role of CFO and continue the great work of the finance organization to build a sustainable, profitable business for the long-term.”</w:t>
      </w:r>
    </w:p>
    <w:p>
      <w:pPr>
        <w:spacing w:after="0" w:line="18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Mr. Regan has served as Dropbox’s Chief Accounting Officer since December 2016. From January 2011 to December 2016, he served as VP Finance Controller at Pandora Media, Inc ("Pandora"). Prior to joining Pandora, he held senior positions at Dolby Laboratories, Inc., and Ernst and Young, LLP. Mr. Regan received his Bachelor of Arts in Accounting from Georgetown University in 1999 and his Master of Business Administration from the University of California, Berkeley Haas School of Business, in 2011.</w:t>
      </w:r>
    </w:p>
    <w:p>
      <w:pPr>
        <w:spacing w:after="0" w:line="193"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The Company has entered into a letter agreement with Mr. Regan (the “Offer Letter”) dated August 4, 2020, establishing his compensation as Chief Financial Officer. Pursuant to the Offer Letter, effective September 15, 2020, Mr. Regan’s annual base salary will be $450,000 per year. He will also be eligible to participate in the Company’s cash bonus plan, with an annual performance-based target of 65% of his base salary. In addition, Mr. Regan will be granted a one-time restricted stock award covering shares of the Company’s Class A common stock with a value of $4,000,000. The restricted stock award will vest over four years beginning with 6.25% of the shares subject to the award vesting every three months (on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the month) beginning on November 15, 2020, subject to Mr. Regan remaining in service and the terms of the Company’s 2018 Equity Incentive Plan. The foregoing description is qualified in its entirety by reference to the Offer Letter, which will be filed with the Company’s Quarterly Report on Form 10-Q for the quarter ending June 30, 2020.</w:t>
      </w:r>
    </w:p>
    <w:p>
      <w:pPr>
        <w:spacing w:after="0" w:line="17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Mr. Regan has also executed the Company’s standard form of change in control and severance agreement, a copy of which was filed as Exhibit 10.11 to the Company’s Annual Report on Form 10-K for the fiscal year ended December 31, 2019 (File No. 001-38434), filed with the Securities and Exchange Commission (the “SEC”) on February 21, 2020, provided, that, in the event of a qualifying termination of employment outside of a change in control, he will be entitled to 3 months of accelerated vesting on all outstanding equity incentive awards.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There are no arrangements or understandings between Mr. Regan and any other person pursuant to which he was appointed as Chief Financial Officer. There are no family relationships among any of the Company’s directors or executive officers and Mr. Regan. Mr. Regan is not a party to any transaction required to be disclosed pursuant to Item 404(a) of Regulation S-K. In connection with his appointment as Chief Financial Officer, Mr. Regan will execute the Company’s standard form of</w:t>
      </w:r>
    </w:p>
    <w:p>
      <w:pPr>
        <w:sectPr>
          <w:pgSz w:w="11900" w:h="16838" w:orient="portrait"/>
          <w:cols w:equalWidth="0" w:num="1">
            <w:col w:w="11220"/>
          </w:cols>
          <w:pgMar w:left="320" w:top="546" w:right="359" w:bottom="1440" w:gutter="0" w:footer="0" w:header="0"/>
        </w:sectPr>
      </w:pPr>
    </w:p>
    <w:bookmarkStart w:id="2" w:name="page3"/>
    <w:bookmarkEnd w:id="2"/>
    <w:p>
      <w:pPr>
        <w:ind w:right="20"/>
        <w:spacing w:after="0" w:line="265" w:lineRule="auto"/>
        <w:rPr>
          <w:sz w:val="20"/>
          <w:szCs w:val="20"/>
          <w:color w:val="auto"/>
        </w:rPr>
      </w:pPr>
      <w:r>
        <w:rPr>
          <w:rFonts w:ascii="Arial" w:cs="Arial" w:eastAsia="Arial" w:hAnsi="Arial"/>
          <w:sz w:val="18"/>
          <w:szCs w:val="18"/>
          <w:color w:val="auto"/>
        </w:rPr>
        <w:t>indemnification agreement, filed as Exhibit 10.1 to the Company’s Registration Statement on Form S-1 (File No. 333-223182) filed with the SEC on February 23,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the blog post attached as Exhibit 99.2 to this Current Report on Form 8-K.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24" w:lineRule="exact"/>
        <w:rPr>
          <w:sz w:val="20"/>
          <w:szCs w:val="20"/>
          <w:color w:val="auto"/>
        </w:rPr>
      </w:pPr>
    </w:p>
    <w:p>
      <w:pPr>
        <w:ind w:right="60"/>
        <w:spacing w:after="0" w:line="366" w:lineRule="auto"/>
        <w:rPr>
          <w:sz w:val="20"/>
          <w:szCs w:val="20"/>
          <w:color w:val="auto"/>
        </w:rPr>
      </w:pPr>
      <w:r>
        <w:rPr>
          <w:rFonts w:ascii="Arial" w:cs="Arial" w:eastAsia="Arial" w:hAnsi="Arial"/>
          <w:sz w:val="15"/>
          <w:szCs w:val="15"/>
          <w:color w:val="auto"/>
        </w:rPr>
        <w:t>On August 6, 2020,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111" w:lineRule="exact"/>
        <w:rPr>
          <w:sz w:val="20"/>
          <w:szCs w:val="20"/>
          <w:color w:val="auto"/>
        </w:rPr>
      </w:pPr>
    </w:p>
    <w:p>
      <w:pPr>
        <w:ind w:right="240"/>
        <w:spacing w:after="0" w:line="331" w:lineRule="auto"/>
        <w:rPr>
          <w:sz w:val="20"/>
          <w:szCs w:val="20"/>
          <w:color w:val="auto"/>
        </w:rPr>
      </w:pPr>
      <w:r>
        <w:rPr>
          <w:rFonts w:ascii="Arial" w:cs="Arial" w:eastAsia="Arial" w:hAnsi="Arial"/>
          <w:sz w:val="15"/>
          <w:szCs w:val="15"/>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3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880" w:type="dxa"/>
            <w:vAlign w:val="bottom"/>
          </w:tcPr>
          <w:p>
            <w:pPr>
              <w:spacing w:after="0"/>
              <w:rPr>
                <w:sz w:val="19"/>
                <w:szCs w:val="19"/>
                <w:color w:val="auto"/>
              </w:rPr>
            </w:pPr>
          </w:p>
        </w:tc>
      </w:tr>
      <w:tr>
        <w:trPr>
          <w:trHeight w:val="491"/>
        </w:trPr>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Exhibit No.</w:t>
            </w:r>
          </w:p>
        </w:tc>
        <w:tc>
          <w:tcPr>
            <w:tcW w:w="988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8"/>
        </w:trPr>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231"/>
        </w:trPr>
        <w:tc>
          <w:tcPr>
            <w:tcW w:w="11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220" w:type="dxa"/>
            <w:vAlign w:val="bottom"/>
          </w:tcPr>
          <w:p>
            <w:pPr>
              <w:spacing w:after="0"/>
              <w:rPr>
                <w:sz w:val="20"/>
                <w:szCs w:val="20"/>
                <w:color w:val="auto"/>
              </w:rPr>
            </w:pPr>
          </w:p>
        </w:tc>
        <w:tc>
          <w:tcPr>
            <w:tcW w:w="988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Press Release entitled “Dropbox Announces Fiscal 2020 Second Quarter Results” dated August 6, 2020.</w:t>
              </w:r>
            </w:hyperlink>
          </w:p>
        </w:tc>
      </w:tr>
      <w:tr>
        <w:trPr>
          <w:trHeight w:val="266"/>
        </w:trPr>
        <w:tc>
          <w:tcPr>
            <w:tcW w:w="11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220" w:type="dxa"/>
            <w:vAlign w:val="bottom"/>
          </w:tcPr>
          <w:p>
            <w:pPr>
              <w:spacing w:after="0"/>
              <w:rPr>
                <w:sz w:val="23"/>
                <w:szCs w:val="23"/>
                <w:color w:val="auto"/>
              </w:rPr>
            </w:pPr>
          </w:p>
        </w:tc>
        <w:tc>
          <w:tcPr>
            <w:tcW w:w="9880" w:type="dxa"/>
            <w:vAlign w:val="bottom"/>
          </w:tcPr>
          <w:p>
            <w:pPr>
              <w:ind w:left="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Blog post published by Dropbox, Inc. on August 6, 2020</w:t>
              </w:r>
            </w:hyperlink>
          </w:p>
        </w:tc>
      </w:tr>
    </w:tbl>
    <w:p>
      <w:pPr>
        <w:sectPr>
          <w:pgSz w:w="11900" w:h="16838" w:orient="portrait"/>
          <w:cols w:equalWidth="0" w:num="1">
            <w:col w:w="11240"/>
          </w:cols>
          <w:pgMar w:left="320" w:top="552" w:right="3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2020</w:t>
      </w:r>
    </w:p>
    <w:p>
      <w:pPr>
        <w:spacing w:after="0" w:line="200" w:lineRule="exact"/>
        <w:rPr>
          <w:sz w:val="20"/>
          <w:szCs w:val="20"/>
          <w:color w:val="auto"/>
        </w:rPr>
      </w:pPr>
    </w:p>
    <w:p>
      <w:pPr>
        <w:spacing w:after="0" w:line="38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Dropbox, Inc.</w:t>
      </w:r>
    </w:p>
    <w:p>
      <w:pPr>
        <w:spacing w:after="0" w:line="6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Ajay Vashee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27940</wp:posOffset>
            </wp:positionV>
            <wp:extent cx="2783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5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Ajay Vashee</w:t>
      </w:r>
    </w:p>
    <w:p>
      <w:pPr>
        <w:spacing w:after="0" w:line="5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00"/>
          </w:cols>
          <w:pgMar w:left="320" w:top="546" w:right="4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Dropbox Announces Fiscal 2020 Second Quarter Results</w:t>
      </w:r>
    </w:p>
    <w:p>
      <w:pPr>
        <w:spacing w:after="0" w:line="224" w:lineRule="exact"/>
        <w:rPr>
          <w:sz w:val="20"/>
          <w:szCs w:val="20"/>
          <w:color w:val="auto"/>
        </w:rPr>
      </w:pPr>
    </w:p>
    <w:p>
      <w:pPr>
        <w:jc w:val="center"/>
        <w:ind w:left="340" w:right="2060"/>
        <w:spacing w:after="0" w:line="256" w:lineRule="auto"/>
        <w:rPr>
          <w:sz w:val="20"/>
          <w:szCs w:val="20"/>
          <w:color w:val="auto"/>
        </w:rPr>
      </w:pPr>
      <w:r>
        <w:rPr>
          <w:rFonts w:ascii="Arial" w:cs="Arial" w:eastAsia="Arial" w:hAnsi="Arial"/>
          <w:sz w:val="18"/>
          <w:szCs w:val="18"/>
          <w:color w:val="auto"/>
        </w:rPr>
        <w:t>Revenue of $467.4 Million, Up 16% Year-over-year Net Cash Provided by Operating Activities of $145.9 Million and Free Cash Flow of $119.8 Million GAAP Net Income of $17.5 Million</w:t>
      </w:r>
    </w:p>
    <w:p>
      <w:pPr>
        <w:spacing w:after="0" w:line="182"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 xml:space="preserve">SAN FRANCISCO, Calif. </w:t>
      </w:r>
      <w:r>
        <w:rPr>
          <w:rFonts w:ascii="Arial" w:cs="Arial" w:eastAsia="Arial" w:hAnsi="Arial"/>
          <w:sz w:val="18"/>
          <w:szCs w:val="18"/>
          <w:color w:val="auto"/>
        </w:rPr>
        <w:t>- August 6, 2020 - Dropbox, Inc. (NASDAQ: DBX), today announced financial results for its second fiscal quarter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2020.</w:t>
      </w:r>
    </w:p>
    <w:p>
      <w:pPr>
        <w:spacing w:after="0" w:line="174" w:lineRule="exact"/>
        <w:rPr>
          <w:sz w:val="20"/>
          <w:szCs w:val="20"/>
          <w:color w:val="auto"/>
        </w:rPr>
      </w:pPr>
    </w:p>
    <w:p>
      <w:pPr>
        <w:jc w:val="both"/>
        <w:ind w:right="120"/>
        <w:spacing w:after="0" w:line="331" w:lineRule="auto"/>
        <w:rPr>
          <w:sz w:val="20"/>
          <w:szCs w:val="20"/>
          <w:color w:val="auto"/>
        </w:rPr>
      </w:pPr>
      <w:r>
        <w:rPr>
          <w:rFonts w:ascii="Arial" w:cs="Arial" w:eastAsia="Arial" w:hAnsi="Arial"/>
          <w:sz w:val="15"/>
          <w:szCs w:val="15"/>
          <w:color w:val="auto"/>
        </w:rPr>
        <w:t>"Our Q2 results are a testament to our teams’ hard work supporting our customers in this new environment,” said Dropbox Co-founder and Chief Executive Officer Drew Houston. “Over the past quarter, we introduced a number of products to help facilitate distributed work, addressing both team and personal use cases. With solid revenue growth, robust margin expansion, and continued GAAP profitability, we remain confident in the resiliency of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2020 Results</w:t>
      </w:r>
    </w:p>
    <w:p>
      <w:pPr>
        <w:spacing w:after="0" w:line="224" w:lineRule="exact"/>
        <w:rPr>
          <w:sz w:val="20"/>
          <w:szCs w:val="20"/>
          <w:color w:val="auto"/>
        </w:rPr>
      </w:pPr>
    </w:p>
    <w:p>
      <w:pPr>
        <w:ind w:left="640" w:right="320" w:hanging="315"/>
        <w:spacing w:after="0" w:line="283" w:lineRule="auto"/>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Total revenue was $467.4 million, an increase of 16% from the same period last year. On a constant currency basis, year-over-year growth would have been 18%.</w:t>
      </w:r>
      <w:r>
        <w:rPr>
          <w:rFonts w:ascii="Arial" w:cs="Arial" w:eastAsia="Arial" w:hAnsi="Arial"/>
          <w:sz w:val="24"/>
          <w:szCs w:val="24"/>
          <w:color w:val="auto"/>
          <w:vertAlign w:val="superscript"/>
        </w:rPr>
        <w:t>(1)</w:t>
      </w:r>
    </w:p>
    <w:p>
      <w:pPr>
        <w:spacing w:after="0" w:line="67" w:lineRule="exact"/>
        <w:rPr>
          <w:rFonts w:ascii="Arial" w:cs="Arial" w:eastAsia="Arial" w:hAnsi="Arial"/>
          <w:sz w:val="18"/>
          <w:szCs w:val="18"/>
          <w:color w:val="auto"/>
        </w:rPr>
      </w:pPr>
    </w:p>
    <w:p>
      <w:pPr>
        <w:ind w:left="640" w:right="140" w:hanging="315"/>
        <w:spacing w:after="0" w:line="283" w:lineRule="auto"/>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Total ARR ended at $1.931 billion, an increase of $67.3 million quarter-over-quarter and an increase of 17% year-over-year. On a constant currency basis, year-over-year growth would have been 18%.</w:t>
      </w:r>
      <w:r>
        <w:rPr>
          <w:rFonts w:ascii="Arial" w:cs="Arial" w:eastAsia="Arial" w:hAnsi="Arial"/>
          <w:sz w:val="24"/>
          <w:szCs w:val="24"/>
          <w:color w:val="auto"/>
          <w:vertAlign w:val="superscript"/>
        </w:rPr>
        <w:t>(2)</w:t>
      </w:r>
    </w:p>
    <w:p>
      <w:pPr>
        <w:spacing w:after="0" w:line="67" w:lineRule="exact"/>
        <w:rPr>
          <w:rFonts w:ascii="Arial" w:cs="Arial" w:eastAsia="Arial" w:hAnsi="Arial"/>
          <w:sz w:val="18"/>
          <w:szCs w:val="18"/>
          <w:color w:val="auto"/>
        </w:rPr>
      </w:pPr>
    </w:p>
    <w:p>
      <w:pPr>
        <w:ind w:left="640" w:right="440" w:hanging="315"/>
        <w:spacing w:after="0" w:line="265" w:lineRule="auto"/>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Paying users ended at 15.0 million, as compared to 13.6 million for the same period last year. Average revenue per paying user was $126.88, as compared to $120.48 for the same period last year.</w:t>
      </w:r>
    </w:p>
    <w:p>
      <w:pPr>
        <w:spacing w:after="0" w:line="180" w:lineRule="exact"/>
        <w:rPr>
          <w:rFonts w:ascii="Arial" w:cs="Arial" w:eastAsia="Arial" w:hAnsi="Arial"/>
          <w:sz w:val="18"/>
          <w:szCs w:val="18"/>
          <w:color w:val="auto"/>
        </w:rPr>
      </w:pPr>
    </w:p>
    <w:p>
      <w:pPr>
        <w:ind w:left="640" w:right="140" w:hanging="315"/>
        <w:spacing w:after="0" w:line="265" w:lineRule="auto"/>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gross margin was 78.1%, as compared to 74.4% in the same period last year. Non-GAAP gross margin was 79.2%, as compared to 75.8% in the same period last year.</w:t>
      </w:r>
    </w:p>
    <w:p>
      <w:pPr>
        <w:spacing w:after="0" w:line="180" w:lineRule="exact"/>
        <w:rPr>
          <w:rFonts w:ascii="Arial" w:cs="Arial" w:eastAsia="Arial" w:hAnsi="Arial"/>
          <w:sz w:val="18"/>
          <w:szCs w:val="18"/>
          <w:color w:val="auto"/>
        </w:rPr>
      </w:pPr>
    </w:p>
    <w:p>
      <w:pPr>
        <w:ind w:left="640" w:right="300" w:hanging="315"/>
        <w:spacing w:after="0" w:line="265" w:lineRule="auto"/>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operating margin was 2.7%, as compared to (8.5)% in the same period last year. Non-GAAP operating margin was 20.6%, as compared to 10.1% in the same period last year.</w:t>
      </w:r>
    </w:p>
    <w:p>
      <w:pPr>
        <w:spacing w:after="0" w:line="180" w:lineRule="exact"/>
        <w:rPr>
          <w:rFonts w:ascii="Arial" w:cs="Arial" w:eastAsia="Arial" w:hAnsi="Arial"/>
          <w:sz w:val="18"/>
          <w:szCs w:val="18"/>
          <w:color w:val="auto"/>
        </w:rPr>
      </w:pPr>
    </w:p>
    <w:p>
      <w:pPr>
        <w:ind w:left="640" w:right="160" w:hanging="315"/>
        <w:spacing w:after="0" w:line="265" w:lineRule="auto"/>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net income (loss) was $17.5 million, as compared to ($21.4) million in the same period last year. Non-GAAP net income was $93.2 million, as compared to $42.0 million in the same period last year.</w:t>
      </w:r>
    </w:p>
    <w:p>
      <w:pPr>
        <w:spacing w:after="0" w:line="180" w:lineRule="exact"/>
        <w:rPr>
          <w:rFonts w:ascii="Arial" w:cs="Arial" w:eastAsia="Arial" w:hAnsi="Arial"/>
          <w:sz w:val="18"/>
          <w:szCs w:val="18"/>
          <w:color w:val="auto"/>
        </w:rPr>
      </w:pPr>
    </w:p>
    <w:p>
      <w:pPr>
        <w:ind w:left="640" w:right="80" w:hanging="315"/>
        <w:spacing w:after="0" w:line="265" w:lineRule="auto"/>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Net cash provided by operating activities was $145.9 million, as compared to $128.8 million in the same period last year. Free cash flow was $119.8 million, as compared to $95.1 million in the same period last year.</w:t>
      </w:r>
    </w:p>
    <w:p>
      <w:pPr>
        <w:spacing w:after="0" w:line="180" w:lineRule="exact"/>
        <w:rPr>
          <w:rFonts w:ascii="Arial" w:cs="Arial" w:eastAsia="Arial" w:hAnsi="Arial"/>
          <w:sz w:val="18"/>
          <w:szCs w:val="18"/>
          <w:color w:val="auto"/>
        </w:rPr>
      </w:pPr>
    </w:p>
    <w:p>
      <w:pPr>
        <w:ind w:left="640" w:right="160" w:hanging="315"/>
        <w:spacing w:after="0" w:line="283" w:lineRule="auto"/>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basic and diluted net income (loss) per share was $0.04, as compared to ($0.05) in the same period last year. Non-GAAP diluted net income per share was $0.22, as compared to $0.10 in the same period last year.</w:t>
      </w:r>
      <w:r>
        <w:rPr>
          <w:rFonts w:ascii="Arial" w:cs="Arial" w:eastAsia="Arial" w:hAnsi="Arial"/>
          <w:sz w:val="24"/>
          <w:szCs w:val="24"/>
          <w:color w:val="auto"/>
          <w:vertAlign w:val="superscript"/>
        </w:rPr>
        <w:t>(3)</w:t>
      </w:r>
    </w:p>
    <w:p>
      <w:pPr>
        <w:spacing w:after="0" w:line="67" w:lineRule="exact"/>
        <w:rPr>
          <w:rFonts w:ascii="Arial" w:cs="Arial" w:eastAsia="Arial" w:hAnsi="Arial"/>
          <w:sz w:val="18"/>
          <w:szCs w:val="18"/>
          <w:color w:val="auto"/>
        </w:rPr>
      </w:pPr>
    </w:p>
    <w:p>
      <w:pPr>
        <w:ind w:left="640" w:hanging="315"/>
        <w:spacing w:after="0"/>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Cash, cash equivalents and short-term investments were $1.118 billion at the end of the second quarter of 2020.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0" w:hanging="154"/>
        <w:spacing w:after="0"/>
        <w:tabs>
          <w:tab w:leader="none" w:pos="1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We calculate constant currency revenue growth rates by applying the prior period weighted average exchange rates to current period results.</w:t>
      </w:r>
    </w:p>
    <w:p>
      <w:pPr>
        <w:spacing w:after="0" w:line="167" w:lineRule="exact"/>
        <w:rPr>
          <w:rFonts w:ascii="Arial" w:cs="Arial" w:eastAsia="Arial" w:hAnsi="Arial"/>
          <w:sz w:val="18"/>
          <w:szCs w:val="18"/>
          <w:color w:val="auto"/>
          <w:vertAlign w:val="superscript"/>
        </w:rPr>
      </w:pPr>
    </w:p>
    <w:p>
      <w:pPr>
        <w:ind w:right="140" w:firstLine="6"/>
        <w:spacing w:after="0" w:line="296" w:lineRule="auto"/>
        <w:tabs>
          <w:tab w:leader="none" w:pos="150" w:val="left"/>
        </w:tabs>
        <w:numPr>
          <w:ilvl w:val="0"/>
          <w:numId w:val="1"/>
        </w:numPr>
        <w:rPr>
          <w:rFonts w:ascii="Arial" w:cs="Arial" w:eastAsia="Arial" w:hAnsi="Arial"/>
          <w:sz w:val="17"/>
          <w:szCs w:val="17"/>
          <w:color w:val="auto"/>
          <w:vertAlign w:val="superscript"/>
        </w:rPr>
      </w:pPr>
      <w:r>
        <w:rPr>
          <w:rFonts w:ascii="Arial" w:cs="Arial" w:eastAsia="Arial" w:hAnsi="Arial"/>
          <w:sz w:val="13"/>
          <w:szCs w:val="13"/>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rate to prior period results.</w:t>
      </w:r>
    </w:p>
    <w:p>
      <w:pPr>
        <w:spacing w:after="0" w:line="133" w:lineRule="exact"/>
        <w:rPr>
          <w:rFonts w:ascii="Arial" w:cs="Arial" w:eastAsia="Arial" w:hAnsi="Arial"/>
          <w:sz w:val="17"/>
          <w:szCs w:val="17"/>
          <w:color w:val="auto"/>
          <w:vertAlign w:val="superscript"/>
        </w:rPr>
      </w:pPr>
    </w:p>
    <w:p>
      <w:pPr>
        <w:ind w:right="240" w:firstLine="6"/>
        <w:spacing w:after="0" w:line="312" w:lineRule="auto"/>
        <w:tabs>
          <w:tab w:leader="none" w:pos="150" w:val="left"/>
        </w:tabs>
        <w:numPr>
          <w:ilvl w:val="0"/>
          <w:numId w:val="1"/>
        </w:numPr>
        <w:rPr>
          <w:rFonts w:ascii="Arial" w:cs="Arial" w:eastAsia="Arial" w:hAnsi="Arial"/>
          <w:sz w:val="17"/>
          <w:szCs w:val="17"/>
          <w:color w:val="auto"/>
          <w:vertAlign w:val="superscript"/>
        </w:rPr>
      </w:pPr>
      <w:r>
        <w:rPr>
          <w:rFonts w:ascii="Arial" w:cs="Arial" w:eastAsia="Arial" w:hAnsi="Arial"/>
          <w:sz w:val="13"/>
          <w:szCs w:val="13"/>
          <w:color w:val="auto"/>
        </w:rPr>
        <w:t>Non-GAAP diluted net income per share is calculated based upon 420.5 million and 418.7 million diluted weighted-average shares of common stock for the three months ended June 30, 2020 and 2019, respectively.</w:t>
      </w:r>
    </w:p>
    <w:p>
      <w:pPr>
        <w:sectPr>
          <w:pgSz w:w="11900" w:h="16838" w:orient="portrait"/>
          <w:cols w:equalWidth="0" w:num="1">
            <w:col w:w="11240"/>
          </w:cols>
          <w:pgMar w:left="320" w:top="54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Outlook</w:t>
      </w:r>
    </w:p>
    <w:p>
      <w:pPr>
        <w:spacing w:after="0" w:line="224"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 xml:space="preserve">Dropbox will provide forward-looking guidance in connection with this quarterly earnings announcement on its conference call, webcast, and on its investor relations website at </w:t>
      </w:r>
      <w:r>
        <w:rPr>
          <w:rFonts w:ascii="Arial" w:cs="Arial" w:eastAsia="Arial" w:hAnsi="Arial"/>
          <w:sz w:val="18"/>
          <w:szCs w:val="18"/>
          <w:u w:val="single" w:color="auto"/>
          <w:color w:val="auto"/>
        </w:rPr>
        <w:t>http://investors.dropbox.com</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CFO Transition</w:t>
      </w:r>
    </w:p>
    <w:p>
      <w:pPr>
        <w:spacing w:after="0" w:line="22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Dropbox also announced that Ajay Vashee is stepping down as Chief Financial Officer after more than eight years at the company. He’ll remain in the role until September 15, 2020, at which point Tim Regan, the company’s current Chief Accounting Officer, will become the company’s new CFO. Ajay will remain as an advisor through mid-October to ensure a smooth transition.</w:t>
      </w:r>
    </w:p>
    <w:p>
      <w:pPr>
        <w:spacing w:after="0" w:line="1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“Being part of Dropbox has been an amazing experience, and I’m so proud of everything we’ve accomplished together,” said Ajay. “We’ve grown from a 100 employee private start-up when I first started, to a nearly 3,000 employee profitable public company. Thank you to Drew and the management team for the privilege of being part of the company’s incredible journey.”</w:t>
      </w:r>
    </w:p>
    <w:p>
      <w:pPr>
        <w:spacing w:after="0" w:line="188"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“It’s always hard to see such beloved leaders like Ajay leave the company, but I’m grateful for the many years of commitment and dedication he’s given to Dropbox,” said Drew. “I’m also happy to welcome Tim as our new CFO. With his decades of experience and the impact he’s already had at Dropbox as our CAO, I’m confident in his ability to lead our finance organization to the next stage of growth.”</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his nearly four years at Dropbox, Tim has demonstrated exceptional leadership, discipline, and the operational skill needed to run the finance organization. Tim has over two decades of experience in finance prior to Dropbox, from his role as VP Finance and Controller at Pandora Media, Inc., to senior positions at Dolby Laboratories, Inc., and Ernst and Young, LLP.</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“Thank you to Drew and the management team for this opportunity,” said Tim. “It was clear to me when I first joined Dropbox a few years ago that this was a special company with an even greater future in store. I’m excited to take on the role of CFO and continue the great work of the finance organization to build a sustainable, profitable business for the long-term.”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Dropbox plans to host a conference call today to review its second quarter financial results and to discuss its financial outlook. This call is scheduled to begin at 2:00 p.m. PT / 5:00 p.m. ET and can be accessed by dialing (877) 300-7844 from the United States or (786) 815-8440 internationally with reference to the company name and conference title, and a live webcast and replay of the conference call can be accessed from the Dropbox investor relations website at </w:t>
      </w:r>
      <w:r>
        <w:rPr>
          <w:rFonts w:ascii="Arial" w:cs="Arial" w:eastAsia="Arial" w:hAnsi="Arial"/>
          <w:sz w:val="17"/>
          <w:szCs w:val="17"/>
          <w:u w:val="single" w:color="auto"/>
          <w:color w:val="auto"/>
        </w:rPr>
        <w:t>http://investors.dropbox.com</w:t>
      </w:r>
      <w:r>
        <w:rPr>
          <w:rFonts w:ascii="Arial" w:cs="Arial" w:eastAsia="Arial" w:hAnsi="Arial"/>
          <w:sz w:val="17"/>
          <w:szCs w:val="17"/>
          <w:color w:val="auto"/>
        </w:rPr>
        <w:t>. Following the completion of the call, a telephonic replay will be available through 11:59 PM ET on August 13, 2020 at (855) 859-2056 from the United States or (404) 537-3406 internationally with recording access code 4784405.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Upcoming Events</w:t>
      </w:r>
    </w:p>
    <w:p>
      <w:pPr>
        <w:spacing w:after="0" w:line="224" w:lineRule="exact"/>
        <w:rPr>
          <w:sz w:val="20"/>
          <w:szCs w:val="20"/>
          <w:color w:val="auto"/>
        </w:rPr>
      </w:pPr>
    </w:p>
    <w:p>
      <w:pPr>
        <w:ind w:left="640" w:hanging="315"/>
        <w:spacing w:after="0"/>
        <w:tabs>
          <w:tab w:leader="none" w:pos="6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Ajay Vashee, Chief Financial Officer, will be presenting at the Canaccord Genuity Growth Conference on Wednesday, August 12th.</w:t>
      </w:r>
    </w:p>
    <w:p>
      <w:pPr>
        <w:spacing w:after="0" w:line="16" w:lineRule="exact"/>
        <w:rPr>
          <w:rFonts w:ascii="Arial" w:cs="Arial" w:eastAsia="Arial" w:hAnsi="Arial"/>
          <w:sz w:val="18"/>
          <w:szCs w:val="18"/>
          <w:b w:val="1"/>
          <w:bCs w:val="1"/>
          <w:color w:val="auto"/>
        </w:rPr>
      </w:pPr>
    </w:p>
    <w:p>
      <w:pPr>
        <w:ind w:left="640" w:hanging="315"/>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 Regan, Chief Accounting Officer, will be presenting at the Citi 2020 Global Technology Conference on Tuesday, September 8th.</w:t>
      </w:r>
    </w:p>
    <w:p>
      <w:pPr>
        <w:spacing w:after="0" w:line="5" w:lineRule="exact"/>
        <w:rPr>
          <w:rFonts w:ascii="Arial" w:cs="Arial" w:eastAsia="Arial" w:hAnsi="Arial"/>
          <w:sz w:val="18"/>
          <w:szCs w:val="18"/>
          <w:color w:val="auto"/>
        </w:rPr>
      </w:pPr>
    </w:p>
    <w:p>
      <w:pPr>
        <w:ind w:left="640" w:right="80" w:hanging="315"/>
        <w:spacing w:after="0" w:line="246"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 Finkelstein, VP Corporate Finance &amp; Strategy, will be presenting at the D.A. Davidson 19th Annual Software &amp; Internet Virtual Conference on Wednesday, September 9th.</w:t>
      </w:r>
    </w:p>
    <w:p>
      <w:pPr>
        <w:ind w:left="640" w:hanging="315"/>
        <w:spacing w:after="0"/>
        <w:tabs>
          <w:tab w:leader="none" w:pos="640" w:val="left"/>
        </w:tabs>
        <w:numPr>
          <w:ilvl w:val="0"/>
          <w:numId w:val="2"/>
        </w:numPr>
        <w:rPr>
          <w:rFonts w:ascii="Arial" w:cs="Arial" w:eastAsia="Arial" w:hAnsi="Arial"/>
          <w:sz w:val="15"/>
          <w:szCs w:val="15"/>
          <w:color w:val="auto"/>
        </w:rPr>
      </w:pPr>
      <w:r>
        <w:rPr>
          <w:rFonts w:ascii="Arial" w:cs="Arial" w:eastAsia="Arial" w:hAnsi="Arial"/>
          <w:sz w:val="15"/>
          <w:szCs w:val="15"/>
          <w:color w:val="auto"/>
        </w:rPr>
        <w:t>Lev Finkelstein, VP Corporate Finance &amp; Strategy, will be presenting at the Jefferies Virtual Software Conference on Tuesday, September 15th.</w:t>
      </w:r>
    </w:p>
    <w:p>
      <w:pPr>
        <w:spacing w:after="0" w:line="241"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color w:val="auto"/>
        </w:rPr>
        <w:t xml:space="preserve">During these events, a live webcast will be accessible from the Dropbox investor relations website at </w:t>
      </w:r>
      <w:r>
        <w:rPr>
          <w:rFonts w:ascii="Arial" w:cs="Arial" w:eastAsia="Arial" w:hAnsi="Arial"/>
          <w:sz w:val="18"/>
          <w:szCs w:val="18"/>
          <w:u w:val="single" w:color="auto"/>
          <w:color w:val="auto"/>
        </w:rPr>
        <w:t>http://investors.dropbox.com</w:t>
      </w:r>
      <w:r>
        <w:rPr>
          <w:rFonts w:ascii="Arial" w:cs="Arial" w:eastAsia="Arial" w:hAnsi="Arial"/>
          <w:sz w:val="18"/>
          <w:szCs w:val="18"/>
          <w:color w:val="auto"/>
        </w:rPr>
        <w:t>. Following the event, a replay will be made available at the same 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Dropbox</w:t>
      </w:r>
    </w:p>
    <w:p>
      <w:pPr>
        <w:spacing w:after="0" w:line="224"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 xml:space="preserve">Dropbox is the one place to keep life organized and keep work moving. With more than 600 million registered users across 180 countries, we're on a mission to design a more enlightened way of working. Dropbox is headquartered in San Francisco, CA, and has 12 offices around the world. For more information on our mission and products, visit </w:t>
      </w:r>
      <w:r>
        <w:rPr>
          <w:rFonts w:ascii="Arial" w:cs="Arial" w:eastAsia="Arial" w:hAnsi="Arial"/>
          <w:sz w:val="18"/>
          <w:szCs w:val="18"/>
          <w:u w:val="single" w:color="auto"/>
          <w:color w:val="auto"/>
        </w:rPr>
        <w:t>http://dropbox.com</w:t>
      </w:r>
      <w:r>
        <w:rPr>
          <w:rFonts w:ascii="Arial" w:cs="Arial" w:eastAsia="Arial" w:hAnsi="Arial"/>
          <w:sz w:val="18"/>
          <w:szCs w:val="18"/>
          <w:color w:val="auto"/>
        </w:rPr>
        <w:t>.</w:t>
      </w:r>
    </w:p>
    <w:p>
      <w:pPr>
        <w:sectPr>
          <w:pgSz w:w="11900" w:h="16838" w:orient="portrait"/>
          <w:cols w:equalWidth="0" w:num="1">
            <w:col w:w="11200"/>
          </w:cols>
          <w:pgMar w:left="320" w:top="546"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4"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including, among other things, statements regarding Dropbox's strategies and new products and features, future financial and operational performance as well as trends in our business, the impact of the COVID-19 pandemic and related public health measures on our financial results, business operations and the business of our customers, suppliers and partners, the demand for and engagement with our platform and product features, and the benefits from new product experiences and acquisitions. Words such as "believe," "may," "will," "estimate," "continue," "anticipate," "intend," "expect," "plans," and similar expressions are intended to identify forward-looking statements. Dropbox has based these forward-looking statements largely on its current expectations and projections about future events and financial trends that the Company believes may affect its business, financial condition, and results of operations. These forward-looking statements speak only as of the date of this press release and are subject to risks, uncertainties, and assumptions including, but not limited to: (i) impacts to our financial results, business operations and the business of our customers, suppliers and partners as a result of the COVID-19 pandemic, and related public health measures, (ii) our ability to retain and upgrade paying users, in particular paying users impacted by the COVID-19 pandemic, and increase our recurring revenue; (iii) our ability to attract new users or convert registered users to paying users, in particular prospective paying users financially impacted by the COVID-19 pandemic; (iv) our revenue growth rate; (v) our history of net losses and our ability to achieve or maintain profitability; (vi) our liability for any unauthorized access to our data or our users’ content, including through privacy and data security breaches; (vii) significant disruption of service on our platform or loss of content, particularly from any potential disruptions in the supply chain for hardware necessary to offer our services that may result from the COVID-19 pandemic; (viii) any decline in demand for our platform or for content collaboration solutions in general; (ix) changes in the interoperability of our platform across devices, operating systems, and third-party applications that we do not control; (x) competition in our markets; (xi) our ability to respond to rapid technological changes, extend our platform, develop new features or products, or gain market acceptance for such new features or products, particularly in light of potential disruptions to the productivity of our employees resulting from remote work; (xii) our ability to manage our growth or plan for future growth; (xiii) our acquisition of other businesses and the potential of such acquisitions to require significant management attention, disrupt our business, or dilute stockholder value; and (ix)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March 31, 2020. Additional information will be made available in our quarterly report on Form 10-Q for the quarter ended June 30, 2020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240"/>
          </w:cols>
          <w:pgMar w:left="320" w:top="54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312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20" w:type="dxa"/>
            <w:vAlign w:val="bottom"/>
            <w:gridSpan w:val="3"/>
          </w:tcPr>
          <w:p>
            <w:pPr>
              <w:jc w:val="right"/>
              <w:ind w:right="831"/>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80" w:type="dxa"/>
            <w:vAlign w:val="bottom"/>
            <w:gridSpan w:val="3"/>
          </w:tcPr>
          <w:p>
            <w:pPr>
              <w:jc w:val="right"/>
              <w:ind w:right="331"/>
              <w:spacing w:after="0"/>
              <w:rPr>
                <w:sz w:val="20"/>
                <w:szCs w:val="20"/>
                <w:color w:val="auto"/>
              </w:rPr>
            </w:pPr>
            <w:r>
              <w:rPr>
                <w:rFonts w:ascii="Arial" w:cs="Arial" w:eastAsia="Arial" w:hAnsi="Arial"/>
                <w:sz w:val="18"/>
                <w:szCs w:val="18"/>
                <w:b w:val="1"/>
                <w:bCs w:val="1"/>
                <w:color w:val="auto"/>
              </w:rPr>
              <w:t>June 30,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7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2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jc w:val="right"/>
              <w:ind w:right="631"/>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8"/>
        </w:trPr>
        <w:tc>
          <w:tcPr>
            <w:tcW w:w="37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0" w:type="dxa"/>
            <w:vAlign w:val="bottom"/>
            <w:tcBorders>
              <w:bottom w:val="single" w:sz="8" w:color="CCEEFF"/>
            </w:tcBorders>
            <w:shd w:val="clear" w:color="auto" w:fill="CCEEFF"/>
          </w:tcPr>
          <w:p>
            <w:pPr>
              <w:jc w:val="right"/>
              <w:ind w:right="99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467.4</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922.4</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787.1</w:t>
            </w:r>
          </w:p>
        </w:tc>
        <w:tc>
          <w:tcPr>
            <w:tcW w:w="0" w:type="dxa"/>
            <w:vAlign w:val="bottom"/>
          </w:tcPr>
          <w:p>
            <w:pPr>
              <w:spacing w:after="0"/>
              <w:rPr>
                <w:sz w:val="1"/>
                <w:szCs w:val="1"/>
                <w:color w:val="auto"/>
              </w:rPr>
            </w:pPr>
          </w:p>
        </w:tc>
      </w:tr>
      <w:tr>
        <w:trPr>
          <w:trHeight w:val="266"/>
        </w:trPr>
        <w:tc>
          <w:tcPr>
            <w:tcW w:w="3720" w:type="dxa"/>
            <w:vAlign w:val="bottom"/>
            <w:tcBorders>
              <w:bottom w:val="single" w:sz="8" w:color="CCEEFF"/>
            </w:tcBorders>
          </w:tcPr>
          <w:p>
            <w:pPr>
              <w:ind w:left="280"/>
              <w:spacing w:after="0" w:line="265" w:lineRule="exact"/>
              <w:rPr>
                <w:sz w:val="20"/>
                <w:szCs w:val="20"/>
                <w:color w:val="auto"/>
              </w:rPr>
            </w:pPr>
            <w:r>
              <w:rPr>
                <w:rFonts w:ascii="Arial" w:cs="Arial" w:eastAsia="Arial" w:hAnsi="Arial"/>
                <w:sz w:val="18"/>
                <w:szCs w:val="18"/>
                <w:color w:val="auto"/>
              </w:rPr>
              <w:t>Cost of revenue</w:t>
            </w:r>
            <w:r>
              <w:rPr>
                <w:rFonts w:ascii="Arial" w:cs="Arial" w:eastAsia="Arial" w:hAnsi="Arial"/>
                <w:sz w:val="24"/>
                <w:szCs w:val="24"/>
                <w:color w:val="auto"/>
                <w:vertAlign w:val="superscript"/>
              </w:rPr>
              <w:t>(1)</w:t>
            </w:r>
          </w:p>
        </w:tc>
        <w:tc>
          <w:tcPr>
            <w:tcW w:w="1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39"/>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364.9</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716.8</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66"/>
        </w:trPr>
        <w:tc>
          <w:tcPr>
            <w:tcW w:w="3720" w:type="dxa"/>
            <w:vAlign w:val="bottom"/>
          </w:tcPr>
          <w:p>
            <w:pPr>
              <w:ind w:left="40"/>
              <w:spacing w:after="0" w:line="265" w:lineRule="exact"/>
              <w:rPr>
                <w:sz w:val="20"/>
                <w:szCs w:val="20"/>
                <w:color w:val="auto"/>
              </w:rPr>
            </w:pPr>
            <w:r>
              <w:rPr>
                <w:rFonts w:ascii="Arial" w:cs="Arial" w:eastAsia="Arial" w:hAnsi="Arial"/>
                <w:sz w:val="18"/>
                <w:szCs w:val="18"/>
                <w:color w:val="auto"/>
              </w:rPr>
              <w:t>Operating expenses</w:t>
            </w:r>
            <w:r>
              <w:rPr>
                <w:rFonts w:ascii="Arial" w:cs="Arial" w:eastAsia="Arial" w:hAnsi="Arial"/>
                <w:sz w:val="24"/>
                <w:szCs w:val="24"/>
                <w:color w:val="auto"/>
                <w:vertAlign w:val="superscript"/>
              </w:rPr>
              <w:t>(1)</w:t>
            </w:r>
            <w:r>
              <w:rPr>
                <w:rFonts w:ascii="Arial" w:cs="Arial" w:eastAsia="Arial" w:hAnsi="Arial"/>
                <w:sz w:val="18"/>
                <w:szCs w:val="18"/>
                <w:color w:val="auto"/>
              </w:rPr>
              <w:t>:</w:t>
            </w:r>
          </w:p>
        </w:tc>
        <w:tc>
          <w:tcPr>
            <w:tcW w:w="1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38"/>
        </w:trPr>
        <w:tc>
          <w:tcPr>
            <w:tcW w:w="372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120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8"/>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31"/>
        </w:trPr>
        <w:tc>
          <w:tcPr>
            <w:tcW w:w="37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352.1</w:t>
            </w:r>
          </w:p>
        </w:tc>
        <w:tc>
          <w:tcPr>
            <w:tcW w:w="12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677.2</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641.1</w:t>
            </w:r>
          </w:p>
        </w:tc>
        <w:tc>
          <w:tcPr>
            <w:tcW w:w="0" w:type="dxa"/>
            <w:vAlign w:val="bottom"/>
          </w:tcPr>
          <w:p>
            <w:pPr>
              <w:spacing w:after="0"/>
              <w:rPr>
                <w:sz w:val="1"/>
                <w:szCs w:val="1"/>
                <w:color w:val="auto"/>
              </w:rPr>
            </w:pPr>
          </w:p>
        </w:tc>
      </w:tr>
      <w:tr>
        <w:trPr>
          <w:trHeight w:val="28"/>
        </w:trPr>
        <w:tc>
          <w:tcPr>
            <w:tcW w:w="37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8"/>
        </w:trPr>
        <w:tc>
          <w:tcPr>
            <w:tcW w:w="37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120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8"/>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1"/>
        </w:trPr>
        <w:tc>
          <w:tcPr>
            <w:tcW w:w="37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8"/>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1"/>
        </w:trPr>
        <w:tc>
          <w:tcPr>
            <w:tcW w:w="37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0" w:type="dxa"/>
            <w:vAlign w:val="bottom"/>
            <w:tcBorders>
              <w:top w:val="single" w:sz="8" w:color="auto"/>
            </w:tcBorders>
          </w:tcPr>
          <w:p>
            <w:pPr>
              <w:jc w:val="right"/>
              <w:ind w:right="991"/>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1"/>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68"/>
        </w:trPr>
        <w:tc>
          <w:tcPr>
            <w:tcW w:w="372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40"/>
              <w:spacing w:after="0" w:line="180" w:lineRule="exact"/>
              <w:rPr>
                <w:sz w:val="20"/>
                <w:szCs w:val="20"/>
                <w:color w:val="auto"/>
              </w:rPr>
            </w:pPr>
            <w:r>
              <w:rPr>
                <w:rFonts w:ascii="Arial" w:cs="Arial" w:eastAsia="Arial" w:hAnsi="Arial"/>
                <w:sz w:val="18"/>
                <w:szCs w:val="18"/>
                <w:color w:val="auto"/>
                <w:w w:val="89"/>
              </w:rPr>
              <w:t>Net Income (loss) per share attributable to common</w:t>
            </w:r>
          </w:p>
        </w:tc>
        <w:tc>
          <w:tcPr>
            <w:tcW w:w="1200" w:type="dxa"/>
            <w:vAlign w:val="bottom"/>
            <w:vMerge w:val="restart"/>
            <w:shd w:val="clear" w:color="auto" w:fill="CCEEFF"/>
          </w:tcPr>
          <w:p>
            <w:pPr>
              <w:jc w:val="right"/>
              <w:ind w:right="991"/>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491"/>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1"/>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stockholders, basic and diluted</w:t>
            </w: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ind w:left="40"/>
              <w:spacing w:after="0"/>
              <w:rPr>
                <w:sz w:val="20"/>
                <w:szCs w:val="20"/>
                <w:color w:val="auto"/>
              </w:rPr>
            </w:pPr>
            <w:r>
              <w:rPr>
                <w:rFonts w:ascii="Arial" w:cs="Arial" w:eastAsia="Arial" w:hAnsi="Arial"/>
                <w:sz w:val="18"/>
                <w:szCs w:val="18"/>
                <w:color w:val="auto"/>
                <w:w w:val="94"/>
              </w:rPr>
              <w:t>Weighted-average shares used in computing net</w:t>
            </w: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2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20" w:type="dxa"/>
            <w:vAlign w:val="bottom"/>
          </w:tcPr>
          <w:p>
            <w:pPr>
              <w:ind w:left="200"/>
              <w:spacing w:after="0"/>
              <w:rPr>
                <w:sz w:val="20"/>
                <w:szCs w:val="20"/>
                <w:color w:val="auto"/>
              </w:rPr>
            </w:pPr>
            <w:r>
              <w:rPr>
                <w:rFonts w:ascii="Arial" w:cs="Arial" w:eastAsia="Arial" w:hAnsi="Arial"/>
                <w:sz w:val="18"/>
                <w:szCs w:val="18"/>
                <w:color w:val="auto"/>
                <w:w w:val="93"/>
              </w:rPr>
              <w:t>income (loss) per share attributable to common</w:t>
            </w: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2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414.1</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415.7</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72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419.7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8"/>
        </w:trPr>
        <w:tc>
          <w:tcPr>
            <w:tcW w:w="37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ind w:left="200" w:hanging="194"/>
        <w:spacing w:after="0"/>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5"/>
          <w:szCs w:val="15"/>
          <w:color w:val="auto"/>
        </w:rPr>
        <w:t>Includes stock-based compensation expense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3160" w:type="dxa"/>
            <w:vAlign w:val="bottom"/>
            <w:gridSpan w:val="4"/>
          </w:tcPr>
          <w:p>
            <w:pPr>
              <w:jc w:val="center"/>
              <w:ind w:left="511"/>
              <w:spacing w:after="0"/>
              <w:rPr>
                <w:sz w:val="20"/>
                <w:szCs w:val="20"/>
                <w:color w:val="auto"/>
              </w:rPr>
            </w:pPr>
            <w:r>
              <w:rPr>
                <w:rFonts w:ascii="Arial" w:cs="Arial" w:eastAsia="Arial" w:hAnsi="Arial"/>
                <w:sz w:val="18"/>
                <w:szCs w:val="18"/>
                <w:b w:val="1"/>
                <w:bCs w:val="1"/>
                <w:color w:val="auto"/>
                <w:w w:val="89"/>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gridSpan w:val="3"/>
          </w:tcPr>
          <w:p>
            <w:pPr>
              <w:jc w:val="center"/>
              <w:ind w:left="631"/>
              <w:spacing w:after="0"/>
              <w:rPr>
                <w:sz w:val="20"/>
                <w:szCs w:val="20"/>
                <w:color w:val="auto"/>
              </w:rPr>
            </w:pPr>
            <w:r>
              <w:rPr>
                <w:rFonts w:ascii="Arial" w:cs="Arial" w:eastAsia="Arial" w:hAnsi="Arial"/>
                <w:sz w:val="18"/>
                <w:szCs w:val="18"/>
                <w:b w:val="1"/>
                <w:bCs w:val="1"/>
                <w:color w:val="auto"/>
                <w:w w:val="88"/>
              </w:rPr>
              <w:t>Six Months Ended</w:t>
            </w:r>
          </w:p>
        </w:tc>
        <w:tc>
          <w:tcPr>
            <w:tcW w:w="1100" w:type="dxa"/>
            <w:vAlign w:val="bottom"/>
          </w:tcPr>
          <w:p>
            <w:pPr>
              <w:spacing w:after="0"/>
              <w:rPr>
                <w:sz w:val="18"/>
                <w:szCs w:val="18"/>
                <w:color w:val="auto"/>
              </w:rPr>
            </w:pPr>
          </w:p>
        </w:tc>
      </w:tr>
      <w:tr>
        <w:trPr>
          <w:trHeight w:val="230"/>
        </w:trPr>
        <w:tc>
          <w:tcPr>
            <w:tcW w:w="3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00" w:type="dxa"/>
            <w:vAlign w:val="bottom"/>
            <w:gridSpan w:val="3"/>
          </w:tcPr>
          <w:p>
            <w:pPr>
              <w:jc w:val="center"/>
              <w:ind w:right="571"/>
              <w:spacing w:after="0"/>
              <w:rPr>
                <w:sz w:val="20"/>
                <w:szCs w:val="20"/>
                <w:color w:val="auto"/>
              </w:rPr>
            </w:pPr>
            <w:r>
              <w:rPr>
                <w:rFonts w:ascii="Arial" w:cs="Arial" w:eastAsia="Arial" w:hAnsi="Arial"/>
                <w:sz w:val="18"/>
                <w:szCs w:val="18"/>
                <w:b w:val="1"/>
                <w:bCs w:val="1"/>
                <w:color w:val="auto"/>
                <w:w w:val="88"/>
              </w:rPr>
              <w:t>June 30,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80" w:type="dxa"/>
            <w:vAlign w:val="bottom"/>
            <w:gridSpan w:val="3"/>
          </w:tcPr>
          <w:p>
            <w:pPr>
              <w:jc w:val="center"/>
              <w:ind w:left="631"/>
              <w:spacing w:after="0"/>
              <w:rPr>
                <w:sz w:val="20"/>
                <w:szCs w:val="20"/>
                <w:color w:val="auto"/>
              </w:rPr>
            </w:pPr>
            <w:r>
              <w:rPr>
                <w:rFonts w:ascii="Arial" w:cs="Arial" w:eastAsia="Arial" w:hAnsi="Arial"/>
                <w:sz w:val="18"/>
                <w:szCs w:val="18"/>
                <w:b w:val="1"/>
                <w:bCs w:val="1"/>
                <w:color w:val="auto"/>
                <w:w w:val="85"/>
              </w:rPr>
              <w:t>June 30,</w:t>
            </w:r>
          </w:p>
        </w:tc>
        <w:tc>
          <w:tcPr>
            <w:tcW w:w="1100" w:type="dxa"/>
            <w:vAlign w:val="bottom"/>
          </w:tcPr>
          <w:p>
            <w:pPr>
              <w:spacing w:after="0"/>
              <w:rPr>
                <w:sz w:val="19"/>
                <w:szCs w:val="19"/>
                <w:color w:val="auto"/>
              </w:rPr>
            </w:pPr>
          </w:p>
        </w:tc>
      </w:tr>
      <w:tr>
        <w:trPr>
          <w:trHeight w:val="28"/>
        </w:trPr>
        <w:tc>
          <w:tcPr>
            <w:tcW w:w="37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3720" w:type="dxa"/>
            <w:vAlign w:val="bottom"/>
          </w:tcPr>
          <w:p>
            <w:pPr>
              <w:spacing w:after="0"/>
              <w:rPr>
                <w:sz w:val="20"/>
                <w:szCs w:val="20"/>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jc w:val="right"/>
              <w:ind w:right="631"/>
              <w:spacing w:after="0"/>
              <w:rPr>
                <w:sz w:val="20"/>
                <w:szCs w:val="20"/>
                <w:color w:val="auto"/>
              </w:rPr>
            </w:pPr>
            <w:r>
              <w:rPr>
                <w:rFonts w:ascii="Arial" w:cs="Arial" w:eastAsia="Arial" w:hAnsi="Arial"/>
                <w:sz w:val="18"/>
                <w:szCs w:val="18"/>
                <w:b w:val="1"/>
                <w:bCs w:val="1"/>
                <w:color w:val="auto"/>
                <w:w w:val="89"/>
              </w:rPr>
              <w:t>2019</w:t>
            </w:r>
          </w:p>
        </w:tc>
      </w:tr>
      <w:tr>
        <w:trPr>
          <w:trHeight w:val="28"/>
        </w:trPr>
        <w:tc>
          <w:tcPr>
            <w:tcW w:w="37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9"/>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260" w:type="dxa"/>
            <w:vAlign w:val="bottom"/>
            <w:tcBorders>
              <w:bottom w:val="single" w:sz="8" w:color="CCEEFF"/>
            </w:tcBorders>
            <w:shd w:val="clear" w:color="auto" w:fill="CCEEFF"/>
          </w:tcPr>
          <w:p>
            <w:pPr>
              <w:jc w:val="right"/>
              <w:ind w:right="105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3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38"/>
        </w:trPr>
        <w:tc>
          <w:tcPr>
            <w:tcW w:w="37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260" w:type="dxa"/>
            <w:vAlign w:val="bottom"/>
          </w:tcPr>
          <w:p>
            <w:pPr>
              <w:spacing w:after="0"/>
              <w:rPr>
                <w:sz w:val="20"/>
                <w:szCs w:val="20"/>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68.2</w:t>
            </w:r>
          </w:p>
        </w:tc>
      </w:tr>
      <w:tr>
        <w:trPr>
          <w:trHeight w:val="28"/>
        </w:trPr>
        <w:tc>
          <w:tcPr>
            <w:tcW w:w="3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6"/>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r>
      <w:tr>
        <w:trPr>
          <w:trHeight w:val="334"/>
        </w:trPr>
        <w:tc>
          <w:tcPr>
            <w:tcW w:w="3720" w:type="dxa"/>
            <w:vAlign w:val="bottom"/>
          </w:tcPr>
          <w:p>
            <w:pPr>
              <w:ind w:left="2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4"/>
                <w:szCs w:val="24"/>
                <w:color w:val="auto"/>
                <w:vertAlign w:val="superscript"/>
              </w:rPr>
              <w:t>(2)</w:t>
            </w:r>
          </w:p>
        </w:tc>
        <w:tc>
          <w:tcPr>
            <w:tcW w:w="126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31.9</w:t>
            </w:r>
          </w:p>
        </w:tc>
      </w:tr>
    </w:tbl>
    <w:p>
      <w:pPr>
        <w:spacing w:after="0" w:line="147" w:lineRule="exact"/>
        <w:rPr>
          <w:sz w:val="20"/>
          <w:szCs w:val="20"/>
          <w:color w:val="auto"/>
        </w:rPr>
      </w:pPr>
    </w:p>
    <w:p>
      <w:pPr>
        <w:ind w:right="340" w:firstLine="6"/>
        <w:spacing w:after="0" w:line="299" w:lineRule="auto"/>
        <w:tabs>
          <w:tab w:leader="none" w:pos="175" w:val="left"/>
        </w:tabs>
        <w:numPr>
          <w:ilvl w:val="0"/>
          <w:numId w:val="4"/>
        </w:numPr>
        <w:rPr>
          <w:rFonts w:ascii="Arial" w:cs="Arial" w:eastAsia="Arial" w:hAnsi="Arial"/>
          <w:sz w:val="20"/>
          <w:szCs w:val="20"/>
          <w:color w:val="auto"/>
          <w:vertAlign w:val="superscript"/>
        </w:rPr>
      </w:pPr>
      <w:r>
        <w:rPr>
          <w:rFonts w:ascii="Arial" w:cs="Arial" w:eastAsia="Arial" w:hAnsi="Arial"/>
          <w:sz w:val="13"/>
          <w:szCs w:val="13"/>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w:t>
      </w:r>
    </w:p>
    <w:p>
      <w:pPr>
        <w:sectPr>
          <w:pgSz w:w="11900" w:h="16838" w:orient="portrait"/>
          <w:cols w:equalWidth="0" w:num="1">
            <w:col w:w="11240"/>
          </w:cols>
          <w:pgMar w:left="320" w:top="55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80" w:type="dxa"/>
            <w:vAlign w:val="bottom"/>
            <w:gridSpan w:val="3"/>
          </w:tcPr>
          <w:p>
            <w:pPr>
              <w:jc w:val="right"/>
              <w:ind w:right="31"/>
              <w:spacing w:after="0"/>
              <w:rPr>
                <w:sz w:val="20"/>
                <w:szCs w:val="20"/>
                <w:color w:val="auto"/>
              </w:rPr>
            </w:pPr>
            <w:r>
              <w:rPr>
                <w:rFonts w:ascii="Arial" w:cs="Arial" w:eastAsia="Arial" w:hAnsi="Arial"/>
                <w:sz w:val="18"/>
                <w:szCs w:val="18"/>
                <w:b w:val="1"/>
                <w:bCs w:val="1"/>
                <w:color w:val="auto"/>
              </w:rPr>
              <w:t>As of</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 2020</w:t>
            </w:r>
          </w:p>
        </w:tc>
        <w:tc>
          <w:tcPr>
            <w:tcW w:w="280" w:type="dxa"/>
            <w:vAlign w:val="bottom"/>
          </w:tcPr>
          <w:p>
            <w:pPr>
              <w:spacing w:after="0"/>
              <w:rPr>
                <w:sz w:val="20"/>
                <w:szCs w:val="20"/>
                <w:color w:val="auto"/>
              </w:rPr>
            </w:pPr>
          </w:p>
        </w:tc>
        <w:tc>
          <w:tcPr>
            <w:tcW w:w="1960" w:type="dxa"/>
            <w:vAlign w:val="bottom"/>
          </w:tcPr>
          <w:p>
            <w:pPr>
              <w:jc w:val="right"/>
              <w:ind w:right="311"/>
              <w:spacing w:after="0"/>
              <w:rPr>
                <w:sz w:val="20"/>
                <w:szCs w:val="20"/>
                <w:color w:val="auto"/>
              </w:rPr>
            </w:pPr>
            <w:r>
              <w:rPr>
                <w:rFonts w:ascii="Arial" w:cs="Arial" w:eastAsia="Arial" w:hAnsi="Arial"/>
                <w:sz w:val="18"/>
                <w:szCs w:val="18"/>
                <w:b w:val="1"/>
                <w:bCs w:val="1"/>
                <w:color w:val="auto"/>
                <w:w w:val="94"/>
              </w:rPr>
              <w:t>December 31, 2019</w:t>
            </w:r>
          </w:p>
        </w:tc>
        <w:tc>
          <w:tcPr>
            <w:tcW w:w="0" w:type="dxa"/>
            <w:vAlign w:val="bottom"/>
          </w:tcPr>
          <w:p>
            <w:pPr>
              <w:spacing w:after="0"/>
              <w:rPr>
                <w:sz w:val="1"/>
                <w:szCs w:val="1"/>
                <w:color w:val="auto"/>
              </w:rPr>
            </w:pPr>
          </w:p>
        </w:tc>
      </w:tr>
      <w:tr>
        <w:trPr>
          <w:trHeight w:val="28"/>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38"/>
        </w:trPr>
        <w:tc>
          <w:tcPr>
            <w:tcW w:w="664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0"/>
                <w:szCs w:val="20"/>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783.5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and other receivables, net</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8"/>
        </w:trPr>
        <w:tc>
          <w:tcPr>
            <w:tcW w:w="66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0"/>
                <w:szCs w:val="20"/>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8"/>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1,243.2</w:t>
            </w:r>
          </w:p>
        </w:tc>
        <w:tc>
          <w:tcPr>
            <w:tcW w:w="0" w:type="dxa"/>
            <w:vAlign w:val="bottom"/>
          </w:tcPr>
          <w:p>
            <w:pPr>
              <w:spacing w:after="0"/>
              <w:rPr>
                <w:sz w:val="1"/>
                <w:szCs w:val="1"/>
                <w:color w:val="auto"/>
              </w:rPr>
            </w:pPr>
          </w:p>
        </w:tc>
      </w:tr>
      <w:tr>
        <w:trPr>
          <w:trHeight w:val="238"/>
        </w:trPr>
        <w:tc>
          <w:tcPr>
            <w:tcW w:w="66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0"/>
                <w:szCs w:val="20"/>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657.9</w:t>
            </w:r>
          </w:p>
        </w:tc>
        <w:tc>
          <w:tcPr>
            <w:tcW w:w="0" w:type="dxa"/>
            <w:vAlign w:val="bottom"/>
          </w:tcPr>
          <w:p>
            <w:pPr>
              <w:spacing w:after="0"/>
              <w:rPr>
                <w:sz w:val="1"/>
                <w:szCs w:val="1"/>
                <w:color w:val="auto"/>
              </w:rPr>
            </w:pPr>
          </w:p>
        </w:tc>
      </w:tr>
      <w:tr>
        <w:trPr>
          <w:trHeight w:val="238"/>
        </w:trPr>
        <w:tc>
          <w:tcPr>
            <w:tcW w:w="66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0"/>
                <w:szCs w:val="20"/>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38"/>
        </w:trPr>
        <w:tc>
          <w:tcPr>
            <w:tcW w:w="66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0"/>
                <w:szCs w:val="20"/>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8"/>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2,699.2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6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and 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38"/>
        </w:trPr>
        <w:tc>
          <w:tcPr>
            <w:tcW w:w="6640" w:type="dxa"/>
            <w:vAlign w:val="bottom"/>
          </w:tcPr>
          <w:p>
            <w:pPr>
              <w:ind w:left="28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spacing w:after="0"/>
              <w:rPr>
                <w:sz w:val="20"/>
                <w:szCs w:val="20"/>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38"/>
        </w:trPr>
        <w:tc>
          <w:tcPr>
            <w:tcW w:w="6640" w:type="dxa"/>
            <w:vAlign w:val="bottom"/>
          </w:tcPr>
          <w:p>
            <w:pPr>
              <w:ind w:left="280"/>
              <w:spacing w:after="0"/>
              <w:rPr>
                <w:sz w:val="20"/>
                <w:szCs w:val="20"/>
                <w:color w:val="auto"/>
              </w:rPr>
            </w:pPr>
            <w:r>
              <w:rPr>
                <w:rFonts w:ascii="Arial" w:cs="Arial" w:eastAsia="Arial" w:hAnsi="Arial"/>
                <w:sz w:val="18"/>
                <w:szCs w:val="18"/>
                <w:color w:val="auto"/>
              </w:rPr>
              <w:t>Finance lease obligation</w:t>
            </w:r>
          </w:p>
        </w:tc>
        <w:tc>
          <w:tcPr>
            <w:tcW w:w="360" w:type="dxa"/>
            <w:vAlign w:val="bottom"/>
          </w:tcPr>
          <w:p>
            <w:pPr>
              <w:spacing w:after="0"/>
              <w:rPr>
                <w:sz w:val="20"/>
                <w:szCs w:val="20"/>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31"/>
        </w:trPr>
        <w:tc>
          <w:tcPr>
            <w:tcW w:w="6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1,014.8</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liability, non-current</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38"/>
        </w:trPr>
        <w:tc>
          <w:tcPr>
            <w:tcW w:w="6640" w:type="dxa"/>
            <w:vAlign w:val="bottom"/>
          </w:tcPr>
          <w:p>
            <w:pPr>
              <w:ind w:left="40"/>
              <w:spacing w:after="0"/>
              <w:rPr>
                <w:sz w:val="20"/>
                <w:szCs w:val="20"/>
                <w:color w:val="auto"/>
              </w:rPr>
            </w:pPr>
            <w:r>
              <w:rPr>
                <w:rFonts w:ascii="Arial" w:cs="Arial" w:eastAsia="Arial" w:hAnsi="Arial"/>
                <w:sz w:val="18"/>
                <w:szCs w:val="18"/>
                <w:color w:val="auto"/>
              </w:rPr>
              <w:t>Finance lease obligation, non-current</w:t>
            </w:r>
          </w:p>
        </w:tc>
        <w:tc>
          <w:tcPr>
            <w:tcW w:w="360" w:type="dxa"/>
            <w:vAlign w:val="bottom"/>
          </w:tcPr>
          <w:p>
            <w:pPr>
              <w:spacing w:after="0"/>
              <w:rPr>
                <w:sz w:val="20"/>
                <w:szCs w:val="20"/>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1"/>
        </w:trPr>
        <w:tc>
          <w:tcPr>
            <w:tcW w:w="66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1,938.9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1,890.8</w:t>
            </w:r>
          </w:p>
        </w:tc>
        <w:tc>
          <w:tcPr>
            <w:tcW w:w="0" w:type="dxa"/>
            <w:vAlign w:val="bottom"/>
          </w:tcPr>
          <w:p>
            <w:pPr>
              <w:spacing w:after="0"/>
              <w:rPr>
                <w:sz w:val="1"/>
                <w:szCs w:val="1"/>
                <w:color w:val="auto"/>
              </w:rPr>
            </w:pPr>
          </w:p>
        </w:tc>
      </w:tr>
      <w:tr>
        <w:trPr>
          <w:trHeight w:val="28"/>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280"/>
              <w:spacing w:after="0"/>
              <w:rPr>
                <w:sz w:val="20"/>
                <w:szCs w:val="20"/>
                <w:color w:val="auto"/>
              </w:rPr>
            </w:pPr>
            <w:r>
              <w:rPr>
                <w:rFonts w:ascii="Arial" w:cs="Arial" w:eastAsia="Arial" w:hAnsi="Arial"/>
                <w:sz w:val="18"/>
                <w:szCs w:val="18"/>
                <w:color w:val="auto"/>
              </w:rPr>
              <w:t>Additional paid-in-capital</w:t>
            </w:r>
          </w:p>
        </w:tc>
        <w:tc>
          <w:tcPr>
            <w:tcW w:w="360" w:type="dxa"/>
            <w:vAlign w:val="bottom"/>
          </w:tcPr>
          <w:p>
            <w:pPr>
              <w:spacing w:after="0"/>
              <w:rPr>
                <w:sz w:val="20"/>
                <w:szCs w:val="20"/>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2,560.4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2,531.3</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(1,726.2)</w:t>
            </w:r>
          </w:p>
        </w:tc>
        <w:tc>
          <w:tcPr>
            <w:tcW w:w="0" w:type="dxa"/>
            <w:vAlign w:val="bottom"/>
          </w:tcPr>
          <w:p>
            <w:pPr>
              <w:spacing w:after="0"/>
              <w:rPr>
                <w:sz w:val="1"/>
                <w:szCs w:val="1"/>
                <w:color w:val="auto"/>
              </w:rPr>
            </w:pPr>
          </w:p>
        </w:tc>
      </w:tr>
      <w:tr>
        <w:trPr>
          <w:trHeight w:val="238"/>
        </w:trPr>
        <w:tc>
          <w:tcPr>
            <w:tcW w:w="664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20"/>
                <w:szCs w:val="20"/>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8"/>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31"/>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2,742.3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2,699.2</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55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206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Six Months Ended</w:t>
            </w:r>
          </w:p>
        </w:tc>
      </w:tr>
      <w:tr>
        <w:trPr>
          <w:trHeight w:val="208"/>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8"/>
                <w:szCs w:val="18"/>
                <w:color w:val="auto"/>
              </w:rPr>
            </w:pPr>
          </w:p>
        </w:tc>
      </w:tr>
      <w:tr>
        <w:trPr>
          <w:trHeight w:val="32"/>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7"/>
        </w:trPr>
        <w:tc>
          <w:tcPr>
            <w:tcW w:w="6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300"/>
              <w:spacing w:after="0"/>
              <w:rPr>
                <w:sz w:val="20"/>
                <w:szCs w:val="20"/>
                <w:color w:val="auto"/>
              </w:rPr>
            </w:pPr>
            <w:r>
              <w:rPr>
                <w:rFonts w:ascii="Arial" w:cs="Arial" w:eastAsia="Arial" w:hAnsi="Arial"/>
                <w:sz w:val="16"/>
                <w:szCs w:val="16"/>
                <w:b w:val="1"/>
                <w:bCs w:val="1"/>
                <w:color w:val="auto"/>
              </w:rPr>
              <w:t>2019</w:t>
            </w:r>
          </w:p>
        </w:tc>
      </w:tr>
      <w:tr>
        <w:trPr>
          <w:trHeight w:val="32"/>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9"/>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 from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34"/>
        </w:trPr>
        <w:tc>
          <w:tcPr>
            <w:tcW w:w="64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32"/>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6"/>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4"/>
        </w:trPr>
        <w:tc>
          <w:tcPr>
            <w:tcW w:w="64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91.9</w:t>
            </w:r>
          </w:p>
        </w:tc>
      </w:tr>
      <w:tr>
        <w:trPr>
          <w:trHeight w:val="32"/>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6"/>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123.7</w:t>
            </w:r>
          </w:p>
        </w:tc>
      </w:tr>
      <w:tr>
        <w:trPr>
          <w:trHeight w:val="234"/>
        </w:trPr>
        <w:tc>
          <w:tcPr>
            <w:tcW w:w="6420" w:type="dxa"/>
            <w:vAlign w:val="bottom"/>
          </w:tcPr>
          <w:p>
            <w:pPr>
              <w:ind w:left="280"/>
              <w:spacing w:after="0"/>
              <w:rPr>
                <w:sz w:val="20"/>
                <w:szCs w:val="20"/>
                <w:color w:val="auto"/>
              </w:rPr>
            </w:pPr>
            <w:r>
              <w:rPr>
                <w:rFonts w:ascii="Arial" w:cs="Arial" w:eastAsia="Arial" w:hAnsi="Arial"/>
                <w:sz w:val="16"/>
                <w:szCs w:val="16"/>
                <w:color w:val="auto"/>
              </w:rPr>
              <w:t>Net gains on equity investments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32"/>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6"/>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commissions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r>
      <w:tr>
        <w:trPr>
          <w:trHeight w:val="234"/>
        </w:trPr>
        <w:tc>
          <w:tcPr>
            <w:tcW w:w="64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2"/>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6"/>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4"/>
        </w:trPr>
        <w:tc>
          <w:tcPr>
            <w:tcW w:w="6420" w:type="dxa"/>
            <w:vAlign w:val="bottom"/>
          </w:tcPr>
          <w:p>
            <w:pPr>
              <w:ind w:left="280"/>
              <w:spacing w:after="0"/>
              <w:rPr>
                <w:sz w:val="20"/>
                <w:szCs w:val="20"/>
                <w:color w:val="auto"/>
              </w:rPr>
            </w:pPr>
            <w:r>
              <w:rPr>
                <w:rFonts w:ascii="Arial" w:cs="Arial" w:eastAsia="Arial" w:hAnsi="Arial"/>
                <w:sz w:val="16"/>
                <w:szCs w:val="16"/>
                <w:color w:val="auto"/>
              </w:rPr>
              <w:t>Trade and other receivables, net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32"/>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6"/>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34"/>
        </w:trPr>
        <w:tc>
          <w:tcPr>
            <w:tcW w:w="6420" w:type="dxa"/>
            <w:vAlign w:val="bottom"/>
          </w:tcPr>
          <w:p>
            <w:pPr>
              <w:ind w:left="28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26.2</w:t>
            </w:r>
          </w:p>
        </w:tc>
      </w:tr>
      <w:tr>
        <w:trPr>
          <w:trHeight w:val="32"/>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6"/>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4"/>
        </w:trPr>
        <w:tc>
          <w:tcPr>
            <w:tcW w:w="6420" w:type="dxa"/>
            <w:vAlign w:val="bottom"/>
          </w:tcPr>
          <w:p>
            <w:pPr>
              <w:ind w:left="280"/>
              <w:spacing w:after="0"/>
              <w:rPr>
                <w:sz w:val="20"/>
                <w:szCs w:val="20"/>
                <w:color w:val="auto"/>
              </w:rPr>
            </w:pPr>
            <w:r>
              <w:rPr>
                <w:rFonts w:ascii="Arial" w:cs="Arial" w:eastAsia="Arial" w:hAnsi="Arial"/>
                <w:sz w:val="16"/>
                <w:szCs w:val="16"/>
                <w:color w:val="auto"/>
              </w:rPr>
              <w:t>Accrued and other current liabilities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10.5</w:t>
            </w:r>
          </w:p>
        </w:tc>
      </w:tr>
      <w:tr>
        <w:trPr>
          <w:trHeight w:val="32"/>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6"/>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34"/>
        </w:trPr>
        <w:tc>
          <w:tcPr>
            <w:tcW w:w="64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28.0</w:t>
            </w:r>
          </w:p>
        </w:tc>
      </w:tr>
      <w:tr>
        <w:trPr>
          <w:trHeight w:val="32"/>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6"/>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34"/>
        </w:trPr>
        <w:tc>
          <w:tcPr>
            <w:tcW w:w="6420" w:type="dxa"/>
            <w:vAlign w:val="bottom"/>
          </w:tcPr>
          <w:p>
            <w:pPr>
              <w:ind w:left="280"/>
              <w:spacing w:after="0"/>
              <w:rPr>
                <w:sz w:val="20"/>
                <w:szCs w:val="20"/>
                <w:color w:val="auto"/>
              </w:rPr>
            </w:pPr>
            <w:r>
              <w:rPr>
                <w:rFonts w:ascii="Arial" w:cs="Arial" w:eastAsia="Arial" w:hAnsi="Arial"/>
                <w:sz w:val="16"/>
                <w:szCs w:val="16"/>
                <w:color w:val="auto"/>
              </w:rPr>
              <w:t>Tenant improvement allowance reimbursement</w:t>
            </w: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28.5</w:t>
            </w:r>
          </w:p>
        </w:tc>
      </w:tr>
      <w:tr>
        <w:trPr>
          <w:trHeight w:val="32"/>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6"/>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192.0</w:t>
            </w:r>
          </w:p>
        </w:tc>
      </w:tr>
      <w:tr>
        <w:trPr>
          <w:trHeight w:val="201"/>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Cash flow from investing activities</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45"/>
        </w:trPr>
        <w:tc>
          <w:tcPr>
            <w:tcW w:w="6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46"/>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w:t>
            </w:r>
          </w:p>
        </w:tc>
      </w:tr>
      <w:tr>
        <w:trPr>
          <w:trHeight w:val="234"/>
        </w:trPr>
        <w:tc>
          <w:tcPr>
            <w:tcW w:w="6420" w:type="dxa"/>
            <w:vAlign w:val="bottom"/>
          </w:tcPr>
          <w:p>
            <w:pPr>
              <w:ind w:left="280"/>
              <w:spacing w:after="0"/>
              <w:rPr>
                <w:sz w:val="20"/>
                <w:szCs w:val="20"/>
                <w:color w:val="auto"/>
              </w:rPr>
            </w:pPr>
            <w:r>
              <w:rPr>
                <w:rFonts w:ascii="Arial" w:cs="Arial" w:eastAsia="Arial" w:hAnsi="Arial"/>
                <w:sz w:val="16"/>
                <w:szCs w:val="16"/>
                <w:color w:val="auto"/>
              </w:rPr>
              <w:t>Business combinations, net of cash acquired</w:t>
            </w:r>
          </w:p>
        </w:tc>
        <w:tc>
          <w:tcPr>
            <w:tcW w:w="2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(171.6)</w:t>
            </w:r>
          </w:p>
        </w:tc>
      </w:tr>
      <w:tr>
        <w:trPr>
          <w:trHeight w:val="32"/>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6"/>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(389.7)</w:t>
            </w:r>
          </w:p>
        </w:tc>
      </w:tr>
      <w:tr>
        <w:trPr>
          <w:trHeight w:val="234"/>
        </w:trPr>
        <w:tc>
          <w:tcPr>
            <w:tcW w:w="6420" w:type="dxa"/>
            <w:vAlign w:val="bottom"/>
          </w:tcPr>
          <w:p>
            <w:pPr>
              <w:ind w:left="280"/>
              <w:spacing w:after="0"/>
              <w:rPr>
                <w:sz w:val="20"/>
                <w:szCs w:val="20"/>
                <w:color w:val="auto"/>
              </w:rPr>
            </w:pPr>
            <w:r>
              <w:rPr>
                <w:rFonts w:ascii="Arial" w:cs="Arial" w:eastAsia="Arial" w:hAnsi="Arial"/>
                <w:sz w:val="16"/>
                <w:szCs w:val="16"/>
                <w:color w:val="auto"/>
              </w:rPr>
              <w:t>Proceeds from sales of short-term investments</w:t>
            </w: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145.3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181.0</w:t>
            </w:r>
          </w:p>
        </w:tc>
      </w:tr>
      <w:tr>
        <w:trPr>
          <w:trHeight w:val="32"/>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6"/>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maturities of 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161.6</w:t>
            </w:r>
          </w:p>
        </w:tc>
      </w:tr>
      <w:tr>
        <w:trPr>
          <w:trHeight w:val="234"/>
        </w:trPr>
        <w:tc>
          <w:tcPr>
            <w:tcW w:w="64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11.6</w:t>
            </w:r>
          </w:p>
        </w:tc>
      </w:tr>
      <w:tr>
        <w:trPr>
          <w:trHeight w:val="32"/>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6"/>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(270.5)</w:t>
            </w:r>
          </w:p>
        </w:tc>
      </w:tr>
      <w:tr>
        <w:trPr>
          <w:trHeight w:val="201"/>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Cash flow from financing activities</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45"/>
        </w:trPr>
        <w:tc>
          <w:tcPr>
            <w:tcW w:w="6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46"/>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8"/>
              </w:rPr>
              <w:t>Shares repurchased for tax withholdings on release of restricted stock units and awards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w:t>
            </w:r>
          </w:p>
        </w:tc>
      </w:tr>
      <w:tr>
        <w:trPr>
          <w:trHeight w:val="234"/>
        </w:trPr>
        <w:tc>
          <w:tcPr>
            <w:tcW w:w="6420" w:type="dxa"/>
            <w:vAlign w:val="bottom"/>
          </w:tcPr>
          <w:p>
            <w:pPr>
              <w:ind w:left="280"/>
              <w:spacing w:after="0"/>
              <w:rPr>
                <w:sz w:val="20"/>
                <w:szCs w:val="20"/>
                <w:color w:val="auto"/>
              </w:rPr>
            </w:pPr>
            <w:r>
              <w:rPr>
                <w:rFonts w:ascii="Arial" w:cs="Arial" w:eastAsia="Arial" w:hAnsi="Arial"/>
                <w:sz w:val="16"/>
                <w:szCs w:val="16"/>
                <w:color w:val="auto"/>
              </w:rPr>
              <w:t>Proceeds from issuance of common stock, net of repurchases</w:t>
            </w: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2.0</w:t>
            </w:r>
          </w:p>
        </w:tc>
      </w:tr>
      <w:tr>
        <w:trPr>
          <w:trHeight w:val="32"/>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6"/>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on finance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w:t>
            </w:r>
          </w:p>
        </w:tc>
      </w:tr>
      <w:tr>
        <w:trPr>
          <w:trHeight w:val="234"/>
        </w:trPr>
        <w:tc>
          <w:tcPr>
            <w:tcW w:w="6420" w:type="dxa"/>
            <w:vAlign w:val="bottom"/>
          </w:tcPr>
          <w:p>
            <w:pPr>
              <w:ind w:left="280"/>
              <w:spacing w:after="0"/>
              <w:rPr>
                <w:sz w:val="20"/>
                <w:szCs w:val="20"/>
                <w:color w:val="auto"/>
              </w:rPr>
            </w:pPr>
            <w:r>
              <w:rPr>
                <w:rFonts w:ascii="Arial" w:cs="Arial" w:eastAsia="Arial" w:hAnsi="Arial"/>
                <w:sz w:val="16"/>
                <w:szCs w:val="16"/>
                <w:color w:val="auto"/>
              </w:rPr>
              <w:t>Common stock repurchases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2"/>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66"/>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4"/>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Net cash used in financing activities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(97.4)</w:t>
            </w:r>
          </w:p>
        </w:tc>
      </w:tr>
      <w:tr>
        <w:trPr>
          <w:trHeight w:val="32"/>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6"/>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r>
      <w:tr>
        <w:trPr>
          <w:trHeight w:val="214"/>
        </w:trPr>
        <w:tc>
          <w:tcPr>
            <w:tcW w:w="6420" w:type="dxa"/>
            <w:vAlign w:val="bottom"/>
          </w:tcPr>
          <w:p>
            <w:pPr>
              <w:ind w:left="40"/>
              <w:spacing w:after="0"/>
              <w:rPr>
                <w:sz w:val="20"/>
                <w:szCs w:val="20"/>
                <w:color w:val="auto"/>
              </w:rPr>
            </w:pPr>
            <w:r>
              <w:rPr>
                <w:rFonts w:ascii="Arial" w:cs="Arial" w:eastAsia="Arial" w:hAnsi="Arial"/>
                <w:sz w:val="16"/>
                <w:szCs w:val="16"/>
                <w:color w:val="auto"/>
              </w:rPr>
              <w:t>Change in cash and cash equivalents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(175.7)</w:t>
            </w:r>
          </w:p>
        </w:tc>
      </w:tr>
      <w:tr>
        <w:trPr>
          <w:trHeight w:val="32"/>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66"/>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486.4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519.3</w:t>
            </w:r>
          </w:p>
        </w:tc>
      </w:tr>
      <w:tr>
        <w:trPr>
          <w:trHeight w:val="214"/>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 end of period</w:t>
            </w:r>
          </w:p>
        </w:tc>
        <w:tc>
          <w:tcPr>
            <w:tcW w:w="2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334.1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343.6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334.1</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343.6</w:t>
            </w:r>
          </w:p>
        </w:tc>
      </w:tr>
      <w:tr>
        <w:trPr>
          <w:trHeight w:val="72"/>
        </w:trPr>
        <w:tc>
          <w:tcPr>
            <w:tcW w:w="64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r>
      <w:tr>
        <w:trPr>
          <w:trHeight w:val="259"/>
        </w:trPr>
        <w:tc>
          <w:tcPr>
            <w:tcW w:w="6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21"/>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data:</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5"/>
        </w:trPr>
        <w:tc>
          <w:tcPr>
            <w:tcW w:w="64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51"/>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acquired under finance leases</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550"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Three months ended June 30, 2020</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Stock-based</w:t>
            </w: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rPr>
              <w:t>Acquisition-related</w:t>
            </w:r>
          </w:p>
        </w:tc>
        <w:tc>
          <w:tcPr>
            <w:tcW w:w="2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Intangibles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GAAP</w:t>
            </w:r>
          </w:p>
        </w:tc>
        <w:tc>
          <w:tcPr>
            <w:tcW w:w="20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compensation</w:t>
            </w: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w w:val="96"/>
              </w:rPr>
              <w:t>and other expenses</w:t>
            </w:r>
          </w:p>
        </w:tc>
        <w:tc>
          <w:tcPr>
            <w:tcW w:w="220" w:type="dxa"/>
            <w:vAlign w:val="bottom"/>
          </w:tcPr>
          <w:p>
            <w:pPr>
              <w:spacing w:after="0"/>
              <w:rPr>
                <w:sz w:val="19"/>
                <w:szCs w:val="19"/>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amortization</w:t>
            </w:r>
          </w:p>
        </w:tc>
        <w:tc>
          <w:tcPr>
            <w:tcW w:w="220" w:type="dxa"/>
            <w:vAlign w:val="bottom"/>
          </w:tcPr>
          <w:p>
            <w:pPr>
              <w:spacing w:after="0"/>
              <w:rPr>
                <w:sz w:val="19"/>
                <w:szCs w:val="19"/>
                <w:color w:val="auto"/>
              </w:rPr>
            </w:pPr>
          </w:p>
        </w:tc>
        <w:tc>
          <w:tcPr>
            <w:tcW w:w="1340" w:type="dxa"/>
            <w:vAlign w:val="bottom"/>
          </w:tcPr>
          <w:p>
            <w:pPr>
              <w:jc w:val="right"/>
              <w:ind w:right="251"/>
              <w:spacing w:after="0"/>
              <w:rPr>
                <w:sz w:val="20"/>
                <w:szCs w:val="20"/>
                <w:color w:val="auto"/>
              </w:rPr>
            </w:pPr>
            <w:r>
              <w:rPr>
                <w:rFonts w:ascii="Arial" w:cs="Arial" w:eastAsia="Arial" w:hAnsi="Arial"/>
                <w:sz w:val="18"/>
                <w:szCs w:val="18"/>
                <w:b w:val="1"/>
                <w:bCs w:val="1"/>
                <w:color w:val="auto"/>
              </w:rPr>
              <w:t>Non-GAAP</w:t>
            </w:r>
          </w:p>
        </w:tc>
      </w:tr>
      <w:tr>
        <w:trPr>
          <w:trHeight w:val="28"/>
        </w:trPr>
        <w:tc>
          <w:tcPr>
            <w:tcW w:w="2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9"/>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Cost of revenue</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97.0</w:t>
            </w:r>
          </w:p>
        </w:tc>
      </w:tr>
      <w:tr>
        <w:trPr>
          <w:trHeight w:val="238"/>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8"/>
        </w:trPr>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6"/>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370.4</w:t>
            </w:r>
          </w:p>
        </w:tc>
      </w:tr>
      <w:tr>
        <w:trPr>
          <w:trHeight w:val="238"/>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8"/>
        </w:trPr>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6"/>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134.5</w:t>
            </w:r>
          </w:p>
        </w:tc>
      </w:tr>
      <w:tr>
        <w:trPr>
          <w:trHeight w:val="238"/>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w w:val="94"/>
              </w:rPr>
              <w:t>Research and development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8"/>
        </w:trPr>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6"/>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91.9</w:t>
            </w:r>
          </w:p>
        </w:tc>
      </w:tr>
      <w:tr>
        <w:trPr>
          <w:trHeight w:val="238"/>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8"/>
        </w:trPr>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6"/>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47.8</w:t>
            </w:r>
          </w:p>
        </w:tc>
      </w:tr>
      <w:tr>
        <w:trPr>
          <w:trHeight w:val="238"/>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w w:val="95"/>
              </w:rPr>
              <w:t>General and administrative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8"/>
        </w:trPr>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6"/>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96.2</w:t>
            </w:r>
          </w:p>
        </w:tc>
      </w:tr>
      <w:tr>
        <w:trPr>
          <w:trHeight w:val="238"/>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w:t>
            </w:r>
          </w:p>
        </w:tc>
      </w:tr>
    </w:tbl>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Three months ended June 30, 2019</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Stock-based</w:t>
            </w:r>
          </w:p>
        </w:tc>
        <w:tc>
          <w:tcPr>
            <w:tcW w:w="170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w w:val="94"/>
              </w:rPr>
              <w:t>Acquisition-related</w:t>
            </w:r>
          </w:p>
        </w:tc>
        <w:tc>
          <w:tcPr>
            <w:tcW w:w="280" w:type="dxa"/>
            <w:vAlign w:val="bottom"/>
          </w:tcPr>
          <w:p>
            <w:pPr>
              <w:spacing w:after="0"/>
              <w:rPr>
                <w:sz w:val="18"/>
                <w:szCs w:val="18"/>
                <w:color w:val="auto"/>
              </w:rPr>
            </w:pPr>
          </w:p>
        </w:tc>
        <w:tc>
          <w:tcPr>
            <w:tcW w:w="1480" w:type="dxa"/>
            <w:vAlign w:val="bottom"/>
          </w:tcPr>
          <w:p>
            <w:pPr>
              <w:jc w:val="right"/>
              <w:ind w:right="371"/>
              <w:spacing w:after="0"/>
              <w:rPr>
                <w:sz w:val="20"/>
                <w:szCs w:val="20"/>
                <w:color w:val="auto"/>
              </w:rPr>
            </w:pPr>
            <w:r>
              <w:rPr>
                <w:rFonts w:ascii="Arial" w:cs="Arial" w:eastAsia="Arial" w:hAnsi="Arial"/>
                <w:sz w:val="18"/>
                <w:szCs w:val="18"/>
                <w:b w:val="1"/>
                <w:bCs w:val="1"/>
                <w:color w:val="auto"/>
              </w:rPr>
              <w:t>Intangibles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GAAP</w:t>
            </w:r>
          </w:p>
        </w:tc>
        <w:tc>
          <w:tcPr>
            <w:tcW w:w="22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compensation</w:t>
            </w:r>
          </w:p>
        </w:tc>
        <w:tc>
          <w:tcPr>
            <w:tcW w:w="170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w w:val="89"/>
              </w:rPr>
              <w:t>and other expenses</w:t>
            </w:r>
          </w:p>
        </w:tc>
        <w:tc>
          <w:tcPr>
            <w:tcW w:w="280" w:type="dxa"/>
            <w:vAlign w:val="bottom"/>
          </w:tcPr>
          <w:p>
            <w:pPr>
              <w:spacing w:after="0"/>
              <w:rPr>
                <w:sz w:val="19"/>
                <w:szCs w:val="19"/>
                <w:color w:val="auto"/>
              </w:rPr>
            </w:pPr>
          </w:p>
        </w:tc>
        <w:tc>
          <w:tcPr>
            <w:tcW w:w="1480" w:type="dxa"/>
            <w:vAlign w:val="bottom"/>
          </w:tcPr>
          <w:p>
            <w:pPr>
              <w:jc w:val="right"/>
              <w:ind w:right="291"/>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19"/>
                <w:szCs w:val="19"/>
                <w:color w:val="auto"/>
              </w:rPr>
            </w:pPr>
          </w:p>
        </w:tc>
        <w:tc>
          <w:tcPr>
            <w:tcW w:w="1320" w:type="dxa"/>
            <w:vAlign w:val="bottom"/>
          </w:tcPr>
          <w:p>
            <w:pPr>
              <w:jc w:val="right"/>
              <w:ind w:right="251"/>
              <w:spacing w:after="0"/>
              <w:rPr>
                <w:sz w:val="20"/>
                <w:szCs w:val="20"/>
                <w:color w:val="auto"/>
              </w:rPr>
            </w:pPr>
            <w:r>
              <w:rPr>
                <w:rFonts w:ascii="Arial" w:cs="Arial" w:eastAsia="Arial" w:hAnsi="Arial"/>
                <w:sz w:val="18"/>
                <w:szCs w:val="18"/>
                <w:b w:val="1"/>
                <w:bCs w:val="1"/>
                <w:color w:val="auto"/>
              </w:rPr>
              <w:t>Non-GAAP</w:t>
            </w:r>
          </w:p>
        </w:tc>
      </w:tr>
      <w:tr>
        <w:trPr>
          <w:trHeight w:val="28"/>
        </w:trPr>
        <w:tc>
          <w:tcPr>
            <w:tcW w:w="2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9"/>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Cost of revenue</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(0.9)</w:t>
            </w:r>
          </w:p>
        </w:tc>
        <w:tc>
          <w:tcPr>
            <w:tcW w:w="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97.3</w:t>
            </w: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25.6 %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8"/>
        </w:trPr>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0.9</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304.2</w:t>
            </w: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74.4 %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0.2 %</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75.8%</w:t>
            </w:r>
          </w:p>
        </w:tc>
      </w:tr>
      <w:tr>
        <w:trPr>
          <w:trHeight w:val="28"/>
        </w:trPr>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120.6</w:t>
            </w: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3"/>
              </w:rPr>
              <w:t>Research and development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40.4 %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8"/>
        </w:trPr>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97.1</w:t>
            </w: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8"/>
        </w:trPr>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46.0</w:t>
            </w: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5"/>
              </w:rPr>
              <w:t>General and administrative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i w:val="1"/>
                <w:iCs w:val="1"/>
                <w:color w:val="auto"/>
              </w:rPr>
              <w:t>— %</w:t>
            </w:r>
          </w:p>
        </w:tc>
        <w:tc>
          <w:tcPr>
            <w:tcW w:w="28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8"/>
        </w:trPr>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40.5</w:t>
            </w: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1.0 %</w:t>
            </w:r>
          </w:p>
        </w:tc>
        <w:tc>
          <w:tcPr>
            <w:tcW w:w="28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0.5 %</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w:t>
            </w:r>
          </w:p>
        </w:tc>
      </w:tr>
    </w:tbl>
    <w:p>
      <w:pPr>
        <w:sectPr>
          <w:pgSz w:w="11900" w:h="16838" w:orient="portrait"/>
          <w:cols w:equalWidth="0" w:num="1">
            <w:col w:w="11180"/>
          </w:cols>
          <w:pgMar w:left="360" w:top="542" w:right="35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Six months ended June 30, 2020</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Stock-based</w:t>
            </w: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rPr>
              <w:t>Acquisition-related</w:t>
            </w:r>
          </w:p>
        </w:tc>
        <w:tc>
          <w:tcPr>
            <w:tcW w:w="2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Intangibles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GAAP</w:t>
            </w:r>
          </w:p>
        </w:tc>
        <w:tc>
          <w:tcPr>
            <w:tcW w:w="20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compensation</w:t>
            </w: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w w:val="96"/>
              </w:rPr>
              <w:t>and other expenses</w:t>
            </w:r>
          </w:p>
        </w:tc>
        <w:tc>
          <w:tcPr>
            <w:tcW w:w="220" w:type="dxa"/>
            <w:vAlign w:val="bottom"/>
          </w:tcPr>
          <w:p>
            <w:pPr>
              <w:spacing w:after="0"/>
              <w:rPr>
                <w:sz w:val="19"/>
                <w:szCs w:val="19"/>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amortization</w:t>
            </w:r>
          </w:p>
        </w:tc>
        <w:tc>
          <w:tcPr>
            <w:tcW w:w="220" w:type="dxa"/>
            <w:vAlign w:val="bottom"/>
          </w:tcPr>
          <w:p>
            <w:pPr>
              <w:spacing w:after="0"/>
              <w:rPr>
                <w:sz w:val="19"/>
                <w:szCs w:val="19"/>
                <w:color w:val="auto"/>
              </w:rPr>
            </w:pPr>
          </w:p>
        </w:tc>
        <w:tc>
          <w:tcPr>
            <w:tcW w:w="1340" w:type="dxa"/>
            <w:vAlign w:val="bottom"/>
          </w:tcPr>
          <w:p>
            <w:pPr>
              <w:jc w:val="right"/>
              <w:ind w:right="251"/>
              <w:spacing w:after="0"/>
              <w:rPr>
                <w:sz w:val="20"/>
                <w:szCs w:val="20"/>
                <w:color w:val="auto"/>
              </w:rPr>
            </w:pPr>
            <w:r>
              <w:rPr>
                <w:rFonts w:ascii="Arial" w:cs="Arial" w:eastAsia="Arial" w:hAnsi="Arial"/>
                <w:sz w:val="18"/>
                <w:szCs w:val="18"/>
                <w:b w:val="1"/>
                <w:bCs w:val="1"/>
                <w:color w:val="auto"/>
              </w:rPr>
              <w:t>Non-GAAP</w:t>
            </w:r>
          </w:p>
        </w:tc>
      </w:tr>
      <w:tr>
        <w:trPr>
          <w:trHeight w:val="28"/>
        </w:trPr>
        <w:tc>
          <w:tcPr>
            <w:tcW w:w="2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9"/>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Cost of revenue</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195.6</w:t>
            </w:r>
          </w:p>
        </w:tc>
      </w:tr>
      <w:tr>
        <w:trPr>
          <w:trHeight w:val="238"/>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8"/>
        </w:trPr>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6"/>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726.8</w:t>
            </w:r>
          </w:p>
        </w:tc>
      </w:tr>
      <w:tr>
        <w:trPr>
          <w:trHeight w:val="238"/>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8"/>
        </w:trPr>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6"/>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274.9</w:t>
            </w:r>
          </w:p>
        </w:tc>
      </w:tr>
      <w:tr>
        <w:trPr>
          <w:trHeight w:val="238"/>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w w:val="94"/>
              </w:rPr>
              <w:t>Research and development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8"/>
        </w:trPr>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6"/>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188.2</w:t>
            </w:r>
          </w:p>
        </w:tc>
      </w:tr>
      <w:tr>
        <w:trPr>
          <w:trHeight w:val="238"/>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8"/>
        </w:trPr>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6"/>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94.4</w:t>
            </w:r>
          </w:p>
        </w:tc>
      </w:tr>
      <w:tr>
        <w:trPr>
          <w:trHeight w:val="238"/>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w w:val="95"/>
              </w:rPr>
              <w:t>General and administrative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8"/>
        </w:trPr>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6"/>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169.3</w:t>
            </w:r>
          </w:p>
        </w:tc>
      </w:tr>
      <w:tr>
        <w:trPr>
          <w:trHeight w:val="238"/>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12.6 %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w:t>
            </w:r>
          </w:p>
        </w:tc>
      </w:tr>
    </w:tbl>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Six months ended June 30, 2019</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Stock-based</w:t>
            </w: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rPr>
              <w:t>Acquisition-related</w:t>
            </w:r>
          </w:p>
        </w:tc>
        <w:tc>
          <w:tcPr>
            <w:tcW w:w="220" w:type="dxa"/>
            <w:vAlign w:val="bottom"/>
          </w:tcPr>
          <w:p>
            <w:pPr>
              <w:spacing w:after="0"/>
              <w:rPr>
                <w:sz w:val="18"/>
                <w:szCs w:val="18"/>
                <w:color w:val="auto"/>
              </w:rPr>
            </w:pPr>
          </w:p>
        </w:tc>
        <w:tc>
          <w:tcPr>
            <w:tcW w:w="1480" w:type="dxa"/>
            <w:vAlign w:val="bottom"/>
          </w:tcPr>
          <w:p>
            <w:pPr>
              <w:jc w:val="right"/>
              <w:ind w:right="371"/>
              <w:spacing w:after="0"/>
              <w:rPr>
                <w:sz w:val="20"/>
                <w:szCs w:val="20"/>
                <w:color w:val="auto"/>
              </w:rPr>
            </w:pPr>
            <w:r>
              <w:rPr>
                <w:rFonts w:ascii="Arial" w:cs="Arial" w:eastAsia="Arial" w:hAnsi="Arial"/>
                <w:sz w:val="18"/>
                <w:szCs w:val="18"/>
                <w:b w:val="1"/>
                <w:bCs w:val="1"/>
                <w:color w:val="auto"/>
              </w:rPr>
              <w:t>Intangibles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GAAP</w:t>
            </w:r>
          </w:p>
        </w:tc>
        <w:tc>
          <w:tcPr>
            <w:tcW w:w="22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compensation</w:t>
            </w:r>
          </w:p>
        </w:tc>
        <w:tc>
          <w:tcPr>
            <w:tcW w:w="1760" w:type="dxa"/>
            <w:vAlign w:val="bottom"/>
            <w:gridSpan w:val="3"/>
          </w:tcPr>
          <w:p>
            <w:pPr>
              <w:ind w:left="120"/>
              <w:spacing w:after="0"/>
              <w:rPr>
                <w:sz w:val="20"/>
                <w:szCs w:val="20"/>
                <w:color w:val="auto"/>
              </w:rPr>
            </w:pPr>
            <w:r>
              <w:rPr>
                <w:rFonts w:ascii="Arial" w:cs="Arial" w:eastAsia="Arial" w:hAnsi="Arial"/>
                <w:sz w:val="18"/>
                <w:szCs w:val="18"/>
                <w:b w:val="1"/>
                <w:bCs w:val="1"/>
                <w:color w:val="auto"/>
                <w:w w:val="95"/>
              </w:rPr>
              <w:t>and other expenses</w:t>
            </w:r>
          </w:p>
        </w:tc>
        <w:tc>
          <w:tcPr>
            <w:tcW w:w="220" w:type="dxa"/>
            <w:vAlign w:val="bottom"/>
          </w:tcPr>
          <w:p>
            <w:pPr>
              <w:spacing w:after="0"/>
              <w:rPr>
                <w:sz w:val="19"/>
                <w:szCs w:val="19"/>
                <w:color w:val="auto"/>
              </w:rPr>
            </w:pPr>
          </w:p>
        </w:tc>
        <w:tc>
          <w:tcPr>
            <w:tcW w:w="1480" w:type="dxa"/>
            <w:vAlign w:val="bottom"/>
          </w:tcPr>
          <w:p>
            <w:pPr>
              <w:jc w:val="right"/>
              <w:ind w:right="291"/>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19"/>
                <w:szCs w:val="19"/>
                <w:color w:val="auto"/>
              </w:rPr>
            </w:pPr>
          </w:p>
        </w:tc>
        <w:tc>
          <w:tcPr>
            <w:tcW w:w="1320" w:type="dxa"/>
            <w:vAlign w:val="bottom"/>
          </w:tcPr>
          <w:p>
            <w:pPr>
              <w:jc w:val="right"/>
              <w:ind w:right="251"/>
              <w:spacing w:after="0"/>
              <w:rPr>
                <w:sz w:val="20"/>
                <w:szCs w:val="20"/>
                <w:color w:val="auto"/>
              </w:rPr>
            </w:pPr>
            <w:r>
              <w:rPr>
                <w:rFonts w:ascii="Arial" w:cs="Arial" w:eastAsia="Arial" w:hAnsi="Arial"/>
                <w:sz w:val="18"/>
                <w:szCs w:val="18"/>
                <w:b w:val="1"/>
                <w:bCs w:val="1"/>
                <w:color w:val="auto"/>
              </w:rPr>
              <w:t>Non-GAAP</w:t>
            </w:r>
          </w:p>
        </w:tc>
      </w:tr>
      <w:tr>
        <w:trPr>
          <w:trHeight w:val="28"/>
        </w:trPr>
        <w:tc>
          <w:tcPr>
            <w:tcW w:w="2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9"/>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Cost of revenue</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192.1</w:t>
            </w: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25.6 %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8"/>
        </w:trPr>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585.8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595.0</w:t>
            </w: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74.4 %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0.2 %</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8"/>
        </w:trPr>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237.8</w:t>
            </w: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3"/>
              </w:rPr>
              <w:t>Research and development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39.7 %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8"/>
        </w:trPr>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190.7</w:t>
            </w: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8"/>
        </w:trPr>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87.0</w:t>
            </w: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5"/>
              </w:rPr>
              <w:t>General and administrative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8"/>
        </w:trPr>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79.5</w:t>
            </w: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0.5 %</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w:t>
            </w:r>
          </w:p>
        </w:tc>
      </w:tr>
    </w:tbl>
    <w:p>
      <w:pPr>
        <w:sectPr>
          <w:pgSz w:w="11900" w:h="16838" w:orient="portrait"/>
          <w:cols w:equalWidth="0" w:num="1">
            <w:col w:w="11180"/>
          </w:cols>
          <w:pgMar w:left="360" w:top="542"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Three and six months ended June 30,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net income (loss) to Non-GAAP net income and Non-GAAP diluted net income per share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2720" w:type="dxa"/>
            <w:vAlign w:val="bottom"/>
            <w:gridSpan w:val="4"/>
          </w:tcPr>
          <w:p>
            <w:pPr>
              <w:jc w:val="right"/>
              <w:ind w:right="171"/>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gridSpan w:val="4"/>
          </w:tcPr>
          <w:p>
            <w:pPr>
              <w:jc w:val="right"/>
              <w:ind w:right="81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00" w:type="dxa"/>
            <w:vAlign w:val="bottom"/>
            <w:gridSpan w:val="3"/>
          </w:tcPr>
          <w:p>
            <w:pPr>
              <w:jc w:val="right"/>
              <w:ind w:right="671"/>
              <w:spacing w:after="0"/>
              <w:rPr>
                <w:sz w:val="20"/>
                <w:szCs w:val="20"/>
                <w:color w:val="auto"/>
              </w:rPr>
            </w:pPr>
            <w:r>
              <w:rPr>
                <w:rFonts w:ascii="Arial" w:cs="Arial" w:eastAsia="Arial" w:hAnsi="Arial"/>
                <w:sz w:val="18"/>
                <w:szCs w:val="18"/>
                <w:b w:val="1"/>
                <w:bCs w:val="1"/>
                <w:color w:val="auto"/>
              </w:rPr>
              <w:t>June 30,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gridSpan w:val="3"/>
          </w:tcPr>
          <w:p>
            <w:pPr>
              <w:jc w:val="right"/>
              <w:ind w:right="91"/>
              <w:spacing w:after="0"/>
              <w:rPr>
                <w:sz w:val="20"/>
                <w:szCs w:val="20"/>
                <w:color w:val="auto"/>
              </w:rPr>
            </w:pPr>
            <w:r>
              <w:rPr>
                <w:rFonts w:ascii="Arial" w:cs="Arial" w:eastAsia="Arial" w:hAnsi="Arial"/>
                <w:sz w:val="18"/>
                <w:szCs w:val="18"/>
                <w:b w:val="1"/>
                <w:bCs w:val="1"/>
                <w:color w:val="auto"/>
              </w:rPr>
              <w:t>June 30,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8"/>
        </w:trPr>
        <w:tc>
          <w:tcPr>
            <w:tcW w:w="46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 (loss)</w:t>
            </w:r>
          </w:p>
        </w:tc>
        <w:tc>
          <w:tcPr>
            <w:tcW w:w="102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1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8"/>
        </w:trPr>
        <w:tc>
          <w:tcPr>
            <w:tcW w:w="46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and other expenses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8"/>
        </w:trPr>
        <w:tc>
          <w:tcPr>
            <w:tcW w:w="4620" w:type="dxa"/>
            <w:vAlign w:val="bottom"/>
          </w:tcPr>
          <w:p>
            <w:pPr>
              <w:ind w:left="40"/>
              <w:spacing w:after="0"/>
              <w:rPr>
                <w:sz w:val="20"/>
                <w:szCs w:val="20"/>
                <w:color w:val="auto"/>
              </w:rPr>
            </w:pPr>
            <w:r>
              <w:rPr>
                <w:rFonts w:ascii="Arial" w:cs="Arial" w:eastAsia="Arial" w:hAnsi="Arial"/>
                <w:sz w:val="18"/>
                <w:szCs w:val="18"/>
                <w:color w:val="auto"/>
              </w:rPr>
              <w:t>Amortization of acquired intangible assets</w:t>
            </w:r>
          </w:p>
        </w:tc>
        <w:tc>
          <w:tcPr>
            <w:tcW w:w="102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gains on equity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8"/>
        </w:trPr>
        <w:tc>
          <w:tcPr>
            <w:tcW w:w="4620" w:type="dxa"/>
            <w:vAlign w:val="bottom"/>
          </w:tcPr>
          <w:p>
            <w:pPr>
              <w:ind w:left="40"/>
              <w:spacing w:after="0"/>
              <w:rPr>
                <w:sz w:val="20"/>
                <w:szCs w:val="20"/>
                <w:color w:val="auto"/>
              </w:rPr>
            </w:pPr>
            <w:r>
              <w:rPr>
                <w:rFonts w:ascii="Arial" w:cs="Arial" w:eastAsia="Arial" w:hAnsi="Arial"/>
                <w:sz w:val="18"/>
                <w:szCs w:val="18"/>
                <w:color w:val="auto"/>
              </w:rPr>
              <w:t>Income tax effects of non-GAAP adjustments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8"/>
        </w:trPr>
        <w:tc>
          <w:tcPr>
            <w:tcW w:w="46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w:t>
            </w: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diluted net income per share</w:t>
            </w:r>
          </w:p>
        </w:tc>
        <w:tc>
          <w:tcPr>
            <w:tcW w:w="1020" w:type="dxa"/>
            <w:vAlign w:val="bottom"/>
            <w:tcBorders>
              <w:bottom w:val="single" w:sz="8" w:color="auto"/>
            </w:tcBorders>
          </w:tcPr>
          <w:p>
            <w:pPr>
              <w:jc w:val="right"/>
              <w:ind w:right="83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187"/>
        </w:trPr>
        <w:tc>
          <w:tcPr>
            <w:tcW w:w="4620" w:type="dxa"/>
            <w:vAlign w:val="bottom"/>
            <w:shd w:val="clear" w:color="auto" w:fill="CCEEFF"/>
          </w:tcPr>
          <w:p>
            <w:pPr>
              <w:ind w:left="40"/>
              <w:spacing w:after="0" w:line="187" w:lineRule="exact"/>
              <w:rPr>
                <w:sz w:val="20"/>
                <w:szCs w:val="20"/>
                <w:color w:val="auto"/>
              </w:rPr>
            </w:pPr>
            <w:r>
              <w:rPr>
                <w:rFonts w:ascii="Arial" w:cs="Arial" w:eastAsia="Arial" w:hAnsi="Arial"/>
                <w:sz w:val="18"/>
                <w:szCs w:val="18"/>
                <w:color w:val="auto"/>
                <w:w w:val="91"/>
              </w:rPr>
              <w:t>Weighted-average shares used to compute Non-GAAP diluted</w:t>
            </w:r>
          </w:p>
        </w:tc>
        <w:tc>
          <w:tcPr>
            <w:tcW w:w="102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97"/>
              </w:rPr>
              <w:t>420.5</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93"/>
              </w:rPr>
              <w:t>418.7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419.7</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r>
        <w:trPr>
          <w:trHeight w:val="231"/>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10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Three and six months ended June 30, 2020 and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free cash flow and supplemental cash flow disclosure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2720" w:type="dxa"/>
            <w:vAlign w:val="bottom"/>
            <w:gridSpan w:val="4"/>
          </w:tcPr>
          <w:p>
            <w:pPr>
              <w:jc w:val="right"/>
              <w:ind w:right="151"/>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gridSpan w:val="4"/>
          </w:tcPr>
          <w:p>
            <w:pPr>
              <w:jc w:val="right"/>
              <w:ind w:right="87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20" w:type="dxa"/>
            <w:vAlign w:val="bottom"/>
            <w:gridSpan w:val="3"/>
          </w:tcPr>
          <w:p>
            <w:pPr>
              <w:jc w:val="right"/>
              <w:ind w:right="631"/>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gridSpan w:val="3"/>
          </w:tcPr>
          <w:p>
            <w:pPr>
              <w:jc w:val="right"/>
              <w:ind w:right="91"/>
              <w:spacing w:after="0"/>
              <w:rPr>
                <w:sz w:val="20"/>
                <w:szCs w:val="20"/>
                <w:color w:val="auto"/>
              </w:rPr>
            </w:pPr>
            <w:r>
              <w:rPr>
                <w:rFonts w:ascii="Arial" w:cs="Arial" w:eastAsia="Arial" w:hAnsi="Arial"/>
                <w:sz w:val="18"/>
                <w:szCs w:val="18"/>
                <w:b w:val="1"/>
                <w:bCs w:val="1"/>
                <w:color w:val="auto"/>
              </w:rPr>
              <w:t>June 30,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4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ind w:right="55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8"/>
        </w:trPr>
        <w:tc>
          <w:tcPr>
            <w:tcW w:w="44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 reconciliation:</w:t>
            </w: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Pr>
          <w:p>
            <w:pPr>
              <w:jc w:val="right"/>
              <w:ind w:right="791"/>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91"/>
              <w:spacing w:after="0"/>
              <w:rPr>
                <w:sz w:val="20"/>
                <w:szCs w:val="20"/>
                <w:color w:val="auto"/>
              </w:rPr>
            </w:pPr>
            <w:r>
              <w:rPr>
                <w:rFonts w:ascii="Arial" w:cs="Arial" w:eastAsia="Arial" w:hAnsi="Arial"/>
                <w:sz w:val="18"/>
                <w:szCs w:val="18"/>
                <w:color w:val="auto"/>
                <w:w w:val="88"/>
              </w:rPr>
              <w:t>145.9</w:t>
            </w:r>
          </w:p>
        </w:tc>
        <w:tc>
          <w:tcPr>
            <w:tcW w:w="100" w:type="dxa"/>
            <w:vAlign w:val="bottom"/>
          </w:tcPr>
          <w:p>
            <w:pPr>
              <w:spacing w:after="0"/>
              <w:rPr>
                <w:sz w:val="20"/>
                <w:szCs w:val="20"/>
                <w:color w:val="auto"/>
              </w:rPr>
            </w:pPr>
          </w:p>
        </w:tc>
        <w:tc>
          <w:tcPr>
            <w:tcW w:w="1020" w:type="dxa"/>
            <w:vAlign w:val="bottom"/>
          </w:tcPr>
          <w:p>
            <w:pPr>
              <w:jc w:val="right"/>
              <w:ind w:right="811"/>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91"/>
              <w:spacing w:after="0"/>
              <w:rPr>
                <w:sz w:val="20"/>
                <w:szCs w:val="20"/>
                <w:color w:val="auto"/>
              </w:rPr>
            </w:pPr>
            <w:r>
              <w:rPr>
                <w:rFonts w:ascii="Arial" w:cs="Arial" w:eastAsia="Arial" w:hAnsi="Arial"/>
                <w:sz w:val="18"/>
                <w:szCs w:val="18"/>
                <w:color w:val="auto"/>
                <w:w w:val="88"/>
              </w:rPr>
              <w:t>128.8</w:t>
            </w:r>
          </w:p>
        </w:tc>
        <w:tc>
          <w:tcPr>
            <w:tcW w:w="12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20"/>
                <w:szCs w:val="20"/>
                <w:color w:val="auto"/>
              </w:rPr>
            </w:pP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8"/>
        </w:trPr>
        <w:tc>
          <w:tcPr>
            <w:tcW w:w="4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6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100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w w:val="97"/>
              </w:rPr>
              <w:t>(26.1)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w w:val="97"/>
              </w:rPr>
              <w:t>(33.7)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8"/>
        </w:trPr>
        <w:tc>
          <w:tcPr>
            <w:tcW w:w="44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00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88"/>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60" w:type="dxa"/>
            <w:vAlign w:val="bottom"/>
          </w:tcPr>
          <w:p>
            <w:pPr>
              <w:ind w:left="40"/>
              <w:spacing w:after="0"/>
              <w:rPr>
                <w:sz w:val="20"/>
                <w:szCs w:val="20"/>
                <w:color w:val="auto"/>
              </w:rPr>
            </w:pPr>
            <w:r>
              <w:rPr>
                <w:rFonts w:ascii="Arial" w:cs="Arial" w:eastAsia="Arial" w:hAnsi="Arial"/>
                <w:sz w:val="18"/>
                <w:szCs w:val="18"/>
                <w:i w:val="1"/>
                <w:iCs w:val="1"/>
                <w:color w:val="auto"/>
              </w:rPr>
              <w:t>Free cash flow margin</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8"/>
        </w:trPr>
        <w:tc>
          <w:tcPr>
            <w:tcW w:w="4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460" w:type="dxa"/>
            <w:vAlign w:val="bottom"/>
          </w:tcPr>
          <w:p>
            <w:pPr>
              <w:ind w:left="280"/>
              <w:spacing w:after="0"/>
              <w:rPr>
                <w:sz w:val="20"/>
                <w:szCs w:val="20"/>
                <w:color w:val="auto"/>
              </w:rPr>
            </w:pPr>
            <w:r>
              <w:rPr>
                <w:rFonts w:ascii="Arial" w:cs="Arial" w:eastAsia="Arial" w:hAnsi="Arial"/>
                <w:sz w:val="18"/>
                <w:szCs w:val="18"/>
                <w:color w:val="auto"/>
              </w:rPr>
              <w:t>Capital expenditures related to our new corporate</w:t>
            </w:r>
          </w:p>
        </w:tc>
        <w:tc>
          <w:tcPr>
            <w:tcW w:w="1000" w:type="dxa"/>
            <w:vAlign w:val="bottom"/>
            <w:vMerge w:val="restart"/>
          </w:tcPr>
          <w:p>
            <w:pPr>
              <w:jc w:val="right"/>
              <w:ind w:right="791"/>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ind w:right="9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020" w:type="dxa"/>
            <w:vAlign w:val="bottom"/>
            <w:vMerge w:val="restart"/>
          </w:tcPr>
          <w:p>
            <w:pPr>
              <w:jc w:val="right"/>
              <w:ind w:right="811"/>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ind w:right="9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360" w:type="dxa"/>
            <w:vAlign w:val="bottom"/>
            <w:vMerge w:val="restart"/>
          </w:tcPr>
          <w:p>
            <w:pPr>
              <w:jc w:val="right"/>
              <w:ind w:right="151"/>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1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460" w:type="dxa"/>
            <w:vAlign w:val="bottom"/>
            <w:vMerge w:val="restart"/>
          </w:tcPr>
          <w:p>
            <w:pPr>
              <w:jc w:val="right"/>
              <w:ind w:right="251"/>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9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80"/>
        </w:trPr>
        <w:tc>
          <w:tcPr>
            <w:tcW w:w="4460" w:type="dxa"/>
            <w:vAlign w:val="bottom"/>
            <w:tcBorders>
              <w:bottom w:val="single" w:sz="8" w:color="CCEEFF"/>
            </w:tcBorders>
          </w:tcPr>
          <w:p>
            <w:pPr>
              <w:ind w:left="280"/>
              <w:spacing w:after="0" w:line="240" w:lineRule="exact"/>
              <w:rPr>
                <w:sz w:val="20"/>
                <w:szCs w:val="20"/>
                <w:color w:val="auto"/>
              </w:rPr>
            </w:pPr>
            <w:r>
              <w:rPr>
                <w:rFonts w:ascii="Arial" w:cs="Arial" w:eastAsia="Arial" w:hAnsi="Arial"/>
                <w:sz w:val="18"/>
                <w:szCs w:val="18"/>
                <w:color w:val="auto"/>
                <w:w w:val="94"/>
              </w:rPr>
              <w:t>headquarters, net of tenant improvement allowances</w:t>
            </w:r>
            <w:r>
              <w:rPr>
                <w:rFonts w:ascii="Arial" w:cs="Arial" w:eastAsia="Arial" w:hAnsi="Arial"/>
                <w:sz w:val="24"/>
                <w:szCs w:val="24"/>
                <w:color w:val="auto"/>
                <w:w w:val="94"/>
                <w:vertAlign w:val="superscript"/>
              </w:rPr>
              <w:t>(1)</w:t>
            </w:r>
          </w:p>
        </w:tc>
        <w:tc>
          <w:tcPr>
            <w:tcW w:w="1000" w:type="dxa"/>
            <w:vAlign w:val="bottom"/>
            <w:tcBorders>
              <w:bottom w:val="single" w:sz="8" w:color="auto"/>
            </w:tcBorders>
            <w:vMerge w:val="continue"/>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460" w:type="dxa"/>
            <w:vAlign w:val="bottom"/>
            <w:shd w:val="clear" w:color="auto" w:fill="CCEEFF"/>
          </w:tcPr>
          <w:p>
            <w:pPr>
              <w:ind w:left="280"/>
              <w:spacing w:after="0" w:line="178" w:lineRule="exact"/>
              <w:rPr>
                <w:sz w:val="20"/>
                <w:szCs w:val="20"/>
                <w:color w:val="auto"/>
              </w:rPr>
            </w:pPr>
            <w:r>
              <w:rPr>
                <w:rFonts w:ascii="Arial" w:cs="Arial" w:eastAsia="Arial" w:hAnsi="Arial"/>
                <w:sz w:val="18"/>
                <w:szCs w:val="18"/>
                <w:color w:val="auto"/>
              </w:rPr>
              <w:t>Key employee holdback payments related to the</w:t>
            </w:r>
          </w:p>
        </w:tc>
        <w:tc>
          <w:tcPr>
            <w:tcW w:w="1000" w:type="dxa"/>
            <w:vAlign w:val="bottom"/>
            <w:vMerge w:val="restart"/>
            <w:shd w:val="clear" w:color="auto" w:fill="CCEEFF"/>
          </w:tcPr>
          <w:p>
            <w:pPr>
              <w:jc w:val="right"/>
              <w:ind w:right="791"/>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811"/>
              <w:spacing w:after="0"/>
              <w:rPr>
                <w:sz w:val="20"/>
                <w:szCs w:val="20"/>
                <w:color w:val="auto"/>
              </w:rPr>
            </w:pPr>
            <w:r>
              <w:rPr>
                <w:rFonts w:ascii="Arial" w:cs="Arial" w:eastAsia="Arial" w:hAnsi="Arial"/>
                <w:sz w:val="18"/>
                <w:szCs w:val="18"/>
                <w:color w:val="auto"/>
                <w:w w:val="99"/>
              </w:rPr>
              <w:t>$</w:t>
            </w:r>
          </w:p>
        </w:tc>
        <w:tc>
          <w:tcPr>
            <w:tcW w:w="7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4460" w:type="dxa"/>
            <w:vAlign w:val="bottom"/>
            <w:shd w:val="clear" w:color="auto" w:fill="CCEEFF"/>
          </w:tcPr>
          <w:p>
            <w:pPr>
              <w:ind w:left="280"/>
              <w:spacing w:after="0" w:line="240" w:lineRule="exact"/>
              <w:rPr>
                <w:sz w:val="20"/>
                <w:szCs w:val="20"/>
                <w:color w:val="auto"/>
              </w:rPr>
            </w:pPr>
            <w:r>
              <w:rPr>
                <w:rFonts w:ascii="Arial" w:cs="Arial" w:eastAsia="Arial" w:hAnsi="Arial"/>
                <w:sz w:val="18"/>
                <w:szCs w:val="18"/>
                <w:color w:val="auto"/>
              </w:rPr>
              <w:t>acquisition of HelloSign</w:t>
            </w:r>
            <w:r>
              <w:rPr>
                <w:rFonts w:ascii="Arial" w:cs="Arial" w:eastAsia="Arial" w:hAnsi="Arial"/>
                <w:sz w:val="24"/>
                <w:szCs w:val="24"/>
                <w:color w:val="auto"/>
                <w:vertAlign w:val="superscript"/>
              </w:rPr>
              <w:t>(2)</w:t>
            </w:r>
          </w:p>
        </w:tc>
        <w:tc>
          <w:tcPr>
            <w:tcW w:w="1000" w:type="dxa"/>
            <w:vAlign w:val="bottom"/>
            <w:vMerge w:val="continue"/>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440" w:firstLine="6"/>
        <w:spacing w:after="0" w:line="262" w:lineRule="auto"/>
        <w:tabs>
          <w:tab w:leader="none" w:pos="164"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Capital expenditures include cash outflows related to the build-out of our new corporate headquarters in San Francisco, CA. Net cash provided by operating activities include tenant improvement allowances related to our new corporate headquarters, and represents cash received from our landlord to partially offset this build-out. These amounts are presented net in the table above.</w:t>
      </w:r>
    </w:p>
    <w:p>
      <w:pPr>
        <w:spacing w:after="0" w:line="180" w:lineRule="exact"/>
        <w:rPr>
          <w:rFonts w:ascii="Arial" w:cs="Arial" w:eastAsia="Arial" w:hAnsi="Arial"/>
          <w:sz w:val="19"/>
          <w:szCs w:val="19"/>
          <w:color w:val="auto"/>
          <w:vertAlign w:val="superscript"/>
        </w:rPr>
      </w:pPr>
    </w:p>
    <w:p>
      <w:pPr>
        <w:ind w:right="80" w:firstLine="6"/>
        <w:spacing w:after="0" w:line="262" w:lineRule="auto"/>
        <w:tabs>
          <w:tab w:leader="none" w:pos="164"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As part of our acquisition of HelloSign in 2019, we have employee holdback agreements with key HelloSign personnel consisting of $48.5 million in cash payments subject to on-going employee service. The related expenses are recognized within research and development expenses over the required service period of three years. The payments began in the first quarter of 2020, and will be paid evenly in quarterly installments over the remaining required service period.</w:t>
      </w:r>
    </w:p>
    <w:p>
      <w:pPr>
        <w:sectPr>
          <w:pgSz w:w="11900" w:h="16838" w:orient="portrait"/>
          <w:cols w:equalWidth="0" w:num="1">
            <w:col w:w="11240"/>
          </w:cols>
          <w:pgMar w:left="320" w:top="54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About Non-GAAP Financial Measures</w:t>
      </w:r>
    </w:p>
    <w:p>
      <w:pPr>
        <w:spacing w:after="0" w:line="224"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To provide investors and others with additional information regarding Dropbox's results, we have disclosed the following non-GAAP financial measures: including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differs from GAAP in that they exclude stock-based compensation expense, amortization of acquired intangible assets, and other acquisition-related expenses, which include third-party diligence costs and expenses related to key employee holdback agreements. Non-GAAP net income also excludes net gains and losses on equity investments, and includes the income tax effect of the aforementioned adjustments, including the tax effects of acquired intangible assets. FCF differs from GAAP net cash provided by operating activities in that it treats capital expenditures as a reduction to net cash provided by operating activities. Free cash flow margin is calculated as FCF divided by revenue. Non-GAAP diluted net income per share differs from GAAP diluted net loss per share in that the numerator utilizes the non-GAAP net income as described above, and the weighted average shares used in the computation include certain shares that are excluded from the GAAP diluted net loss per share calculation because their effect would have been anti-dilutive. For periods that we are in a GAAP net income position, the weighted average shares used in the computation are the same as the shares used in our non-GAAP diluted net income per share computation. In order to present revenue on a constant currency basis for the quarter ended June 30, 2020,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spacing w:after="0" w:line="372"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19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18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related to our new corporate headquarters, and may be calculated differently by other companies in our industry, limiting its usefulness as a comparative measure.</w:t>
      </w:r>
    </w:p>
    <w:p>
      <w:pPr>
        <w:spacing w:after="0" w:line="18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compensates for these limitations by reconciling the non-GAAP financial measures to the most comparable GAAP financial measures. Additionally, we have provided supplemental disclosures in our reconciliation of net cash provided by operating activities to free cash flow to include capital expenditures related to our new corporate headquarters, net of tenant improvement allowances and key employee holdback payments related to the acquisition of HelloSign. These non-GAAP financial measures should be considered in addition to, not as a substitute for or in isolation from, measures prepared in accordance with GAAP. Further, these non-GAAP measures may differ from the</w:t>
      </w:r>
    </w:p>
    <w:p>
      <w:pPr>
        <w:sectPr>
          <w:pgSz w:w="11900" w:h="16838" w:orient="portrait"/>
          <w:cols w:equalWidth="0" w:num="1">
            <w:col w:w="11240"/>
          </w:cols>
          <w:pgMar w:left="320" w:top="1290" w:right="339" w:bottom="1440" w:gutter="0" w:footer="0" w:header="0"/>
        </w:sectPr>
      </w:pPr>
    </w:p>
    <w:bookmarkStart w:id="14" w:name="page15"/>
    <w:bookmarkEnd w:id="14"/>
    <w:p>
      <w:pPr>
        <w:spacing w:after="0" w:line="265" w:lineRule="auto"/>
        <w:rPr>
          <w:sz w:val="20"/>
          <w:szCs w:val="20"/>
          <w:color w:val="auto"/>
        </w:rPr>
      </w:pPr>
      <w:r>
        <w:rPr>
          <w:rFonts w:ascii="Arial" w:cs="Arial" w:eastAsia="Arial" w:hAnsi="Arial"/>
          <w:sz w:val="18"/>
          <w:szCs w:val="18"/>
          <w:color w:val="auto"/>
        </w:rPr>
        <w:t>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100"/>
          </w:cols>
          <w:pgMar w:left="320" w:top="552"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Lev Finkelstein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ir@dropbox.com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Tessa Chen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press@dropbox.com</w:t>
      </w:r>
    </w:p>
    <w:p>
      <w:pPr>
        <w:sectPr>
          <w:pgSz w:w="11900" w:h="16838" w:orient="portrait"/>
          <w:cols w:equalWidth="0" w:num="1">
            <w:col w:w="10139"/>
          </w:cols>
          <w:pgMar w:left="320" w:top="546" w:right="1440"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99.2</w:t>
      </w:r>
    </w:p>
    <w:p>
      <w:pPr>
        <w:spacing w:after="0" w:line="15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Thank you, Ajay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Today, we’re sharing the news that after nearly a decade at the company, our CFO, Ajay Vashee, is leaving Dropbox.</w:t>
      </w:r>
    </w:p>
    <w:p>
      <w:pPr>
        <w:spacing w:after="0" w:line="218" w:lineRule="exact"/>
        <w:rPr>
          <w:sz w:val="20"/>
          <w:szCs w:val="20"/>
          <w:color w:val="auto"/>
        </w:rPr>
      </w:pPr>
    </w:p>
    <w:p>
      <w:pPr>
        <w:jc w:val="both"/>
        <w:ind w:right="80"/>
        <w:spacing w:after="0" w:line="278" w:lineRule="auto"/>
        <w:rPr>
          <w:sz w:val="20"/>
          <w:szCs w:val="20"/>
          <w:color w:val="auto"/>
        </w:rPr>
      </w:pPr>
      <w:r>
        <w:rPr>
          <w:rFonts w:ascii="Arial" w:cs="Arial" w:eastAsia="Arial" w:hAnsi="Arial"/>
          <w:sz w:val="17"/>
          <w:szCs w:val="17"/>
          <w:color w:val="auto"/>
        </w:rPr>
        <w:t>It’s always difficult to say goodbye to people who have been such a critical part of our culture, and Ajay is no different. He’s seen the company through some of our biggest milestones, from our early funding rounds to our IPO in 2018. In Ajay’s time here, he built a foundation of operational discipline, ensuring we continue to run as a strong public company, and led us to our first quarter of GAAP profitability earlier this year.</w:t>
      </w:r>
    </w:p>
    <w:p>
      <w:pPr>
        <w:spacing w:after="0" w:line="17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strength of the finance organization Ajay leaves behind is a testament to his leadership. Inside Dropbox, he’s known for the trust and mentorship he shows his team, and his authenticity and transparent communication style. He was the beloved executive sponsor for our LGBTQ employee resource group, Pridebox, and never hesitated to use his voice to make a positive impact. Ajay built the finance organization from the ground up, hiring our first leaders in strategic finance, IR, corporate development, and accounting.</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We’re excited to share that one of those hires, our current Chief Accounting Officer Tim Regan, will be our new CFO. In his nearly four years at Dropbox, Tim has demonstrated exceptional leadership, discipline, and the operational skill needed to run our finance organization. Tim has over two decades of experience in finance prior to Dropbox, from his role as Controller at Pandora, to senior positions at Dolby and Ernst &amp; Young. We’re confident Dropbox is set up for success in his capable hands.</w:t>
      </w:r>
    </w:p>
    <w:p>
      <w:pPr>
        <w:spacing w:after="0" w:line="220" w:lineRule="exact"/>
        <w:rPr>
          <w:sz w:val="20"/>
          <w:szCs w:val="20"/>
          <w:color w:val="auto"/>
        </w:rPr>
      </w:pPr>
    </w:p>
    <w:p>
      <w:pPr>
        <w:ind w:right="160"/>
        <w:spacing w:after="0" w:line="440" w:lineRule="auto"/>
        <w:rPr>
          <w:sz w:val="20"/>
          <w:szCs w:val="20"/>
          <w:color w:val="auto"/>
        </w:rPr>
      </w:pPr>
      <w:r>
        <w:rPr>
          <w:rFonts w:ascii="Arial" w:cs="Arial" w:eastAsia="Arial" w:hAnsi="Arial"/>
          <w:sz w:val="15"/>
          <w:szCs w:val="15"/>
          <w:color w:val="auto"/>
        </w:rPr>
        <w:t>Ajay will remain at the company through mid-October to ensure a smooth transition. After Dropbox, he plans to spend more time with his family and young children, and explore options to return to venture investing, where his early career started. Good luck Ajay, we will miss you and wish you all the best!</w:t>
      </w:r>
    </w:p>
    <w:sectPr>
      <w:pgSz w:w="11900" w:h="16838" w:orient="portrait"/>
      <w:cols w:equalWidth="0" w:num="1">
        <w:col w:w="11240"/>
      </w:cols>
      <w:pgMar w:left="320" w:top="6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2020-08-06T15:38:46Z</dcterms:created>
  <dcterms:modified xsi:type="dcterms:W3CDTF">2020-08-06T15:38:46Z</dcterms:modified>
</cp:coreProperties>
</file>