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Form 8-K </w:t>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CURRENT REPORT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Pursuant to Section 13 or 15(d)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of the Securities Exchange Act of 1934</w: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May 19, 2022 </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Date of Report (date of earliest event reported)</w:t>
      </w:r>
    </w:p>
    <w:p>
      <w:pPr>
        <w:pStyle w:val="TextBody"/>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9464" w:type="dxa"/>
        <w:jc w:val="center"/>
        <w:tblInd w:w="0" w:type="dxa"/>
        <w:tblCellMar>
          <w:top w:w="28" w:type="dxa"/>
          <w:left w:w="28" w:type="dxa"/>
          <w:bottom w:w="28" w:type="dxa"/>
          <w:right w:w="28" w:type="dxa"/>
        </w:tblCellMar>
      </w:tblPr>
      <w:tblGrid>
        <w:gridCol w:w="1393"/>
        <w:gridCol w:w="1225"/>
        <w:gridCol w:w="1237"/>
        <w:gridCol w:w="792"/>
        <w:gridCol w:w="792"/>
        <w:gridCol w:w="800"/>
        <w:gridCol w:w="942"/>
        <w:gridCol w:w="942"/>
        <w:gridCol w:w="1341"/>
      </w:tblGrid>
      <w:tr>
        <w:trPr/>
        <w:tc>
          <w:tcPr>
            <w:tcW w:w="1393" w:type="dxa"/>
            <w:tcBorders/>
            <w:shd w:fill="auto" w:val="clear"/>
            <w:vAlign w:val="center"/>
          </w:tcPr>
          <w:p>
            <w:pPr>
              <w:pStyle w:val="TableContents"/>
              <w:spacing w:before="0" w:after="283"/>
              <w:rPr>
                <w:sz w:val="4"/>
                <w:szCs w:val="4"/>
              </w:rPr>
            </w:pPr>
            <w:r>
              <w:rPr>
                <w:sz w:val="4"/>
                <w:szCs w:val="4"/>
              </w:rPr>
            </w:r>
          </w:p>
        </w:tc>
        <w:tc>
          <w:tcPr>
            <w:tcW w:w="1225"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001-38434</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26-0138832</w:t>
            </w:r>
          </w:p>
        </w:tc>
      </w:tr>
      <w:tr>
        <w:trPr/>
        <w:tc>
          <w:tcPr>
            <w:tcW w:w="38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w:t>
            </w:r>
          </w:p>
        </w:tc>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2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 R. S. Employer Identification No.)</w:t>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857-6800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(Former name or former address, if changed since last report)</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spacing w:lineRule="auto" w:line="288" w:before="0" w:after="0"/>
        <w:rPr/>
      </w:pPr>
      <w:r>
        <w:rPr>
          <w:color w:val="000000"/>
        </w:rPr>
        <w:t>☐    </w:t>
      </w:r>
      <w:r>
        <w:rPr>
          <w:rFonts w:ascii="Times New Roman;sans-serif" w:hAnsi="Times New Roman;sans-serif"/>
          <w:b w:val="false"/>
          <w:color w:val="000000"/>
          <w:sz w:val="20"/>
        </w:rPr>
        <w:t>Written communications pursuant to Rule 425 under the Securities Act (17 CFR 230.425)</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Soliciting material pursuant to Rule 14a-12 under the Exchange Act (17 CFR 240.14a-12)</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14d-2(b) under the Exchange Act (17 CFR 240.14d-2(b))</w:t>
      </w:r>
    </w:p>
    <w:p>
      <w:pPr>
        <w:pStyle w:val="TextBody"/>
        <w:spacing w:before="0" w:after="0"/>
        <w:rPr/>
      </w:pPr>
      <w:r>
        <w:rPr/>
      </w:r>
    </w:p>
    <w:p>
      <w:pPr>
        <w:pStyle w:val="TextBody"/>
        <w:spacing w:lineRule="auto" w:line="288" w:before="0" w:after="0"/>
        <w:rPr/>
      </w:pPr>
      <w:r>
        <w:rPr>
          <w:color w:val="000000"/>
        </w:rPr>
        <w:t>☐    </w:t>
      </w:r>
      <w:r>
        <w:rPr>
          <w:rFonts w:ascii="Times New Roman;sans-serif" w:hAnsi="Times New Roman;sans-serif"/>
          <w:b w:val="false"/>
          <w:color w:val="000000"/>
          <w:sz w:val="20"/>
        </w:rPr>
        <w:t>Pre-commencement communications pursuant to Rule 13e-4(c) under the Exchange Act (17 CFR 240.13e-4(c))</w:t>
      </w:r>
    </w:p>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32" w:type="dxa"/>
        <w:jc w:val="center"/>
        <w:tblInd w:w="0" w:type="dxa"/>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Emerging growth company </w:t>
      </w:r>
      <w:r>
        <w:rPr>
          <w:color w:val="000000"/>
        </w:rPr>
        <w:t xml:space="preserve">☐ </w:t>
      </w:r>
    </w:p>
    <w:p>
      <w:pPr>
        <w:pStyle w:val="TextBody"/>
        <w:spacing w:lineRule="auto" w:line="288" w:before="120" w:after="283"/>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417" w:before="0" w:after="0"/>
        <w:rPr>
          <w:rFonts w:ascii="Times New Roman;sans-serif" w:hAnsi="Times New Roman;sans-serif"/>
          <w:b/>
          <w:color w:val="000000"/>
          <w:sz w:val="20"/>
        </w:rPr>
      </w:pPr>
      <w:r>
        <w:rPr>
          <w:rFonts w:ascii="Times New Roman;sans-serif" w:hAnsi="Times New Roman;sans-serif"/>
          <w:b/>
          <w:color w:val="000000"/>
          <w:sz w:val="20"/>
        </w:rPr>
        <w:t xml:space="preserve">Item 5.07     Submission of Matters to a Vote of Security Holders </w:t>
      </w:r>
    </w:p>
    <w:p>
      <w:pPr>
        <w:pStyle w:val="TextBody"/>
        <w:spacing w:before="0" w:after="0"/>
        <w:rPr/>
      </w:pPr>
      <w:r>
        <w:rPr/>
      </w:r>
    </w:p>
    <w:p>
      <w:pPr>
        <w:pStyle w:val="TextBody"/>
        <w:spacing w:lineRule="auto" w:line="288" w:before="0" w:after="0"/>
        <w:jc w:val="both"/>
        <w:rPr/>
      </w:pPr>
      <w:r>
        <w:rPr>
          <w:rFonts w:ascii="Times New Roman;sans-serif" w:hAnsi="Times New Roman;sans-serif"/>
          <w:b w:val="false"/>
          <w:color w:val="000000"/>
          <w:sz w:val="20"/>
        </w:rPr>
        <w:t xml:space="preserve">On May 19, 2022, at the 2022 Annual Meeting of Stockholders (the “Annual Meeting”) of Dropbox, Inc. (the “Company”), the Company’s stockholders voted upon the following proposals described in the Company’s definitive proxy statement filed with the Securities and Exchange Commission on April 5, 2022: (1) to elect eight directors to the Board of Directors of the Company; (2) to ratify the appointment of Ernst &amp; Young LLP, an independent registered public accounting firm, as auditors for the fiscal year ending December 31, 2022; and </w:t>
      </w:r>
      <w:r>
        <w:rPr>
          <w:rFonts w:ascii="Times New Roman;sans-serif" w:hAnsi="Times New Roman;sans-serif"/>
          <w:b w:val="false"/>
          <w:color w:val="000000"/>
          <w:sz w:val="20"/>
          <w:highlight w:val="white"/>
        </w:rPr>
        <w:t xml:space="preserve">(3) </w:t>
      </w:r>
      <w:r>
        <w:rPr>
          <w:rFonts w:ascii="Times New Roman;sans-serif" w:hAnsi="Times New Roman;sans-serif"/>
          <w:b w:val="false"/>
          <w:color w:val="000000"/>
          <w:sz w:val="20"/>
        </w:rPr>
        <w:t>to approve a non-binding advisory vote regarding executive compensation</w:t>
      </w:r>
      <w:r>
        <w:rPr>
          <w:rFonts w:ascii="Times New Roman;sans-serif" w:hAnsi="Times New Roman;sans-serif"/>
          <w:b w:val="false"/>
          <w:color w:val="000000"/>
          <w:sz w:val="20"/>
          <w:highlight w:val="white"/>
        </w:rPr>
        <w: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nominated directors were elected and the other proposals were approved by the required stockholder vote. The final voting results with respect to each proposal is as set forth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(1) Proposal for election of eight directors: </w:t>
      </w:r>
    </w:p>
    <w:tbl>
      <w:tblPr>
        <w:tblW w:w="6520" w:type="dxa"/>
        <w:jc w:val="center"/>
        <w:tblInd w:w="0" w:type="dxa"/>
        <w:tblCellMar>
          <w:top w:w="28" w:type="dxa"/>
          <w:left w:w="28" w:type="dxa"/>
          <w:bottom w:w="28" w:type="dxa"/>
          <w:right w:w="28" w:type="dxa"/>
        </w:tblCellMar>
      </w:tblPr>
      <w:tblGrid>
        <w:gridCol w:w="635"/>
        <w:gridCol w:w="557"/>
        <w:gridCol w:w="562"/>
        <w:gridCol w:w="428"/>
        <w:gridCol w:w="428"/>
        <w:gridCol w:w="435"/>
        <w:gridCol w:w="109"/>
        <w:gridCol w:w="109"/>
        <w:gridCol w:w="109"/>
        <w:gridCol w:w="378"/>
        <w:gridCol w:w="378"/>
        <w:gridCol w:w="385"/>
        <w:gridCol w:w="109"/>
        <w:gridCol w:w="109"/>
        <w:gridCol w:w="109"/>
        <w:gridCol w:w="492"/>
        <w:gridCol w:w="492"/>
        <w:gridCol w:w="696"/>
      </w:tblGrid>
      <w:tr>
        <w:trPr/>
        <w:tc>
          <w:tcPr>
            <w:tcW w:w="63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Withhold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Donald W. Blair</w:t>
            </w:r>
          </w:p>
        </w:tc>
        <w:tc>
          <w:tcPr>
            <w:tcW w:w="12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940,891,578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76,302,999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Lisa Campbell</w:t>
            </w:r>
          </w:p>
        </w:tc>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937,891,002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79,303,575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941,418,756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75,775,821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E. Jacobs</w:t>
            </w:r>
          </w:p>
        </w:tc>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908,647,448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108,547,129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 Mathew</w:t>
            </w:r>
          </w:p>
        </w:tc>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982,895,421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34,299,156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Abhay Parasnis</w:t>
            </w:r>
          </w:p>
        </w:tc>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1,016,443,623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750,954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Karen Peacock</w:t>
            </w:r>
          </w:p>
        </w:tc>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939,273,111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77,921,466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Michael Seibel</w:t>
            </w:r>
          </w:p>
        </w:tc>
        <w:tc>
          <w:tcPr>
            <w:tcW w:w="12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941,927,111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75,267,466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bl>
    <w:p>
      <w:pPr>
        <w:pStyle w:val="TextBody"/>
        <w:spacing w:before="7"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(2) Proposal to ratify Ernst &amp; Young LLP as auditors for the fiscal year ending December 31, 2022:</w:t>
      </w:r>
    </w:p>
    <w:p>
      <w:pPr>
        <w:pStyle w:val="TextBody"/>
        <w:spacing w:before="0" w:after="0"/>
        <w:rPr/>
      </w:pPr>
      <w:r>
        <w:rPr/>
      </w:r>
    </w:p>
    <w:tbl>
      <w:tblPr>
        <w:tblW w:w="3567" w:type="dxa"/>
        <w:jc w:val="left"/>
        <w:tblInd w:w="0" w:type="dxa"/>
        <w:tblCellMar>
          <w:top w:w="28" w:type="dxa"/>
          <w:left w:w="28" w:type="dxa"/>
          <w:bottom w:w="28" w:type="dxa"/>
          <w:right w:w="28" w:type="dxa"/>
        </w:tblCellMar>
      </w:tblPr>
      <w:tblGrid>
        <w:gridCol w:w="473"/>
        <w:gridCol w:w="413"/>
        <w:gridCol w:w="420"/>
        <w:gridCol w:w="109"/>
        <w:gridCol w:w="109"/>
        <w:gridCol w:w="109"/>
        <w:gridCol w:w="259"/>
        <w:gridCol w:w="259"/>
        <w:gridCol w:w="263"/>
        <w:gridCol w:w="109"/>
        <w:gridCol w:w="109"/>
        <w:gridCol w:w="109"/>
        <w:gridCol w:w="241"/>
        <w:gridCol w:w="241"/>
        <w:gridCol w:w="344"/>
      </w:tblGrid>
      <w:tr>
        <w:trPr/>
        <w:tc>
          <w:tcPr>
            <w:tcW w:w="47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1,044,734,784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947,869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176,301</w:t>
            </w:r>
          </w:p>
        </w:tc>
      </w:tr>
    </w:tbl>
    <w:p>
      <w:pPr>
        <w:pStyle w:val="TextBody"/>
        <w:spacing w:before="7" w:after="283"/>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Proposal to approve a non-binding advisory resolution on the compensation of the named executive officers of the Company: </w:t>
      </w:r>
    </w:p>
    <w:p>
      <w:pPr>
        <w:pStyle w:val="TextBody"/>
        <w:spacing w:before="7" w:after="283"/>
        <w:rPr/>
      </w:pPr>
      <w:r>
        <w:rPr/>
      </w:r>
    </w:p>
    <w:tbl>
      <w:tblPr>
        <w:tblW w:w="5679" w:type="dxa"/>
        <w:jc w:val="center"/>
        <w:tblInd w:w="0" w:type="dxa"/>
        <w:tblCellMar>
          <w:top w:w="28" w:type="dxa"/>
          <w:left w:w="28" w:type="dxa"/>
          <w:bottom w:w="28" w:type="dxa"/>
          <w:right w:w="28" w:type="dxa"/>
        </w:tblCellMar>
      </w:tblPr>
      <w:tblGrid>
        <w:gridCol w:w="473"/>
        <w:gridCol w:w="413"/>
        <w:gridCol w:w="420"/>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47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492"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Against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Abstain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Broker Non-Votes</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1,006,704,749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9,971,726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518,102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28,664,377</w:t>
            </w:r>
          </w:p>
        </w:tc>
      </w:tr>
    </w:tbl>
    <w:p>
      <w:pPr>
        <w:pStyle w:val="TextBody"/>
        <w:spacing w:before="7" w:after="283"/>
        <w:rPr/>
      </w:pPr>
      <w:r>
        <w:rPr/>
      </w:r>
    </w:p>
    <w:p>
      <w:pPr>
        <w:pStyle w:val="TextBody"/>
        <w:spacing w:before="7" w:after="283"/>
        <w:rPr/>
      </w:pPr>
      <w:r>
        <w:rPr/>
      </w:r>
    </w:p>
    <w:p>
      <w:pPr>
        <w:pStyle w:val="TextBody"/>
        <w:spacing w:before="93" w:after="283"/>
        <w:rPr/>
      </w:pPr>
      <w:r>
        <w:rPr/>
      </w:r>
    </w:p>
    <w:p>
      <w:pPr>
        <w:pStyle w:val="TextBody"/>
        <w:spacing w:lineRule="auto" w:line="417" w:before="0" w:after="0"/>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as amended, the Registrant has duly caused this report to be signed on its behalf by the undersigned hereunto duly authorized.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Dated: May 25, 2022</w:t>
      </w:r>
    </w:p>
    <w:p>
      <w:pPr>
        <w:pStyle w:val="TextBody"/>
        <w:spacing w:before="0" w:after="0"/>
        <w:rPr/>
      </w:pPr>
      <w:r>
        <w:rPr/>
      </w:r>
    </w:p>
    <w:p>
      <w:pPr>
        <w:pStyle w:val="TextBody"/>
        <w:spacing w:lineRule="auto" w:line="288" w:before="0" w:after="0"/>
        <w:jc w:val="center"/>
        <w:rPr>
          <w:color w:val="000000"/>
        </w:rPr>
      </w:pPr>
      <w:r>
        <w:rPr>
          <w:color w:val="000000"/>
        </w:rPr>
        <w:t>    </w:t>
      </w:r>
    </w:p>
    <w:tbl>
      <w:tblPr>
        <w:tblW w:w="1724" w:type="dxa"/>
        <w:jc w:val="center"/>
        <w:tblInd w:w="0" w:type="dxa"/>
        <w:tblCellMar>
          <w:top w:w="28" w:type="dxa"/>
          <w:left w:w="28" w:type="dxa"/>
          <w:bottom w:w="28" w:type="dxa"/>
          <w:right w:w="28" w:type="dxa"/>
        </w:tblCellMar>
      </w:tblPr>
      <w:tblGrid>
        <w:gridCol w:w="551"/>
        <w:gridCol w:w="484"/>
        <w:gridCol w:w="689"/>
      </w:tblGrid>
      <w:tr>
        <w:trPr/>
        <w:tc>
          <w:tcPr>
            <w:tcW w:w="55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Bart Volkmer</w:t>
            </w:r>
          </w:p>
        </w:tc>
      </w:tr>
      <w:tr>
        <w:trPr/>
        <w:tc>
          <w:tcPr>
            <w:tcW w:w="17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Bart Volkmer</w:t>
            </w:r>
          </w:p>
        </w:tc>
      </w:tr>
      <w:tr>
        <w:trPr/>
        <w:tc>
          <w:tcPr>
            <w:tcW w:w="17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Legal Officer</w:t>
            </w:r>
          </w:p>
        </w:tc>
      </w:tr>
    </w:tbl>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601</Words>
  <CharactersWithSpaces>3938</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