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4871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717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Vashee Ajay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7"/>
        <w:spacing w:after="0"/>
        <w:rPr>
          <w:sz w:val="20"/>
          <w:szCs w:val="20"/>
          <w:color w:val="auto"/>
        </w:rPr>
      </w:pPr>
      <w:r>
        <w:rPr>
          <w:rFonts w:ascii="Arial" w:cs="Arial" w:eastAsia="Arial" w:hAnsi="Arial"/>
          <w:sz w:val="17"/>
          <w:szCs w:val="17"/>
          <w:color w:val="0000FF"/>
        </w:rPr>
        <w:t>Chief Financial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6"/>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11/15/2018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3,306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23.56</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423,313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rPr>
              <w:t>4,215</w:t>
            </w:r>
            <w:r>
              <w:rPr>
                <w:rFonts w:ascii="Arial" w:cs="Arial" w:eastAsia="Arial" w:hAnsi="Arial"/>
                <w:sz w:val="22"/>
                <w:szCs w:val="22"/>
                <w:color w:val="008000"/>
                <w:vertAlign w:val="superscript"/>
              </w:rPr>
              <w:t>(1)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4,215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344,332</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11/15/2018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23.56</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B Common Stock, subject to the applicable vesting schedule through February 15, 2019. In the event the Reporting Person ceases to be a Service Provider, any then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11/19/2018</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2019-12-24T08:07:11Z</dcterms:created>
  <dcterms:modified xsi:type="dcterms:W3CDTF">2019-12-24T08:07:11Z</dcterms:modified>
</cp:coreProperties>
</file>