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May 9, 2024</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5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968" w:right="239" w:bottom="1440" w:gutter="0" w:footer="0" w:header="0"/>
        </w:sectPr>
      </w:pPr>
    </w:p>
    <w:p>
      <w:pPr>
        <w:spacing w:after="0" w:line="23"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7" w:lineRule="exact"/>
        <w:rPr>
          <w:sz w:val="24"/>
          <w:szCs w:val="24"/>
          <w:color w:val="auto"/>
        </w:rPr>
      </w:pPr>
    </w:p>
    <w:p>
      <w:pPr>
        <w:sectPr>
          <w:pgSz w:w="11900" w:h="16838" w:orient="portrait"/>
          <w:cols w:equalWidth="0" w:num="3">
            <w:col w:w="3860" w:space="720"/>
            <w:col w:w="2200" w:space="720"/>
            <w:col w:w="3840"/>
          </w:cols>
          <w:pgMar w:left="320" w:top="968"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968"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930-7766</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0" w:lineRule="exact"/>
        <w:rPr>
          <w:sz w:val="24"/>
          <w:szCs w:val="24"/>
          <w:color w:val="auto"/>
        </w:rPr>
      </w:pPr>
    </w:p>
    <w:p>
      <w:pPr>
        <w:spacing w:after="0" w:line="264" w:lineRule="exact"/>
        <w:rPr>
          <w:sz w:val="24"/>
          <w:szCs w:val="24"/>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90805</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61"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77"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306" w:lineRule="exact"/>
        <w:rPr>
          <w:sz w:val="24"/>
          <w:szCs w:val="24"/>
          <w:color w:val="auto"/>
        </w:rPr>
      </w:pPr>
    </w:p>
    <w:p>
      <w:pPr>
        <w:ind w:right="260"/>
        <w:spacing w:after="0" w:line="26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658495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68"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246"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On May 9, 2024, Dropbox, Inc. (“Dropbox” or the "Company") issued a press release and will hold a conference call announcing its financial results for the quarter ended March 31, 2024. A copy of the press release is attached as Exhibit 99.1 to this current report on Form 8-K and is incorporated by reference herein.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246" w:lineRule="exact"/>
        <w:rPr>
          <w:sz w:val="20"/>
          <w:szCs w:val="20"/>
          <w:color w:val="auto"/>
        </w:rPr>
      </w:pPr>
    </w:p>
    <w:p>
      <w:pPr>
        <w:ind w:right="260"/>
        <w:spacing w:after="0" w:line="304" w:lineRule="auto"/>
        <w:rPr>
          <w:sz w:val="20"/>
          <w:szCs w:val="20"/>
          <w:color w:val="auto"/>
        </w:rPr>
      </w:pPr>
      <w:r>
        <w:rPr>
          <w:rFonts w:ascii="Times New Roman" w:cs="Times New Roman" w:eastAsia="Times New Roman" w:hAnsi="Times New Roman"/>
          <w:sz w:val="17"/>
          <w:szCs w:val="17"/>
          <w:color w:val="auto"/>
        </w:rPr>
        <w:t>On May 9, 2024,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1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7"/>
          <w:szCs w:val="17"/>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4"/>
        </w:trPr>
        <w:tc>
          <w:tcPr>
            <w:tcW w:w="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79"/>
        </w:trPr>
        <w:tc>
          <w:tcPr>
            <w:tcW w:w="20" w:type="dxa"/>
            <w:vAlign w:val="bottom"/>
          </w:tcPr>
          <w:p>
            <w:pPr>
              <w:spacing w:after="0"/>
              <w:rPr>
                <w:sz w:val="15"/>
                <w:szCs w:val="15"/>
                <w:color w:val="auto"/>
              </w:rPr>
            </w:pPr>
          </w:p>
        </w:tc>
        <w:tc>
          <w:tcPr>
            <w:tcW w:w="1080" w:type="dxa"/>
            <w:vAlign w:val="bottom"/>
            <w:tcBorders>
              <w:top w:val="single" w:sz="8" w:color="auto"/>
            </w:tcBorders>
          </w:tcPr>
          <w:p>
            <w:pPr>
              <w:jc w:val="right"/>
              <w:ind w:right="292"/>
              <w:spacing w:after="0" w:line="17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60" w:type="dxa"/>
            <w:vAlign w:val="bottom"/>
            <w:tcBorders>
              <w:top w:val="single" w:sz="8" w:color="auto"/>
            </w:tcBorders>
            <w:gridSpan w:val="2"/>
          </w:tcPr>
          <w:p>
            <w:pPr>
              <w:spacing w:after="0" w:line="179" w:lineRule="exact"/>
              <w:rPr>
                <w:sz w:val="20"/>
                <w:szCs w:val="20"/>
                <w:color w:val="auto"/>
              </w:rPr>
            </w:pPr>
            <w:r>
              <w:rPr>
                <w:rFonts w:ascii="Times New Roman" w:cs="Times New Roman" w:eastAsia="Times New Roman" w:hAnsi="Times New Roman"/>
                <w:sz w:val="18"/>
                <w:szCs w:val="18"/>
                <w:color w:val="0000FF"/>
              </w:rPr>
              <w:t>Press Release entitled "Dropbox Announces Fiscal 2024 First Quarter Results" dated May 9, 2024</w:t>
            </w:r>
          </w:p>
        </w:tc>
        <w:tc>
          <w:tcPr>
            <w:tcW w:w="20" w:type="dxa"/>
            <w:vAlign w:val="bottom"/>
          </w:tcPr>
          <w:p>
            <w:pPr>
              <w:spacing w:after="0"/>
              <w:rPr>
                <w:sz w:val="15"/>
                <w:szCs w:val="15"/>
                <w:color w:val="auto"/>
              </w:rPr>
            </w:pPr>
          </w:p>
        </w:tc>
      </w:tr>
      <w:tr>
        <w:trPr>
          <w:trHeight w:val="1207"/>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960" w:type="dxa"/>
            <w:vAlign w:val="bottom"/>
            <w:tcBorders>
              <w:top w:val="single" w:sz="8" w:color="0000FF"/>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9, 2024</w:t>
      </w:r>
    </w:p>
    <w:p>
      <w:pPr>
        <w:spacing w:after="0" w:line="34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11430</wp:posOffset>
            </wp:positionV>
            <wp:extent cx="2780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Timothy J. Regan</w:t>
      </w:r>
    </w:p>
    <w:p>
      <w:pPr>
        <w:spacing w:after="0" w:line="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80"/>
          </w:cols>
          <w:pgMar w:left="320" w:top="875" w:right="499" w:bottom="1440" w:gutter="0" w:footer="0" w:header="0"/>
        </w:sectPr>
      </w:pPr>
    </w:p>
    <w:bookmarkStart w:id="3" w:name="page4"/>
    <w:bookmarkEnd w:id="3"/>
    <w:p>
      <w:pPr>
        <w:ind w:left="3900"/>
        <w:spacing w:after="0"/>
        <w:rPr>
          <w:sz w:val="20"/>
          <w:szCs w:val="20"/>
          <w:color w:val="auto"/>
        </w:rPr>
      </w:pPr>
      <w:r>
        <w:rPr>
          <w:rFonts w:ascii="Times New Roman" w:cs="Times New Roman" w:eastAsia="Times New Roman" w:hAnsi="Times New Roman"/>
          <w:sz w:val="18"/>
          <w:szCs w:val="18"/>
          <w:b w:val="1"/>
          <w:bCs w:val="1"/>
          <w:color w:val="auto"/>
        </w:rPr>
        <w:t>Dropbox Announces Fiscal 2024 First Quarter Results</w:t>
      </w:r>
    </w:p>
    <w:p>
      <w:pPr>
        <w:spacing w:after="0" w:line="246" w:lineRule="exact"/>
        <w:rPr>
          <w:sz w:val="20"/>
          <w:szCs w:val="20"/>
          <w:color w:val="auto"/>
        </w:rPr>
      </w:pPr>
    </w:p>
    <w:p>
      <w:pPr>
        <w:jc w:val="center"/>
        <w:ind w:left="360" w:right="1360"/>
        <w:spacing w:after="0" w:line="260" w:lineRule="auto"/>
        <w:rPr>
          <w:sz w:val="20"/>
          <w:szCs w:val="20"/>
          <w:color w:val="auto"/>
        </w:rPr>
      </w:pPr>
      <w:r>
        <w:rPr>
          <w:rFonts w:ascii="Times New Roman" w:cs="Times New Roman" w:eastAsia="Times New Roman" w:hAnsi="Times New Roman"/>
          <w:sz w:val="18"/>
          <w:szCs w:val="18"/>
          <w:color w:val="auto"/>
        </w:rPr>
        <w:t>First Quarter Revenue of $631.3 Million, up 3.3% year-over-year; on a constant currency basis, up 3.2% year-over-year GAAP Operating Margin of 22.7% and Non-GAAP Operating Margin of 36.5% Net Cash Provided by Operating Activities of $175.5 Million and Free Cash Flow of $166.3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SAN FRANCISCO, Calif. </w:t>
      </w:r>
      <w:r>
        <w:rPr>
          <w:rFonts w:ascii="Times New Roman" w:cs="Times New Roman" w:eastAsia="Times New Roman" w:hAnsi="Times New Roman"/>
          <w:sz w:val="18"/>
          <w:szCs w:val="18"/>
          <w:color w:val="auto"/>
        </w:rPr>
        <w:t>- May 9, 2024 - Dropbox, Inc. (NASDAQ: DBX), today announced financial results for its first quarter ended March 31, 2024.</w:t>
      </w:r>
    </w:p>
    <w:p>
      <w:pPr>
        <w:spacing w:after="0" w:line="246"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“In Q1, our core business delivered in-line revenue and better than anticipated profitability,” said Dropbox Co-Founder and Chief Executive Officer Drew Houston. “We recently announced a collection of product updates designed to make it even easier for our users to secure, organize and share their content across different devices, locations and platforms. Looking ahead, we’ll stay disciplined in our operations, while investing in growth initiatives focused on building AI powered product experiences to improve distributed work for our customers.”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Fiscal 2024 Results</w:t>
      </w:r>
    </w:p>
    <w:p>
      <w:pPr>
        <w:spacing w:after="0" w:line="246" w:lineRule="exact"/>
        <w:rPr>
          <w:sz w:val="20"/>
          <w:szCs w:val="20"/>
          <w:color w:val="auto"/>
        </w:rPr>
      </w:pPr>
    </w:p>
    <w:p>
      <w:pPr>
        <w:ind w:left="640" w:right="280" w:hanging="316"/>
        <w:spacing w:after="0" w:line="288" w:lineRule="auto"/>
        <w:tabs>
          <w:tab w:leader="none" w:pos="63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$631.3 million, an increase of 3.3% from the same period last year. On a constant currency basis, year-over-year growth would have been 3.2%.</w:t>
      </w:r>
      <w:r>
        <w:rPr>
          <w:rFonts w:ascii="Times New Roman" w:cs="Times New Roman" w:eastAsia="Times New Roman" w:hAnsi="Times New Roman"/>
          <w:sz w:val="22"/>
          <w:szCs w:val="22"/>
          <w:color w:val="auto"/>
          <w:vertAlign w:val="superscript"/>
        </w:rPr>
        <w:t>(1)</w:t>
      </w:r>
    </w:p>
    <w:p>
      <w:pPr>
        <w:spacing w:after="0" w:line="111" w:lineRule="exact"/>
        <w:rPr>
          <w:rFonts w:ascii="Times New Roman" w:cs="Times New Roman" w:eastAsia="Times New Roman" w:hAnsi="Times New Roman"/>
          <w:sz w:val="18"/>
          <w:szCs w:val="18"/>
          <w:color w:val="auto"/>
        </w:rPr>
      </w:pPr>
    </w:p>
    <w:p>
      <w:pPr>
        <w:ind w:left="640" w:right="140" w:hanging="316"/>
        <w:spacing w:after="0" w:line="288" w:lineRule="auto"/>
        <w:tabs>
          <w:tab w:leader="none" w:pos="63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ARR was $2.556 billion, an increase of 3.6% from the same period last year. On a constant currency basis, year-over-year growth would have been 2.8%.</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Utilizing the exchange rates set at the beginning of 2024, total ARR increased $15.6 million quarter-over-quarter.</w:t>
      </w:r>
    </w:p>
    <w:p>
      <w:pPr>
        <w:spacing w:after="0" w:line="111" w:lineRule="exact"/>
        <w:rPr>
          <w:rFonts w:ascii="Times New Roman" w:cs="Times New Roman" w:eastAsia="Times New Roman" w:hAnsi="Times New Roman"/>
          <w:sz w:val="18"/>
          <w:szCs w:val="18"/>
          <w:color w:val="auto"/>
        </w:rPr>
      </w:pPr>
    </w:p>
    <w:p>
      <w:pPr>
        <w:ind w:left="640" w:right="580" w:hanging="316"/>
        <w:spacing w:after="0" w:line="274" w:lineRule="auto"/>
        <w:tabs>
          <w:tab w:leader="none" w:pos="63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users was 18.16 million, as compared to 17.90 million for the same period last year. Average revenue per paying user was $139.59, as compared to $138.97 for the same period last year. Paying users increased 35,000 quarter-over-quarter.</w:t>
      </w:r>
    </w:p>
    <w:p>
      <w:pPr>
        <w:spacing w:after="0" w:line="190" w:lineRule="exact"/>
        <w:rPr>
          <w:rFonts w:ascii="Times New Roman" w:cs="Times New Roman" w:eastAsia="Times New Roman" w:hAnsi="Times New Roman"/>
          <w:sz w:val="18"/>
          <w:szCs w:val="18"/>
          <w:color w:val="auto"/>
        </w:rPr>
      </w:pPr>
    </w:p>
    <w:p>
      <w:pPr>
        <w:ind w:left="640" w:hanging="316"/>
        <w:spacing w:after="0" w:line="255" w:lineRule="auto"/>
        <w:tabs>
          <w:tab w:leader="none" w:pos="63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83.2%, as compared to 80.9% for the same period last year. Non-GAAP gross margin was 84.6%, as compared to 82.4% for the same period last year. Effective January 1, 2024, the Company increased the useful lives of certain infrastructure assets from four to five years due to recent technological advancements. In the first quarter of 2024, the change in useful life reduced depreciation expense in the amount of $10.4 million for assets that existed as of the effective date of the change and applying the revised estimated useful lives prospectively.</w:t>
      </w:r>
    </w:p>
    <w:p>
      <w:pPr>
        <w:spacing w:after="0" w:line="208" w:lineRule="exact"/>
        <w:rPr>
          <w:rFonts w:ascii="Times New Roman" w:cs="Times New Roman" w:eastAsia="Times New Roman" w:hAnsi="Times New Roman"/>
          <w:sz w:val="18"/>
          <w:szCs w:val="18"/>
          <w:color w:val="auto"/>
        </w:rPr>
      </w:pPr>
    </w:p>
    <w:p>
      <w:pPr>
        <w:ind w:left="640" w:right="160" w:hanging="316"/>
        <w:spacing w:after="0" w:line="274" w:lineRule="auto"/>
        <w:tabs>
          <w:tab w:leader="none" w:pos="63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margin was 22.7%, as compared to 13.8% for the same period last year. Non-GAAP operating margin was 36.5%, as compared to 28.6% for the same period last year.</w:t>
      </w:r>
    </w:p>
    <w:p>
      <w:pPr>
        <w:spacing w:after="0" w:line="190"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3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was $132.3 million, as compared to $69.0 million for the same period last year. Non-GAAP net income was $196.7 million, as compared to $146.1 million for the same period last year.</w:t>
      </w:r>
    </w:p>
    <w:p>
      <w:pPr>
        <w:spacing w:after="0" w:line="190"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$175.5 million, as compared to $139.9 million for the same period last year. Free cash flow was $166.3 million, as compared to $138.0 million for the same period last year.</w:t>
      </w:r>
    </w:p>
    <w:p>
      <w:pPr>
        <w:spacing w:after="0" w:line="190" w:lineRule="exact"/>
        <w:rPr>
          <w:rFonts w:ascii="Times New Roman" w:cs="Times New Roman" w:eastAsia="Times New Roman" w:hAnsi="Times New Roman"/>
          <w:sz w:val="18"/>
          <w:szCs w:val="18"/>
          <w:color w:val="auto"/>
        </w:rPr>
      </w:pPr>
    </w:p>
    <w:p>
      <w:pPr>
        <w:ind w:left="640" w:right="160" w:hanging="316"/>
        <w:spacing w:after="0" w:line="288" w:lineRule="auto"/>
        <w:tabs>
          <w:tab w:leader="none" w:pos="63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net income per share attributable to common stockholders was $0.39, as compared to $0.20 in the same period last year. Non-GAAP diluted net income per share attributable to common stockholders was $0.58, as compared to $0.42 in the same period last year.</w:t>
      </w:r>
      <w:r>
        <w:rPr>
          <w:rFonts w:ascii="Times New Roman" w:cs="Times New Roman" w:eastAsia="Times New Roman" w:hAnsi="Times New Roman"/>
          <w:sz w:val="22"/>
          <w:szCs w:val="22"/>
          <w:color w:val="auto"/>
          <w:vertAlign w:val="superscript"/>
        </w:rPr>
        <w:t>(3)</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short-term investments ended at $1.176 billion.</w:t>
      </w:r>
    </w:p>
    <w:p>
      <w:pPr>
        <w:spacing w:after="0" w:line="237" w:lineRule="exact"/>
        <w:rPr>
          <w:rFonts w:ascii="Times New Roman" w:cs="Times New Roman" w:eastAsia="Times New Roman" w:hAnsi="Times New Roman"/>
          <w:sz w:val="18"/>
          <w:szCs w:val="18"/>
          <w:color w:val="auto"/>
        </w:rPr>
      </w:pPr>
    </w:p>
    <w:p>
      <w:pPr>
        <w:ind w:left="160" w:hanging="154"/>
        <w:spacing w:after="0"/>
        <w:tabs>
          <w:tab w:leader="none" w:pos="160"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constant currency revenue growth rates by applying the prior period weighted average exchange rates to current period results.</w:t>
      </w:r>
    </w:p>
    <w:p>
      <w:pPr>
        <w:spacing w:after="0" w:line="216" w:lineRule="exact"/>
        <w:rPr>
          <w:rFonts w:ascii="Times New Roman" w:cs="Times New Roman" w:eastAsia="Times New Roman" w:hAnsi="Times New Roman"/>
          <w:sz w:val="19"/>
          <w:szCs w:val="19"/>
          <w:color w:val="auto"/>
          <w:vertAlign w:val="superscript"/>
        </w:rPr>
      </w:pPr>
    </w:p>
    <w:p>
      <w:pPr>
        <w:ind w:right="140" w:firstLine="6"/>
        <w:spacing w:after="0" w:line="281" w:lineRule="auto"/>
        <w:tabs>
          <w:tab w:leader="none" w:pos="146" w:val="left"/>
        </w:tabs>
        <w:numPr>
          <w:ilvl w:val="0"/>
          <w:numId w:val="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exchange rate to prior period results.</w:t>
      </w:r>
    </w:p>
    <w:p>
      <w:pPr>
        <w:spacing w:after="0" w:line="203" w:lineRule="exact"/>
        <w:rPr>
          <w:rFonts w:ascii="Times New Roman" w:cs="Times New Roman" w:eastAsia="Times New Roman" w:hAnsi="Times New Roman"/>
          <w:sz w:val="18"/>
          <w:szCs w:val="18"/>
          <w:color w:val="auto"/>
          <w:vertAlign w:val="superscript"/>
        </w:rPr>
      </w:pPr>
    </w:p>
    <w:p>
      <w:pPr>
        <w:ind w:right="20" w:firstLine="6"/>
        <w:spacing w:after="0" w:line="243" w:lineRule="auto"/>
        <w:tabs>
          <w:tab w:leader="none" w:pos="162" w:val="left"/>
        </w:tabs>
        <w:numPr>
          <w:ilvl w:val="0"/>
          <w:numId w:val="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GAAP and Non-GAAP diluted net income per share attributable to common stockholders is calculated based upon 340.7 million and 348.8 million diluted weighted-average shares of common stock for the three months ended March 31, 2024 and 2023, respectively.</w:t>
      </w:r>
    </w:p>
    <w:p>
      <w:pPr>
        <w:sectPr>
          <w:pgSz w:w="11900" w:h="16838" w:orient="portrait"/>
          <w:cols w:equalWidth="0" w:num="1">
            <w:col w:w="11220"/>
          </w:cols>
          <w:pgMar w:left="320" w:top="87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46"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 xml:space="preserve">Dropbox will provide forward-looking guidance in connection with this quarterly earnings announcement on its conference call, webcast, and on its investor relations website at </w:t>
      </w:r>
      <w:r>
        <w:rPr>
          <w:rFonts w:ascii="Times New Roman" w:cs="Times New Roman" w:eastAsia="Times New Roman" w:hAnsi="Times New Roman"/>
          <w:sz w:val="18"/>
          <w:szCs w:val="18"/>
          <w:u w:val="single" w:color="auto"/>
          <w:color w:val="auto"/>
        </w:rPr>
        <w:t>http://investors.dropbox.com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46"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Dropbox plans to host a conference call today to review its first quarter financial results and to discuss its financial outlook. This call is scheduled to begin at 2:00 p.m. PT / 5:00 p.m. ET and can be accessed by using the web link at http://investors.dropbox.com.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Upcoming Events</w:t>
      </w:r>
    </w:p>
    <w:p>
      <w:pPr>
        <w:spacing w:after="0" w:line="246"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 Regan, Chief Financial Officer, will be hosting meetings at the Jefferies Software Conference on Wednesday, May 29th, 2024.</w:t>
      </w:r>
    </w:p>
    <w:p>
      <w:pPr>
        <w:spacing w:after="0" w:line="244"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During these events, a live webcast will be accessible from the Dropbox investor relations website at http://investors.dropbox.com. Following the event, a replay will be made available at the same location.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Dropbox</w:t>
      </w:r>
    </w:p>
    <w:p>
      <w:pPr>
        <w:spacing w:after="0" w:line="24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Dropbox is the one place to keep life organized and keep work moving. With more than 700 million registered users across approximately 180 countries, we're on a mission to design a more enlightened way of working. Dropbox is headquartered in San Francisco, CA, and has employees around the world. For more information on our mission and products, visit </w:t>
      </w:r>
      <w:r>
        <w:rPr>
          <w:rFonts w:ascii="Times New Roman" w:cs="Times New Roman" w:eastAsia="Times New Roman" w:hAnsi="Times New Roman"/>
          <w:sz w:val="18"/>
          <w:szCs w:val="18"/>
          <w:u w:val="single" w:color="auto"/>
          <w:color w:val="auto"/>
        </w:rPr>
        <w:t>http://dropbox.com</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46"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6"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including, among other things, our expectations regarding distributed work and artificial intelligence and machine learning trends, related market opportunities and our ability to capitalize on those opportunities. Words such as "believe," "may," "will," "estimate," "continue," "anticipate," "intend," "expect," "plans," and similar expressions are intended to identify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risks, uncertainties, and assumptions including, but not limited to: (i) our ability to retain and upgrade paying users, and increase our recurring revenue; (ii) our ability to attract new users or convert registered users to paying users;</w:t>
      </w:r>
    </w:p>
    <w:p>
      <w:pPr>
        <w:spacing w:after="0" w:line="6" w:lineRule="exact"/>
        <w:rPr>
          <w:sz w:val="20"/>
          <w:szCs w:val="20"/>
          <w:color w:val="auto"/>
        </w:rPr>
      </w:pPr>
    </w:p>
    <w:p>
      <w:pPr>
        <w:ind w:right="20" w:firstLine="6"/>
        <w:spacing w:after="0" w:line="260" w:lineRule="auto"/>
        <w:tabs>
          <w:tab w:leader="none" w:pos="30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general economic, political, and market trends and their respective impacts on our business; (iv) impacts to our financial results and business operations as a result of pricing and packaging changes to our subscription plans; (v) our future financial performance, including trends in revenue, costs of revenue, gross profit or gross margin, operating expenses, paying users, and free cash flow; (vi) our ability to achieve or maintain profitability; (vii) our liability or other potential legal, regulatory, or reputational consequences of any unauthorized access to our data or our users’ content, including through privacy and data security breaches;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competition in our markets; (xii) our ability to respond to rapid technological changes, extend our platform, develop new features or products, or gain market acceptance for such new features or products; (xiii) our ability to improve quality and ease of adoption of our new and enhanced product experiences, features, and capabilities; (xiv) our ability to manage our growth or plan for future growth; (xv) our various acquisitions of businesses and the potential of such acquisitions to require significant management attention, disrupt our business, or dilute stockholder value;</w:t>
      </w:r>
    </w:p>
    <w:p>
      <w:pPr>
        <w:spacing w:after="0" w:line="4" w:lineRule="exact"/>
        <w:rPr>
          <w:rFonts w:ascii="Times New Roman" w:cs="Times New Roman" w:eastAsia="Times New Roman" w:hAnsi="Times New Roman"/>
          <w:sz w:val="17"/>
          <w:szCs w:val="17"/>
          <w:color w:val="auto"/>
        </w:rPr>
      </w:pPr>
    </w:p>
    <w:p>
      <w:pPr>
        <w:ind w:right="20" w:firstLine="6"/>
        <w:spacing w:after="0" w:line="249" w:lineRule="auto"/>
        <w:tabs>
          <w:tab w:leader="none" w:pos="3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integrate, and manage key and other highly qualified personnel, including as a result of our transition to a Virtual First model with an increasingly distributed workforce; (xvii) our capital allocation plans with respect to our stock repurchase program and other investments; and (xviii) the dual class structure</w:t>
      </w:r>
    </w:p>
    <w:p>
      <w:pPr>
        <w:sectPr>
          <w:pgSz w:w="11900" w:h="16838" w:orient="portrait"/>
          <w:cols w:equalWidth="0" w:num="1">
            <w:col w:w="11240"/>
          </w:cols>
          <w:pgMar w:left="320" w:top="875" w:right="339" w:bottom="1440" w:gutter="0" w:footer="0" w:header="0"/>
        </w:sectPr>
      </w:pPr>
    </w:p>
    <w:bookmarkStart w:id="5" w:name="page6"/>
    <w:bookmarkEnd w:id="5"/>
    <w:p>
      <w:pPr>
        <w:spacing w:after="0" w:line="250" w:lineRule="auto"/>
        <w:rPr>
          <w:sz w:val="20"/>
          <w:szCs w:val="20"/>
          <w:color w:val="auto"/>
        </w:rPr>
      </w:pPr>
      <w:r>
        <w:rPr>
          <w:rFonts w:ascii="Times New Roman" w:cs="Times New Roman" w:eastAsia="Times New Roman" w:hAnsi="Times New Roman"/>
          <w:sz w:val="18"/>
          <w:szCs w:val="18"/>
          <w:color w:val="auto"/>
        </w:rPr>
        <w:t>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10-K for the year ended December 31, 2023. Additional information will be made available in our quarterly report on Form 10-Q for the quarter ended March 31, 2024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120"/>
          </w:cols>
          <w:pgMar w:left="320" w:top="877" w:right="459" w:bottom="1440" w:gutter="0" w:footer="0" w:header="0"/>
        </w:sectPr>
      </w:pPr>
    </w:p>
    <w:bookmarkStart w:id="6" w:name="page7"/>
    <w:bookmarkEnd w:id="6"/>
    <w:p>
      <w:pPr>
        <w:jc w:val="center"/>
        <w:ind w:right="-73"/>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39"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Operations</w:t>
      </w:r>
    </w:p>
    <w:p>
      <w:pPr>
        <w:spacing w:after="0" w:line="2"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5"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04"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36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1914" w:type="dxa"/>
        <w:tblCellMar>
          <w:top w:w="0" w:type="dxa"/>
          <w:left w:w="0" w:type="dxa"/>
          <w:bottom w:w="0" w:type="dxa"/>
          <w:right w:w="0" w:type="dxa"/>
        </w:tblCellMar>
      </w:tblPr>
      <w:tr>
        <w:trPr>
          <w:trHeight w:val="231"/>
        </w:trPr>
        <w:tc>
          <w:tcPr>
            <w:tcW w:w="3680" w:type="dxa"/>
            <w:vAlign w:val="bottom"/>
            <w:tcBorders>
              <w:bottom w:val="single" w:sz="8" w:color="CCEEFF"/>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0" w:type="dxa"/>
            <w:vAlign w:val="bottom"/>
          </w:tcPr>
          <w:p>
            <w:pPr>
              <w:spacing w:after="0"/>
              <w:rPr>
                <w:sz w:val="1"/>
                <w:szCs w:val="1"/>
                <w:color w:val="auto"/>
              </w:rPr>
            </w:pPr>
          </w:p>
        </w:tc>
      </w:tr>
      <w:tr>
        <w:trPr>
          <w:trHeight w:val="226"/>
        </w:trPr>
        <w:tc>
          <w:tcPr>
            <w:tcW w:w="3680" w:type="dxa"/>
            <w:vAlign w:val="bottom"/>
            <w:tcBorders>
              <w:bottom w:val="single" w:sz="8" w:color="CCEEFF"/>
            </w:tcBorders>
          </w:tcPr>
          <w:p>
            <w:pPr>
              <w:ind w:left="260"/>
              <w:spacing w:after="0" w:line="225"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2"/>
                <w:szCs w:val="22"/>
                <w:color w:val="auto"/>
                <w:vertAlign w:val="superscript"/>
              </w:rPr>
              <w:t>(1)</w:t>
            </w: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0" w:type="dxa"/>
            <w:vAlign w:val="bottom"/>
          </w:tcPr>
          <w:p>
            <w:pPr>
              <w:spacing w:after="0"/>
              <w:rPr>
                <w:sz w:val="1"/>
                <w:szCs w:val="1"/>
                <w:color w:val="auto"/>
              </w:rPr>
            </w:pPr>
          </w:p>
        </w:tc>
      </w:tr>
      <w:tr>
        <w:trPr>
          <w:trHeight w:val="226"/>
        </w:trPr>
        <w:tc>
          <w:tcPr>
            <w:tcW w:w="36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0" w:type="dxa"/>
            <w:vAlign w:val="bottom"/>
          </w:tcPr>
          <w:p>
            <w:pPr>
              <w:spacing w:after="0"/>
              <w:rPr>
                <w:sz w:val="1"/>
                <w:szCs w:val="1"/>
                <w:color w:val="auto"/>
              </w:rPr>
            </w:pPr>
          </w:p>
        </w:tc>
      </w:tr>
      <w:tr>
        <w:trPr>
          <w:trHeight w:val="226"/>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2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Borders>
              <w:bottom w:val="single" w:sz="8" w:color="auto"/>
            </w:tcBorders>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22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68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ind w:right="1012"/>
              <w:spacing w:after="0" w:line="199"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12"/>
              <w:spacing w:after="0" w:line="199"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6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auto"/>
              </w:rPr>
              <w:t>Weighted-average shares used in computing net</w:t>
            </w:r>
          </w:p>
        </w:tc>
        <w:tc>
          <w:tcPr>
            <w:tcW w:w="1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income per share attributable to common</w:t>
            </w:r>
          </w:p>
        </w:tc>
        <w:tc>
          <w:tcPr>
            <w:tcW w:w="12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11"/>
        </w:trPr>
        <w:tc>
          <w:tcPr>
            <w:tcW w:w="3680" w:type="dxa"/>
            <w:vAlign w:val="bottom"/>
            <w:tcBorders>
              <w:bottom w:val="single" w:sz="8" w:color="CCEEFF"/>
            </w:tcBorders>
            <w:shd w:val="clear" w:color="auto" w:fill="CCEEFF"/>
          </w:tcPr>
          <w:p>
            <w:pPr>
              <w:ind w:left="180"/>
              <w:spacing w:after="0" w:line="204" w:lineRule="exact"/>
              <w:rPr>
                <w:sz w:val="20"/>
                <w:szCs w:val="20"/>
                <w:color w:val="auto"/>
              </w:rPr>
            </w:pPr>
            <w:r>
              <w:rPr>
                <w:rFonts w:ascii="Times New Roman" w:cs="Times New Roman" w:eastAsia="Times New Roman" w:hAnsi="Times New Roman"/>
                <w:sz w:val="18"/>
                <w:szCs w:val="18"/>
                <w:color w:val="auto"/>
              </w:rPr>
              <w:t>stockholders, basic</w:t>
            </w:r>
          </w:p>
        </w:tc>
        <w:tc>
          <w:tcPr>
            <w:tcW w:w="1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54"/>
          </w:cols>
          <w:pgMar w:left="326" w:top="877" w:right="419" w:bottom="1440" w:gutter="0" w:footer="0" w:header="0"/>
        </w:sectPr>
      </w:pPr>
    </w:p>
    <w:p>
      <w:pPr>
        <w:ind w:left="2094" w:right="620" w:hanging="158"/>
        <w:spacing w:after="0" w:line="216" w:lineRule="auto"/>
        <w:rPr>
          <w:sz w:val="20"/>
          <w:szCs w:val="20"/>
          <w:color w:val="auto"/>
        </w:rPr>
      </w:pPr>
      <w:r>
        <w:rPr>
          <w:rFonts w:ascii="Times New Roman" w:cs="Times New Roman" w:eastAsia="Times New Roman" w:hAnsi="Times New Roman"/>
          <w:sz w:val="18"/>
          <w:szCs w:val="18"/>
          <w:color w:val="auto"/>
        </w:rPr>
        <w:t>Weighted-average shares used in computing net income per share attributable to common</w:t>
      </w:r>
    </w:p>
    <w:p>
      <w:pPr>
        <w:ind w:left="2094"/>
        <w:spacing w:after="0"/>
        <w:rPr>
          <w:sz w:val="20"/>
          <w:szCs w:val="20"/>
          <w:color w:val="auto"/>
        </w:rPr>
      </w:pPr>
      <w:r>
        <w:rPr>
          <w:rFonts w:ascii="Times New Roman" w:cs="Times New Roman" w:eastAsia="Times New Roman" w:hAnsi="Times New Roman"/>
          <w:sz w:val="18"/>
          <w:szCs w:val="18"/>
          <w:color w:val="auto"/>
        </w:rPr>
        <w:t>stockholders, diluted</w:t>
      </w:r>
    </w:p>
    <w:p>
      <w:pPr>
        <w:spacing w:after="0" w:line="316" w:lineRule="exact"/>
        <w:rPr>
          <w:sz w:val="20"/>
          <w:szCs w:val="20"/>
          <w:color w:val="auto"/>
        </w:rPr>
      </w:pPr>
    </w:p>
    <w:p>
      <w:pPr>
        <w:ind w:left="174" w:hanging="174"/>
        <w:spacing w:after="0"/>
        <w:tabs>
          <w:tab w:leader="none" w:pos="174"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stock-based compensation expense as follows (in millions):</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right"/>
        <w:ind w:right="1900"/>
        <w:spacing w:after="0"/>
        <w:tabs>
          <w:tab w:leader="none" w:pos="380" w:val="left"/>
        </w:tabs>
        <w:rPr>
          <w:sz w:val="20"/>
          <w:szCs w:val="20"/>
          <w:color w:val="auto"/>
        </w:rPr>
      </w:pPr>
      <w:r>
        <w:rPr>
          <w:rFonts w:ascii="Times New Roman" w:cs="Times New Roman" w:eastAsia="Times New Roman" w:hAnsi="Times New Roman"/>
          <w:sz w:val="18"/>
          <w:szCs w:val="18"/>
          <w:color w:val="auto"/>
        </w:rPr>
        <w:t>340.7</w:t>
      </w:r>
      <w:r>
        <w:rPr>
          <w:sz w:val="20"/>
          <w:szCs w:val="20"/>
          <w:color w:val="auto"/>
        </w:rPr>
        <w:tab/>
      </w:r>
      <w:r>
        <w:rPr>
          <w:rFonts w:ascii="Times New Roman" w:cs="Times New Roman" w:eastAsia="Times New Roman" w:hAnsi="Times New Roman"/>
          <w:sz w:val="17"/>
          <w:szCs w:val="17"/>
          <w:color w:val="auto"/>
        </w:rPr>
        <w:t>348.8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15240</wp:posOffset>
            </wp:positionV>
            <wp:extent cx="2367280"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67280" cy="33655"/>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-329565</wp:posOffset>
            </wp:positionV>
            <wp:extent cx="236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6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12"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4" w:lineRule="exact"/>
        <w:rPr>
          <w:sz w:val="20"/>
          <w:szCs w:val="20"/>
          <w:color w:val="auto"/>
        </w:rPr>
      </w:pPr>
    </w:p>
    <w:p>
      <w:pPr>
        <w:sectPr>
          <w:pgSz w:w="11900" w:h="16838" w:orient="portrait"/>
          <w:cols w:equalWidth="0" w:num="2">
            <w:col w:w="5934" w:space="720"/>
            <w:col w:w="4500"/>
          </w:cols>
          <w:pgMar w:left="326" w:top="877" w:right="419" w:bottom="1440" w:gutter="0" w:footer="0" w:header="0"/>
          <w:type w:val="continuous"/>
        </w:sectPr>
      </w:pPr>
    </w:p>
    <w:tbl>
      <w:tblPr>
        <w:tblLayout w:type="fixed"/>
        <w:tblInd w:w="1914" w:type="dxa"/>
        <w:tblCellMar>
          <w:top w:w="0" w:type="dxa"/>
          <w:left w:w="0" w:type="dxa"/>
          <w:bottom w:w="0" w:type="dxa"/>
          <w:right w:w="0" w:type="dxa"/>
        </w:tblCellMar>
      </w:tblPr>
      <w:tr>
        <w:trPr>
          <w:trHeight w:val="219"/>
        </w:trPr>
        <w:tc>
          <w:tcPr>
            <w:tcW w:w="368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9"/>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126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6"/>
        </w:trPr>
        <w:tc>
          <w:tcPr>
            <w:tcW w:w="368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(2)</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6"/>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6"/>
        </w:trPr>
        <w:tc>
          <w:tcPr>
            <w:tcW w:w="3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44"/>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260" w:type="dxa"/>
            <w:vAlign w:val="bottom"/>
            <w:tcBorders>
              <w:bottom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ind w:left="-6" w:firstLine="6"/>
        <w:spacing w:after="0" w:line="229" w:lineRule="auto"/>
        <w:tabs>
          <w:tab w:leader="none" w:pos="172"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On March 15, 2023, our President resigned, resulting in the reversal of $6.7 million in stock-based compensation expense. Of the total amount reversed, $4.4 million related to expense recognized prior to January 1, 2023.</w:t>
      </w:r>
    </w:p>
    <w:p>
      <w:pPr>
        <w:sectPr>
          <w:pgSz w:w="11900" w:h="16838" w:orient="portrait"/>
          <w:cols w:equalWidth="0" w:num="1">
            <w:col w:w="11154"/>
          </w:cols>
          <w:pgMar w:left="326" w:top="877" w:right="41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Condensed Consolidated Balance Sheets</w:t>
      </w:r>
    </w:p>
    <w:p>
      <w:pPr>
        <w:spacing w:after="0" w:line="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40" w:type="dxa"/>
            <w:vAlign w:val="bottom"/>
            <w:tcBorders>
              <w:bottom w:val="single" w:sz="8" w:color="auto"/>
            </w:tcBorders>
          </w:tcPr>
          <w:p>
            <w:pPr>
              <w:spacing w:after="0"/>
              <w:rPr>
                <w:sz w:val="20"/>
                <w:szCs w:val="20"/>
                <w:color w:val="auto"/>
              </w:rPr>
            </w:pPr>
          </w:p>
        </w:tc>
      </w:tr>
      <w:tr>
        <w:trPr>
          <w:trHeight w:val="219"/>
        </w:trPr>
        <w:tc>
          <w:tcPr>
            <w:tcW w:w="6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tcPr>
          <w:p>
            <w:pPr>
              <w:spacing w:after="0"/>
              <w:rPr>
                <w:sz w:val="19"/>
                <w:szCs w:val="19"/>
                <w:color w:val="auto"/>
              </w:rPr>
            </w:pPr>
          </w:p>
        </w:tc>
        <w:tc>
          <w:tcPr>
            <w:tcW w:w="19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6"/>
        </w:trPr>
        <w:tc>
          <w:tcPr>
            <w:tcW w:w="6680" w:type="dxa"/>
            <w:vAlign w:val="bottom"/>
            <w:tcBorders>
              <w:top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r>
      <w:tr>
        <w:trPr>
          <w:trHeight w:val="22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26"/>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1,516.6</w:t>
            </w: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2,983.5</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2"/>
        </w:trPr>
        <w:tc>
          <w:tcPr>
            <w:tcW w:w="66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2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obligation</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26"/>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w:t>
            </w:r>
          </w:p>
        </w:tc>
      </w:tr>
      <w:tr>
        <w:trPr>
          <w:trHeight w:val="22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r>
      <w:tr>
        <w:trPr>
          <w:trHeight w:val="226"/>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obligation, non-current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2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senior notes, net, non-current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1,377.8</w:t>
            </w:r>
          </w:p>
        </w:tc>
      </w:tr>
      <w:tr>
        <w:trPr>
          <w:trHeight w:val="226"/>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1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3,149.3</w:t>
            </w:r>
          </w:p>
        </w:tc>
      </w:tr>
      <w:tr>
        <w:trPr>
          <w:trHeight w:val="206"/>
        </w:trPr>
        <w:tc>
          <w:tcPr>
            <w:tcW w:w="668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Stockholders' deficit:</w:t>
            </w:r>
          </w:p>
        </w:tc>
        <w:tc>
          <w:tcPr>
            <w:tcW w:w="3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2,598.0</w:t>
            </w: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(2,742.3)</w:t>
            </w:r>
          </w:p>
        </w:tc>
      </w:tr>
      <w:tr>
        <w:trPr>
          <w:trHeight w:val="226"/>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2,983.5</w:t>
            </w: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877"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Cash Flows</w:t>
      </w:r>
    </w:p>
    <w:p>
      <w:pPr>
        <w:spacing w:after="0" w:line="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16"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20" w:type="dxa"/>
            <w:vAlign w:val="bottom"/>
          </w:tcPr>
          <w:p>
            <w:pPr>
              <w:spacing w:after="0"/>
              <w:rPr>
                <w:sz w:val="18"/>
                <w:szCs w:val="18"/>
                <w:color w:val="auto"/>
              </w:rPr>
            </w:pP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21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0"/>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4"/>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210"/>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4"/>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0"/>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4"/>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0"/>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0"/>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and other receivables, net</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4"/>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0"/>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4"/>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0"/>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14"/>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r>
      <w:tr>
        <w:trPr>
          <w:trHeight w:val="210"/>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14"/>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0"/>
        </w:trPr>
        <w:tc>
          <w:tcPr>
            <w:tcW w:w="7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08"/>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r>
      <w:tr>
        <w:trPr>
          <w:trHeight w:val="191"/>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3"/>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14"/>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r>
      <w:tr>
        <w:trPr>
          <w:trHeight w:val="210"/>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r>
      <w:tr>
        <w:trPr>
          <w:trHeight w:val="214"/>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w:t>
            </w:r>
          </w:p>
        </w:tc>
      </w:tr>
      <w:tr>
        <w:trPr>
          <w:trHeight w:val="19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0"/>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taxes related to net share settlement of restricted stock units and awards</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14"/>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net of taxes withheld</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0"/>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14"/>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1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r>
      <w:tr>
        <w:trPr>
          <w:trHeight w:val="20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(241.3)</w:t>
            </w:r>
          </w:p>
        </w:tc>
      </w:tr>
      <w:tr>
        <w:trPr>
          <w:trHeight w:val="208"/>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r>
      <w:tr>
        <w:trPr>
          <w:trHeight w:val="21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 beginning of period</w:t>
            </w:r>
          </w:p>
        </w:tc>
        <w:tc>
          <w:tcPr>
            <w:tcW w:w="1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w:t>
            </w:r>
          </w:p>
        </w:tc>
      </w:tr>
      <w:tr>
        <w:trPr>
          <w:trHeight w:val="20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 end of period</w:t>
            </w:r>
          </w:p>
        </w:tc>
        <w:tc>
          <w:tcPr>
            <w:tcW w:w="112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2"/>
        </w:trPr>
        <w:tc>
          <w:tcPr>
            <w:tcW w:w="70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r>
      <w:tr>
        <w:trPr>
          <w:trHeight w:val="211"/>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30"/>
        </w:trPr>
        <w:tc>
          <w:tcPr>
            <w:tcW w:w="70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Property and equipment acquired under finance leases</w:t>
            </w:r>
          </w:p>
        </w:tc>
        <w:tc>
          <w:tcPr>
            <w:tcW w:w="1120" w:type="dxa"/>
            <w:vAlign w:val="bottom"/>
            <w:tcBorders>
              <w:bottom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0600"/>
          </w:cols>
          <w:pgMar w:left="640" w:top="877" w:right="659" w:bottom="1440" w:gutter="0" w:footer="0" w:header="0"/>
        </w:sectPr>
      </w:pPr>
    </w:p>
    <w:bookmarkStart w:id="9" w:name="page10"/>
    <w:bookmarkEnd w:id="9"/>
    <w:p>
      <w:pPr>
        <w:ind w:left="4500"/>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b w:val="1"/>
          <w:bCs w:val="1"/>
          <w:color w:val="auto"/>
        </w:rPr>
        <w:t>Three Months Ended March 31, 2024</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Reconciliation of GAAP to Non-GAAP results</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80" w:type="dxa"/>
            <w:vAlign w:val="bottom"/>
          </w:tcPr>
          <w:p>
            <w:pPr>
              <w:spacing w:after="0"/>
              <w:rPr>
                <w:sz w:val="17"/>
                <w:szCs w:val="17"/>
                <w:color w:val="auto"/>
              </w:rPr>
            </w:pPr>
          </w:p>
        </w:tc>
        <w:tc>
          <w:tcPr>
            <w:tcW w:w="1460" w:type="dxa"/>
            <w:vAlign w:val="bottom"/>
            <w:gridSpan w:val="2"/>
          </w:tcPr>
          <w:p>
            <w:pPr>
              <w:jc w:val="center"/>
              <w:ind w:right="280"/>
              <w:spacing w:after="0" w:line="203" w:lineRule="exact"/>
              <w:rPr>
                <w:sz w:val="20"/>
                <w:szCs w:val="20"/>
                <w:color w:val="auto"/>
              </w:rPr>
            </w:pPr>
            <w:r>
              <w:rPr>
                <w:rFonts w:ascii="Times New Roman" w:cs="Times New Roman" w:eastAsia="Times New Roman" w:hAnsi="Times New Roman"/>
                <w:sz w:val="18"/>
                <w:szCs w:val="18"/>
                <w:b w:val="1"/>
                <w:bCs w:val="1"/>
                <w:color w:val="auto"/>
                <w:w w:val="96"/>
              </w:rPr>
              <w:t>Stock-based</w:t>
            </w:r>
          </w:p>
        </w:tc>
        <w:tc>
          <w:tcPr>
            <w:tcW w:w="1820" w:type="dxa"/>
            <w:vAlign w:val="bottom"/>
            <w:gridSpan w:val="5"/>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Acquisition-related</w:t>
            </w:r>
          </w:p>
        </w:tc>
        <w:tc>
          <w:tcPr>
            <w:tcW w:w="1120" w:type="dxa"/>
            <w:vAlign w:val="bottom"/>
          </w:tcPr>
          <w:p>
            <w:pPr>
              <w:jc w:val="right"/>
              <w:ind w:right="52"/>
              <w:spacing w:after="0" w:line="203" w:lineRule="exact"/>
              <w:rPr>
                <w:sz w:val="20"/>
                <w:szCs w:val="20"/>
                <w:color w:val="auto"/>
              </w:rPr>
            </w:pPr>
            <w:r>
              <w:rPr>
                <w:rFonts w:ascii="Times New Roman" w:cs="Times New Roman" w:eastAsia="Times New Roman" w:hAnsi="Times New Roman"/>
                <w:sz w:val="18"/>
                <w:szCs w:val="18"/>
                <w:b w:val="1"/>
                <w:bCs w:val="1"/>
                <w:color w:val="auto"/>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239"/>
        </w:trPr>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18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and other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26"/>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533.8</w:t>
            </w:r>
          </w:p>
        </w:tc>
        <w:tc>
          <w:tcPr>
            <w:tcW w:w="0" w:type="dxa"/>
            <w:vAlign w:val="bottom"/>
          </w:tcPr>
          <w:p>
            <w:pPr>
              <w:spacing w:after="0"/>
              <w:rPr>
                <w:sz w:val="1"/>
                <w:szCs w:val="1"/>
                <w:color w:val="auto"/>
              </w:rPr>
            </w:pPr>
          </w:p>
        </w:tc>
      </w:tr>
      <w:tr>
        <w:trPr>
          <w:trHeight w:val="226"/>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gridSpan w:val="4"/>
          </w:tcPr>
          <w:p>
            <w:pPr>
              <w:jc w:val="right"/>
              <w:ind w:right="232"/>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26"/>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Research and development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26"/>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gridSpan w:val="4"/>
          </w:tcPr>
          <w:p>
            <w:pPr>
              <w:jc w:val="right"/>
              <w:ind w:right="292"/>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172"/>
        </w:trPr>
        <w:tc>
          <w:tcPr>
            <w:tcW w:w="2500" w:type="dxa"/>
            <w:vAlign w:val="bottom"/>
          </w:tcPr>
          <w:p>
            <w:pPr>
              <w:spacing w:after="0" w:line="172" w:lineRule="exact"/>
              <w:rPr>
                <w:sz w:val="20"/>
                <w:szCs w:val="20"/>
                <w:color w:val="auto"/>
              </w:rPr>
            </w:pPr>
            <w:r>
              <w:rPr>
                <w:rFonts w:ascii="Times New Roman" w:cs="Times New Roman" w:eastAsia="Times New Roman" w:hAnsi="Times New Roman"/>
                <w:sz w:val="18"/>
                <w:szCs w:val="18"/>
                <w:i w:val="1"/>
                <w:iCs w:val="1"/>
                <w:color w:val="auto"/>
              </w:rPr>
              <w:t>General and administrative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gridSpan w:val="4"/>
          </w:tcPr>
          <w:p>
            <w:pPr>
              <w:jc w:val="right"/>
              <w:ind w:right="292"/>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0" w:type="dxa"/>
            <w:vAlign w:val="bottom"/>
          </w:tcPr>
          <w:p>
            <w:pPr>
              <w:spacing w:after="0"/>
              <w:rPr>
                <w:sz w:val="1"/>
                <w:szCs w:val="1"/>
                <w:color w:val="auto"/>
              </w:rPr>
            </w:pPr>
          </w:p>
        </w:tc>
      </w:tr>
    </w:tbl>
    <w:p>
      <w:pPr>
        <w:sectPr>
          <w:pgSz w:w="11900" w:h="16838" w:orient="portrait"/>
          <w:cols w:equalWidth="0" w:num="1">
            <w:col w:w="10140"/>
          </w:cols>
          <w:pgMar w:left="880" w:top="869" w:right="879" w:bottom="1440" w:gutter="0" w:footer="0" w:header="0"/>
        </w:sectPr>
      </w:pPr>
    </w:p>
    <w:bookmarkStart w:id="10" w:name="page11"/>
    <w:bookmarkEnd w:id="10"/>
    <w:p>
      <w:pPr>
        <w:ind w:left="4700"/>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color w:val="auto"/>
        </w:rPr>
        <w:t>Three Months Ended March 31, 2023</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Reconciliation of GAAP to Non-GAAP results</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60" w:type="dxa"/>
            <w:vAlign w:val="bottom"/>
          </w:tcPr>
          <w:p>
            <w:pPr>
              <w:spacing w:after="0"/>
              <w:rPr>
                <w:sz w:val="17"/>
                <w:szCs w:val="17"/>
                <w:color w:val="auto"/>
              </w:rPr>
            </w:pPr>
          </w:p>
        </w:tc>
        <w:tc>
          <w:tcPr>
            <w:tcW w:w="1400" w:type="dxa"/>
            <w:vAlign w:val="bottom"/>
            <w:gridSpan w:val="2"/>
          </w:tcPr>
          <w:p>
            <w:pPr>
              <w:jc w:val="center"/>
              <w:ind w:right="240"/>
              <w:spacing w:after="0" w:line="203" w:lineRule="exact"/>
              <w:rPr>
                <w:sz w:val="20"/>
                <w:szCs w:val="20"/>
                <w:color w:val="auto"/>
              </w:rPr>
            </w:pPr>
            <w:r>
              <w:rPr>
                <w:rFonts w:ascii="Times New Roman" w:cs="Times New Roman" w:eastAsia="Times New Roman" w:hAnsi="Times New Roman"/>
                <w:sz w:val="18"/>
                <w:szCs w:val="18"/>
                <w:b w:val="1"/>
                <w:bCs w:val="1"/>
                <w:color w:val="auto"/>
                <w:w w:val="98"/>
              </w:rPr>
              <w:t>Stock-based</w:t>
            </w:r>
          </w:p>
        </w:tc>
        <w:tc>
          <w:tcPr>
            <w:tcW w:w="1760" w:type="dxa"/>
            <w:vAlign w:val="bottom"/>
            <w:gridSpan w:val="5"/>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Acquisition-related</w:t>
            </w: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239"/>
        </w:trPr>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17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and other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26"/>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2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503.3</w:t>
            </w:r>
          </w:p>
        </w:tc>
        <w:tc>
          <w:tcPr>
            <w:tcW w:w="0" w:type="dxa"/>
            <w:vAlign w:val="bottom"/>
          </w:tcPr>
          <w:p>
            <w:pPr>
              <w:spacing w:after="0"/>
              <w:rPr>
                <w:sz w:val="1"/>
                <w:szCs w:val="1"/>
                <w:color w:val="auto"/>
              </w:rPr>
            </w:pPr>
          </w:p>
        </w:tc>
      </w:tr>
      <w:tr>
        <w:trPr>
          <w:trHeight w:val="226"/>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82.4 %</w:t>
            </w:r>
          </w:p>
        </w:tc>
        <w:tc>
          <w:tcPr>
            <w:tcW w:w="0" w:type="dxa"/>
            <w:vAlign w:val="bottom"/>
          </w:tcPr>
          <w:p>
            <w:pPr>
              <w:spacing w:after="0"/>
              <w:rPr>
                <w:sz w:val="1"/>
                <w:szCs w:val="1"/>
                <w:color w:val="auto"/>
              </w:rPr>
            </w:pPr>
          </w:p>
        </w:tc>
      </w:tr>
      <w:tr>
        <w:trPr>
          <w:trHeight w:val="22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26"/>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2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26"/>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2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6"/>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gridSpan w:val="4"/>
          </w:tcPr>
          <w:p>
            <w:pPr>
              <w:jc w:val="right"/>
              <w:ind w:right="232"/>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2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bl>
    <w:p>
      <w:pPr>
        <w:sectPr>
          <w:pgSz w:w="11900" w:h="16838" w:orient="portrait"/>
          <w:cols w:equalWidth="0" w:num="1">
            <w:col w:w="10540"/>
          </w:cols>
          <w:pgMar w:left="680" w:top="869" w:right="679" w:bottom="1440" w:gutter="0" w:footer="0" w:header="0"/>
        </w:sectPr>
      </w:pPr>
    </w:p>
    <w:bookmarkStart w:id="11" w:name="page12"/>
    <w:bookmarkEnd w:id="11"/>
    <w:p>
      <w:pPr>
        <w:ind w:left="5054"/>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ind w:left="3674"/>
        <w:spacing w:after="0"/>
        <w:rPr>
          <w:sz w:val="20"/>
          <w:szCs w:val="20"/>
          <w:color w:val="auto"/>
        </w:rPr>
      </w:pPr>
      <w:r>
        <w:rPr>
          <w:rFonts w:ascii="Times New Roman" w:cs="Times New Roman" w:eastAsia="Times New Roman" w:hAnsi="Times New Roman"/>
          <w:sz w:val="19"/>
          <w:szCs w:val="19"/>
          <w:b w:val="1"/>
          <w:bCs w:val="1"/>
          <w:color w:val="auto"/>
        </w:rPr>
        <w:t>Three Months Ended March 31, 2024 and 2023</w:t>
      </w:r>
    </w:p>
    <w:p>
      <w:pPr>
        <w:spacing w:after="0" w:line="15" w:lineRule="exact"/>
        <w:rPr>
          <w:sz w:val="20"/>
          <w:szCs w:val="20"/>
          <w:color w:val="auto"/>
        </w:rPr>
      </w:pPr>
    </w:p>
    <w:p>
      <w:pPr>
        <w:jc w:val="center"/>
        <w:ind w:right="-453"/>
        <w:spacing w:after="0"/>
        <w:rPr>
          <w:sz w:val="20"/>
          <w:szCs w:val="20"/>
          <w:color w:val="auto"/>
        </w:rPr>
      </w:pPr>
      <w:r>
        <w:rPr>
          <w:rFonts w:ascii="Times New Roman" w:cs="Times New Roman" w:eastAsia="Times New Roman" w:hAnsi="Times New Roman"/>
          <w:sz w:val="19"/>
          <w:szCs w:val="19"/>
          <w:b w:val="1"/>
          <w:bCs w:val="1"/>
          <w:color w:val="auto"/>
        </w:rPr>
        <w:t>Reconciliation of GAAP net income to Non-GAAP net income and Non-GAAP diluted net income per share</w:t>
      </w:r>
    </w:p>
    <w:p>
      <w:pPr>
        <w:spacing w:after="0" w:line="13" w:lineRule="exact"/>
        <w:rPr>
          <w:sz w:val="20"/>
          <w:szCs w:val="20"/>
          <w:color w:val="auto"/>
        </w:rPr>
      </w:pPr>
    </w:p>
    <w:p>
      <w:pPr>
        <w:jc w:val="center"/>
        <w:ind w:right="-453"/>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15" w:lineRule="exact"/>
        <w:rPr>
          <w:sz w:val="20"/>
          <w:szCs w:val="20"/>
          <w:color w:val="auto"/>
        </w:rPr>
      </w:pPr>
    </w:p>
    <w:p>
      <w:pPr>
        <w:jc w:val="center"/>
        <w:ind w:right="-453"/>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1"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42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5" w:lineRule="exact"/>
        <w:rPr>
          <w:sz w:val="20"/>
          <w:szCs w:val="20"/>
          <w:color w:val="auto"/>
        </w:rPr>
      </w:pPr>
    </w:p>
    <w:tbl>
      <w:tblPr>
        <w:tblLayout w:type="fixed"/>
        <w:tblInd w:w="1674" w:type="dxa"/>
        <w:tblCellMar>
          <w:top w:w="0" w:type="dxa"/>
          <w:left w:w="0" w:type="dxa"/>
          <w:bottom w:w="0" w:type="dxa"/>
          <w:right w:w="0" w:type="dxa"/>
        </w:tblCellMar>
      </w:tblPr>
      <w:tr>
        <w:trPr>
          <w:trHeight w:val="231"/>
        </w:trPr>
        <w:tc>
          <w:tcPr>
            <w:tcW w:w="424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18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and other expenses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effects of non-GAAP adjustments</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180" w:type="dxa"/>
            <w:vAlign w:val="bottom"/>
            <w:tcBorders>
              <w:bottom w:val="single" w:sz="8" w:color="auto"/>
            </w:tcBorders>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net income per share</w:t>
            </w: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line="159" w:lineRule="exact"/>
              <w:rPr>
                <w:sz w:val="20"/>
                <w:szCs w:val="20"/>
                <w:color w:val="auto"/>
              </w:rPr>
            </w:pPr>
            <w:r>
              <w:rPr>
                <w:rFonts w:ascii="Times New Roman" w:cs="Times New Roman" w:eastAsia="Times New Roman" w:hAnsi="Times New Roman"/>
                <w:sz w:val="18"/>
                <w:szCs w:val="18"/>
                <w:color w:val="auto"/>
              </w:rPr>
              <w:t>Weighted-average shares used to compute Non-GAAP</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24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453"/>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jc w:val="center"/>
        <w:ind w:right="-453"/>
        <w:spacing w:after="0"/>
        <w:rPr>
          <w:sz w:val="20"/>
          <w:szCs w:val="20"/>
          <w:color w:val="auto"/>
        </w:rPr>
      </w:pPr>
      <w:r>
        <w:rPr>
          <w:rFonts w:ascii="Times New Roman" w:cs="Times New Roman" w:eastAsia="Times New Roman" w:hAnsi="Times New Roman"/>
          <w:sz w:val="19"/>
          <w:szCs w:val="19"/>
          <w:b w:val="1"/>
          <w:bCs w:val="1"/>
          <w:color w:val="auto"/>
        </w:rPr>
        <w:t>Three Months Ended March 31, 2024 and 2023</w:t>
      </w:r>
    </w:p>
    <w:p>
      <w:pPr>
        <w:spacing w:after="0" w:line="20" w:lineRule="exact"/>
        <w:rPr>
          <w:sz w:val="20"/>
          <w:szCs w:val="20"/>
          <w:color w:val="auto"/>
        </w:rPr>
      </w:pPr>
    </w:p>
    <w:p>
      <w:pPr>
        <w:jc w:val="center"/>
        <w:ind w:right="-453"/>
        <w:spacing w:after="0"/>
        <w:rPr>
          <w:sz w:val="20"/>
          <w:szCs w:val="20"/>
          <w:color w:val="auto"/>
        </w:rPr>
      </w:pPr>
      <w:r>
        <w:rPr>
          <w:rFonts w:ascii="Times New Roman" w:cs="Times New Roman" w:eastAsia="Times New Roman" w:hAnsi="Times New Roman"/>
          <w:sz w:val="19"/>
          <w:szCs w:val="19"/>
          <w:b w:val="1"/>
          <w:bCs w:val="1"/>
          <w:color w:val="auto"/>
        </w:rPr>
        <w:t>Reconciliation of free cash flow and supplemental cash flow disclosure</w:t>
      </w:r>
    </w:p>
    <w:p>
      <w:pPr>
        <w:spacing w:after="0" w:line="17" w:lineRule="exact"/>
        <w:rPr>
          <w:sz w:val="20"/>
          <w:szCs w:val="20"/>
          <w:color w:val="auto"/>
        </w:rPr>
      </w:pPr>
    </w:p>
    <w:p>
      <w:pPr>
        <w:jc w:val="center"/>
        <w:ind w:right="-453"/>
        <w:spacing w:after="0"/>
        <w:rPr>
          <w:sz w:val="20"/>
          <w:szCs w:val="20"/>
          <w:color w:val="auto"/>
        </w:rPr>
      </w:pPr>
      <w:r>
        <w:rPr>
          <w:rFonts w:ascii="Times New Roman" w:cs="Times New Roman" w:eastAsia="Times New Roman" w:hAnsi="Times New Roman"/>
          <w:sz w:val="18"/>
          <w:szCs w:val="18"/>
          <w:i w:val="1"/>
          <w:iCs w:val="1"/>
          <w:color w:val="auto"/>
        </w:rPr>
        <w:t>(In millions, except for percentages)</w:t>
      </w:r>
    </w:p>
    <w:p>
      <w:pPr>
        <w:spacing w:after="0" w:line="5" w:lineRule="exact"/>
        <w:rPr>
          <w:sz w:val="20"/>
          <w:szCs w:val="20"/>
          <w:color w:val="auto"/>
        </w:rPr>
      </w:pPr>
    </w:p>
    <w:p>
      <w:pPr>
        <w:jc w:val="center"/>
        <w:ind w:right="-453"/>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 w:lineRule="exact"/>
        <w:rPr>
          <w:sz w:val="20"/>
          <w:szCs w:val="20"/>
          <w:color w:val="auto"/>
        </w:rPr>
      </w:pPr>
    </w:p>
    <w:p>
      <w:pPr>
        <w:jc w:val="center"/>
        <w:ind w:left="40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1" w:lineRule="exact"/>
        <w:rPr>
          <w:sz w:val="20"/>
          <w:szCs w:val="20"/>
          <w:color w:val="auto"/>
        </w:rPr>
      </w:pPr>
    </w:p>
    <w:p>
      <w:pPr>
        <w:jc w:val="center"/>
        <w:ind w:left="40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4" w:lineRule="exact"/>
        <w:rPr>
          <w:sz w:val="20"/>
          <w:szCs w:val="20"/>
          <w:color w:val="auto"/>
        </w:rPr>
      </w:pPr>
    </w:p>
    <w:tbl>
      <w:tblPr>
        <w:tblLayout w:type="fixed"/>
        <w:tblInd w:w="1674" w:type="dxa"/>
        <w:tblCellMar>
          <w:top w:w="0" w:type="dxa"/>
          <w:left w:w="0" w:type="dxa"/>
          <w:bottom w:w="0" w:type="dxa"/>
          <w:right w:w="0" w:type="dxa"/>
        </w:tblCellMar>
      </w:tblPr>
      <w:tr>
        <w:trPr>
          <w:trHeight w:val="219"/>
        </w:trPr>
        <w:tc>
          <w:tcPr>
            <w:tcW w:w="408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Free cash flow reconciliation:</w:t>
            </w: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80" w:type="dxa"/>
            <w:vAlign w:val="bottom"/>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Free cash flow margin</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8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6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26.3 %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08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Key employee holdback payments related to</w:t>
            </w:r>
          </w:p>
        </w:tc>
        <w:tc>
          <w:tcPr>
            <w:tcW w:w="1180" w:type="dxa"/>
            <w:vAlign w:val="bottom"/>
            <w:vMerge w:val="restart"/>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5"/>
                <w:szCs w:val="15"/>
                <w:color w:val="auto"/>
              </w:rPr>
            </w:pPr>
          </w:p>
        </w:tc>
        <w:tc>
          <w:tcPr>
            <w:tcW w:w="42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2"/>
        </w:trPr>
        <w:tc>
          <w:tcPr>
            <w:tcW w:w="4080" w:type="dxa"/>
            <w:vAlign w:val="bottom"/>
          </w:tcPr>
          <w:p>
            <w:pPr>
              <w:ind w:left="200"/>
              <w:spacing w:after="0" w:line="207"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2"/>
                <w:szCs w:val="22"/>
                <w:color w:val="auto"/>
                <w:vertAlign w:val="superscript"/>
              </w:rPr>
              <w:t>(1)</w:t>
            </w:r>
          </w:p>
        </w:tc>
        <w:tc>
          <w:tcPr>
            <w:tcW w:w="11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6" w:firstLine="6"/>
        <w:spacing w:after="0" w:line="307" w:lineRule="auto"/>
        <w:tabs>
          <w:tab w:leader="none" w:pos="154"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For the </w:t>
      </w:r>
      <w:r>
        <w:rPr>
          <w:rFonts w:ascii="Times New Roman" w:cs="Times New Roman" w:eastAsia="Times New Roman" w:hAnsi="Times New Roman"/>
          <w:sz w:val="15"/>
          <w:szCs w:val="15"/>
          <w:color w:val="auto"/>
        </w:rPr>
        <w:t>first</w:t>
      </w:r>
      <w:r>
        <w:rPr>
          <w:rFonts w:ascii="Times New Roman" w:cs="Times New Roman" w:eastAsia="Times New Roman" w:hAnsi="Times New Roman"/>
          <w:sz w:val="14"/>
          <w:szCs w:val="14"/>
          <w:color w:val="auto"/>
        </w:rPr>
        <w:t xml:space="preserve"> quarter ended March 31, 2024, we made payments in the amount of $0.5 million related to employee holdbacks pertaining to our acquisitions. The related expenses are recognized within research and development over the required service period.</w:t>
      </w:r>
    </w:p>
    <w:p>
      <w:pPr>
        <w:sectPr>
          <w:pgSz w:w="11900" w:h="16838" w:orient="portrait"/>
          <w:cols w:equalWidth="0" w:num="1">
            <w:col w:w="10794"/>
          </w:cols>
          <w:pgMar w:left="326" w:top="869" w:right="7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24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other acquisition-related expenses, which include third-party diligence costs and expenses related to key employee holdback agreements, and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In order to present revenue on a constant currency basis for the quarter ended March 31, 2024,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spacing w:after="0" w:line="21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215"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20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9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key employee holdback payments related to our various acquisitions.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240"/>
          </w:cols>
          <w:pgMar w:left="320" w:top="8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Stabler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peterstabler@dropbox.com</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Alissa Stewart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press@dropbox.com</w:t>
      </w:r>
    </w:p>
    <w:sectPr>
      <w:pgSz w:w="11900" w:h="16838" w:orient="portrait"/>
      <w:cols w:equalWidth="0" w:num="1">
        <w:col w:w="10139"/>
      </w:cols>
      <w:pgMar w:left="320" w:top="8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Roman"/>
      <w:start w:val="3"/>
    </w:lvl>
  </w:abstractNum>
  <w:abstractNum w:abstractNumId="4">
    <w:nsid w:val="2EB141F2"/>
    <w:multiLevelType w:val="hybridMultilevel"/>
    <w:lvl w:ilvl="0">
      <w:lvlJc w:val="left"/>
      <w:lvlText w:val="(%1)"/>
      <w:numFmt w:val="lowerRoman"/>
      <w:start w:val="16"/>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2024-05-09T15:27:50Z</dcterms:created>
  <dcterms:modified xsi:type="dcterms:W3CDTF">2024-05-09T15:27:50Z</dcterms:modified>
</cp:coreProperties>
</file>