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78"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 240.13d-1(b), (c) and (d) and</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Amendments Thereto Filed Pursuant to § 240.13d-2</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Dropbox,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26210C 10 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w:t>
      </w:r>
    </w:p>
    <w:p>
      <w:pPr>
        <w:spacing w:after="0" w:line="27" w:lineRule="exact"/>
        <w:rPr>
          <w:sz w:val="24"/>
          <w:szCs w:val="24"/>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4"/>
        </w:trPr>
        <w:tc>
          <w:tcPr>
            <w:tcW w:w="1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CUSIP No. 26210C 10 4</w:t>
            </w:r>
          </w:p>
        </w:tc>
        <w:tc>
          <w:tcPr>
            <w:tcW w:w="67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SCHEDULE 13G</w:t>
            </w:r>
          </w:p>
        </w:tc>
        <w:tc>
          <w:tcPr>
            <w:tcW w:w="23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8"/>
              </w:rPr>
              <w:t>Page 2 of 8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60" w:type="dxa"/>
            <w:vAlign w:val="bottom"/>
            <w:tcBorders>
              <w:bottom w:val="single" w:sz="8" w:color="auto"/>
            </w:tcBorders>
            <w:gridSpan w:val="2"/>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SEQUOIA CAPITAL XII, L.P. (“SC XII”)</w:t>
            </w: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74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740" w:type="dxa"/>
            <w:vAlign w:val="bottom"/>
            <w:tcBorders>
              <w:bottom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740" w:type="dxa"/>
            <w:vAlign w:val="bottom"/>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gridSpan w:val="2"/>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20"/>
                <w:szCs w:val="20"/>
                <w:color w:val="auto"/>
              </w:rPr>
            </w:pPr>
          </w:p>
        </w:tc>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20"/>
                <w:szCs w:val="20"/>
                <w:color w:val="auto"/>
              </w:rPr>
            </w:pPr>
          </w:p>
        </w:tc>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740" w:type="dxa"/>
            <w:vAlign w:val="bottom"/>
            <w:tcBorders>
              <w:bottom w:val="single" w:sz="8" w:color="auto"/>
            </w:tcBorders>
            <w:vMerge w:val="continue"/>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tcPr>
          <w:p>
            <w:pPr>
              <w:spacing w:after="0"/>
              <w:rPr>
                <w:sz w:val="15"/>
                <w:szCs w:val="15"/>
                <w:color w:val="auto"/>
              </w:rPr>
            </w:pPr>
          </w:p>
        </w:tc>
        <w:tc>
          <w:tcPr>
            <w:tcW w:w="674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740" w:type="dxa"/>
            <w:vAlign w:val="bottom"/>
            <w:tcBorders>
              <w:bottom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12"/>
                <w:szCs w:val="12"/>
                <w:color w:val="auto"/>
              </w:rPr>
            </w:pPr>
          </w:p>
        </w:tc>
        <w:tc>
          <w:tcPr>
            <w:tcW w:w="6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740" w:type="dxa"/>
            <w:vAlign w:val="bottom"/>
            <w:vMerge w:val="continue"/>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15"/>
                <w:szCs w:val="15"/>
                <w:color w:val="auto"/>
              </w:rPr>
              <w:t>1</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12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315,878,882 shares outstanding as of November 2, 2020, as reported in the Issuer’s Quarterly Report on Form 10-Q filed with the Securities and Exchange Commission on November 6, 2020.</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4"/>
        </w:trPr>
        <w:tc>
          <w:tcPr>
            <w:tcW w:w="1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CUSIP No. 26210C 10 4</w:t>
            </w:r>
          </w:p>
        </w:tc>
        <w:tc>
          <w:tcPr>
            <w:tcW w:w="67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SCHEDULE 13G</w:t>
            </w:r>
          </w:p>
        </w:tc>
        <w:tc>
          <w:tcPr>
            <w:tcW w:w="23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8"/>
              </w:rPr>
              <w:t>Page 3 of 8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60" w:type="dxa"/>
            <w:vAlign w:val="bottom"/>
            <w:tcBorders>
              <w:bottom w:val="single" w:sz="8" w:color="auto"/>
            </w:tcBorders>
            <w:gridSpan w:val="2"/>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SEQUOIA CAPITAL XII PRINCIPALS FUND, LLC (“SC XII PF”)</w:t>
            </w: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74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740" w:type="dxa"/>
            <w:vAlign w:val="bottom"/>
            <w:tcBorders>
              <w:bottom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740" w:type="dxa"/>
            <w:vAlign w:val="bottom"/>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gridSpan w:val="2"/>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20"/>
                <w:szCs w:val="20"/>
                <w:color w:val="auto"/>
              </w:rPr>
            </w:pPr>
          </w:p>
        </w:tc>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20"/>
                <w:szCs w:val="20"/>
                <w:color w:val="auto"/>
              </w:rPr>
            </w:pPr>
          </w:p>
        </w:tc>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740" w:type="dxa"/>
            <w:vAlign w:val="bottom"/>
            <w:tcBorders>
              <w:bottom w:val="single" w:sz="8" w:color="auto"/>
            </w:tcBorders>
            <w:vMerge w:val="continue"/>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tcPr>
          <w:p>
            <w:pPr>
              <w:spacing w:after="0"/>
              <w:rPr>
                <w:sz w:val="15"/>
                <w:szCs w:val="15"/>
                <w:color w:val="auto"/>
              </w:rPr>
            </w:pPr>
          </w:p>
        </w:tc>
        <w:tc>
          <w:tcPr>
            <w:tcW w:w="674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740" w:type="dxa"/>
            <w:vAlign w:val="bottom"/>
            <w:tcBorders>
              <w:bottom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12"/>
                <w:szCs w:val="12"/>
                <w:color w:val="auto"/>
              </w:rPr>
            </w:pPr>
          </w:p>
        </w:tc>
        <w:tc>
          <w:tcPr>
            <w:tcW w:w="6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740" w:type="dxa"/>
            <w:vAlign w:val="bottom"/>
            <w:vMerge w:val="continue"/>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15"/>
                <w:szCs w:val="15"/>
                <w:color w:val="auto"/>
              </w:rPr>
              <w:t>1</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right="12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315,878,882 shares outstanding as of November 2, 2020, as reported in the Issuer’s Quarterly Report on Form 10-Q filed with the Securities and Exchange Commission on November 6, 2020.</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4"/>
        </w:trPr>
        <w:tc>
          <w:tcPr>
            <w:tcW w:w="1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CUSIP No. 26210C 10 4</w:t>
            </w:r>
          </w:p>
        </w:tc>
        <w:tc>
          <w:tcPr>
            <w:tcW w:w="67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SCHEDULE 13G</w:t>
            </w:r>
          </w:p>
        </w:tc>
        <w:tc>
          <w:tcPr>
            <w:tcW w:w="23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8"/>
              </w:rPr>
              <w:t>Page 4 of 8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60" w:type="dxa"/>
            <w:vAlign w:val="bottom"/>
            <w:tcBorders>
              <w:bottom w:val="single" w:sz="8" w:color="auto"/>
            </w:tcBorders>
            <w:gridSpan w:val="2"/>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SEQUOIA TECHNOLOGY PARTNERS XII, L.P. (“STP XII”)</w:t>
            </w: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74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740" w:type="dxa"/>
            <w:vAlign w:val="bottom"/>
            <w:tcBorders>
              <w:bottom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740" w:type="dxa"/>
            <w:vAlign w:val="bottom"/>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gridSpan w:val="2"/>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20"/>
                <w:szCs w:val="20"/>
                <w:color w:val="auto"/>
              </w:rPr>
            </w:pPr>
          </w:p>
        </w:tc>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20"/>
                <w:szCs w:val="20"/>
                <w:color w:val="auto"/>
              </w:rPr>
            </w:pPr>
          </w:p>
        </w:tc>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740" w:type="dxa"/>
            <w:vAlign w:val="bottom"/>
            <w:tcBorders>
              <w:bottom w:val="single" w:sz="8" w:color="auto"/>
            </w:tcBorders>
            <w:vMerge w:val="continue"/>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tcPr>
          <w:p>
            <w:pPr>
              <w:spacing w:after="0"/>
              <w:rPr>
                <w:sz w:val="15"/>
                <w:szCs w:val="15"/>
                <w:color w:val="auto"/>
              </w:rPr>
            </w:pPr>
          </w:p>
        </w:tc>
        <w:tc>
          <w:tcPr>
            <w:tcW w:w="674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740" w:type="dxa"/>
            <w:vAlign w:val="bottom"/>
            <w:tcBorders>
              <w:bottom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12"/>
                <w:szCs w:val="12"/>
                <w:color w:val="auto"/>
              </w:rPr>
            </w:pPr>
          </w:p>
        </w:tc>
        <w:tc>
          <w:tcPr>
            <w:tcW w:w="6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740" w:type="dxa"/>
            <w:vAlign w:val="bottom"/>
            <w:vMerge w:val="continue"/>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15"/>
                <w:szCs w:val="15"/>
                <w:color w:val="auto"/>
              </w:rPr>
              <w:t>1</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PN</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12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315,878,882 shares outstanding as of November 2, 2020, as reported in the Issuer’s Quarterly Report on Form 10-Q filed with the Securities and Exchange Commission on November 6, 2020.</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34"/>
        </w:trPr>
        <w:tc>
          <w:tcPr>
            <w:tcW w:w="1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CUSIP No. 26210C 10 4</w:t>
            </w:r>
          </w:p>
        </w:tc>
        <w:tc>
          <w:tcPr>
            <w:tcW w:w="67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SCHEDULE 13G</w:t>
            </w:r>
          </w:p>
        </w:tc>
        <w:tc>
          <w:tcPr>
            <w:tcW w:w="23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8"/>
              </w:rPr>
              <w:t>Page 5 of 8 Pages</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60" w:type="dxa"/>
            <w:vAlign w:val="bottom"/>
            <w:tcBorders>
              <w:bottom w:val="single" w:sz="8" w:color="auto"/>
            </w:tcBorders>
            <w:gridSpan w:val="2"/>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SC XII MANAGEMENT, LLC (“SC XII LLC”)</w:t>
            </w: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8260" w:type="dxa"/>
            <w:vAlign w:val="bottom"/>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80" w:type="dxa"/>
            <w:vAlign w:val="bottom"/>
            <w:gridSpan w:val="3"/>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74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740" w:type="dxa"/>
            <w:vAlign w:val="bottom"/>
            <w:tcBorders>
              <w:bottom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6740" w:type="dxa"/>
            <w:vAlign w:val="bottom"/>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60" w:type="dxa"/>
            <w:vAlign w:val="bottom"/>
            <w:tcBorders>
              <w:bottom w:val="single" w:sz="8" w:color="auto"/>
            </w:tcBorders>
            <w:gridSpan w:val="2"/>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20"/>
                <w:szCs w:val="20"/>
                <w:color w:val="auto"/>
              </w:rPr>
            </w:pPr>
          </w:p>
        </w:tc>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380" w:type="dxa"/>
            <w:vAlign w:val="bottom"/>
            <w:tcBorders>
              <w:left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Borders>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right w:val="single" w:sz="8" w:color="auto"/>
            </w:tcBorders>
          </w:tcPr>
          <w:p>
            <w:pPr>
              <w:spacing w:after="0"/>
              <w:rPr>
                <w:sz w:val="20"/>
                <w:szCs w:val="20"/>
                <w:color w:val="auto"/>
              </w:rPr>
            </w:pPr>
          </w:p>
        </w:tc>
        <w:tc>
          <w:tcPr>
            <w:tcW w:w="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20"/>
                <w:szCs w:val="20"/>
                <w:color w:val="auto"/>
              </w:rPr>
            </w:pPr>
          </w:p>
        </w:tc>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140" w:type="dxa"/>
            <w:vAlign w:val="bottom"/>
            <w:tcBorders>
              <w:right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740" w:type="dxa"/>
            <w:vAlign w:val="bottom"/>
            <w:tcBorders>
              <w:bottom w:val="single" w:sz="8" w:color="auto"/>
            </w:tcBorders>
            <w:vMerge w:val="continue"/>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tcPr>
          <w:p>
            <w:pPr>
              <w:spacing w:after="0"/>
              <w:rPr>
                <w:sz w:val="15"/>
                <w:szCs w:val="15"/>
                <w:color w:val="auto"/>
              </w:rPr>
            </w:pPr>
          </w:p>
        </w:tc>
        <w:tc>
          <w:tcPr>
            <w:tcW w:w="674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2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8"/>
              </w:rPr>
              <w:t>REPORTING</w:t>
            </w:r>
          </w:p>
        </w:tc>
        <w:tc>
          <w:tcPr>
            <w:tcW w:w="140" w:type="dxa"/>
            <w:vAlign w:val="bottom"/>
            <w:tcBorders>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PERSON</w:t>
            </w:r>
          </w:p>
        </w:tc>
        <w:tc>
          <w:tcPr>
            <w:tcW w:w="14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WITH</w:t>
            </w:r>
          </w:p>
        </w:tc>
        <w:tc>
          <w:tcPr>
            <w:tcW w:w="140" w:type="dxa"/>
            <w:vAlign w:val="bottom"/>
            <w:tcBorders>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740" w:type="dxa"/>
            <w:vAlign w:val="bottom"/>
            <w:tcBorders>
              <w:bottom w:val="single" w:sz="8" w:color="auto"/>
            </w:tcBorders>
          </w:tcPr>
          <w:p>
            <w:pPr>
              <w:spacing w:after="0"/>
              <w:rPr>
                <w:sz w:val="5"/>
                <w:szCs w:val="5"/>
                <w:color w:val="auto"/>
              </w:rPr>
            </w:pPr>
          </w:p>
        </w:tc>
        <w:tc>
          <w:tcPr>
            <w:tcW w:w="23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12"/>
                <w:szCs w:val="12"/>
                <w:color w:val="auto"/>
              </w:rPr>
            </w:pPr>
          </w:p>
        </w:tc>
        <w:tc>
          <w:tcPr>
            <w:tcW w:w="6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6740" w:type="dxa"/>
            <w:vAlign w:val="bottom"/>
            <w:vMerge w:val="continue"/>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79"/>
              </w:rPr>
              <w:t>AGGREGATE</w:t>
            </w:r>
          </w:p>
        </w:tc>
        <w:tc>
          <w:tcPr>
            <w:tcW w:w="32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82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15"/>
                <w:szCs w:val="15"/>
                <w:color w:val="auto"/>
              </w:rPr>
              <w:t>1</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82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c>
          <w:tcPr>
            <w:tcW w:w="2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12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315,878,882 shares outstanding as of November 2, 2020, as reported in the Issuer’s Quarterly Report on Form 10-Q filed with the Securities and Exchange Commission on November 6, 2020.</w:t>
      </w:r>
    </w:p>
    <w:p>
      <w:pPr>
        <w:sectPr>
          <w:pgSz w:w="11900" w:h="16838" w:orient="portrait"/>
          <w:cols w:equalWidth="0" w:num="1">
            <w:col w:w="11024"/>
          </w:cols>
          <w:pgMar w:left="436" w:top="270" w:right="439" w:bottom="1440" w:gutter="0" w:footer="0" w:header="0"/>
        </w:sectPr>
      </w:pPr>
    </w:p>
    <w:bookmarkStart w:id="5" w:name="page6"/>
    <w:bookmarkEnd w:id="5"/>
    <w:p>
      <w:pPr>
        <w:ind w:left="4"/>
        <w:spacing w:after="0"/>
        <w:tabs>
          <w:tab w:leader="none" w:pos="4904" w:val="left"/>
          <w:tab w:leader="none" w:pos="97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26210C 10 4</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6 of 8 Pages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1.</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Name of Issuer: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Dropbox, Inc., a Delaware corporation (“Issuer”)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Address of Issuer’s Principal Executive Offices: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333 Brannan Street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San Francisco, CA 94107</w:t>
      </w:r>
    </w:p>
    <w:p>
      <w:pPr>
        <w:spacing w:after="0" w:line="3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2.</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Name of Persons Filing: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Sequoia Capital XII, 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Sequoia Capital XII Principals Fund, LLC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Sequoia Technology Partners XII, L.P.</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 XII Management, LLC</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General Partner of each of SC XII and STP XII, and the Managing Member of SC XII PF is SC XII LLC.</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Address of Principal Business Office or, if none, Residence: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2800 Sand Hill Road, Suite 101</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 Citizenship:</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 XII, SC XII PF, STP XII, SC XII LLC: Delaware</w:t>
      </w:r>
    </w:p>
    <w:p>
      <w:pPr>
        <w:spacing w:after="0" w:line="225" w:lineRule="exact"/>
        <w:rPr>
          <w:sz w:val="20"/>
          <w:szCs w:val="20"/>
          <w:color w:val="auto"/>
        </w:rPr>
      </w:pPr>
    </w:p>
    <w:p>
      <w:pPr>
        <w:ind w:left="4" w:right="9580" w:hanging="4"/>
        <w:spacing w:after="0" w:line="578" w:lineRule="auto"/>
        <w:tabs>
          <w:tab w:leader="none" w:pos="25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26210C 10 4</w:t>
      </w:r>
    </w:p>
    <w:p>
      <w:pPr>
        <w:spacing w:after="0" w:line="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3.</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this statement is filed pursuant to §§240.13d-1(b) or 240.13d-2(b) or (c), check whether the person filing is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SEE ROWS 5 THROUGH 11 OF COVER PAGES</w:t>
      </w:r>
    </w:p>
    <w:p>
      <w:pPr>
        <w:spacing w:after="0" w:line="374"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OWNERSHIP OF FIVE PERCENT OR LESS OF A CLASS</w:t>
      </w:r>
    </w:p>
    <w:p>
      <w:pPr>
        <w:spacing w:after="0" w:line="117" w:lineRule="exact"/>
        <w:rPr>
          <w:sz w:val="20"/>
          <w:szCs w:val="20"/>
          <w:color w:val="auto"/>
        </w:rPr>
      </w:pPr>
    </w:p>
    <w:p>
      <w:pPr>
        <w:ind w:left="4" w:right="32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270" w:right="439" w:bottom="1440" w:gutter="0" w:footer="0" w:header="0"/>
        </w:sectPr>
      </w:pPr>
    </w:p>
    <w:bookmarkStart w:id="6" w:name="page7"/>
    <w:bookmarkEnd w:id="6"/>
    <w:p>
      <w:pPr>
        <w:spacing w:after="0"/>
        <w:tabs>
          <w:tab w:leader="none" w:pos="49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26210C 10 4</w:t>
      </w:r>
      <w:r>
        <w:rPr>
          <w:sz w:val="20"/>
          <w:szCs w:val="20"/>
          <w:color w:val="auto"/>
        </w:rPr>
        <w:tab/>
      </w:r>
      <w:r>
        <w:rPr>
          <w:rFonts w:ascii="Times New Roman" w:cs="Times New Roman" w:eastAsia="Times New Roman" w:hAnsi="Times New Roman"/>
          <w:sz w:val="18"/>
          <w:szCs w:val="18"/>
          <w:color w:val="auto"/>
        </w:rPr>
        <w:t>SCHEDULE 13G</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color w:val="auto"/>
        </w:rPr>
        <w:t>OWNERSHIP OF MORE THAN FIVE PERCENT ON BEHALF OF ANOTHER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7 of 8 Pages</w:t>
      </w:r>
    </w:p>
    <w:p>
      <w:pPr>
        <w:spacing w:after="0" w:line="575" w:lineRule="exact"/>
        <w:rPr>
          <w:sz w:val="20"/>
          <w:szCs w:val="20"/>
          <w:color w:val="auto"/>
        </w:rPr>
      </w:pPr>
    </w:p>
    <w:p>
      <w:pPr>
        <w:sectPr>
          <w:pgSz w:w="11900" w:h="16838" w:orient="portrait"/>
          <w:cols w:equalWidth="0" w:num="2">
            <w:col w:w="9020" w:space="720"/>
            <w:col w:w="1280"/>
          </w:cols>
          <w:pgMar w:left="440" w:top="270" w:right="4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70" w:right="439" w:bottom="1440" w:gutter="0" w:footer="0" w:header="0"/>
          <w:type w:val="continuous"/>
        </w:sectPr>
      </w:pPr>
    </w:p>
    <w:p>
      <w:pPr>
        <w:spacing w:after="0" w:line="385" w:lineRule="exact"/>
        <w:rPr>
          <w:sz w:val="20"/>
          <w:szCs w:val="20"/>
          <w:color w:val="auto"/>
        </w:rPr>
      </w:pPr>
    </w:p>
    <w:p>
      <w:pPr>
        <w:ind w:left="1080" w:right="300" w:hanging="1092"/>
        <w:spacing w:after="0" w:line="282" w:lineRule="auto"/>
        <w:tabs>
          <w:tab w:leader="none" w:pos="106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color w:val="auto"/>
        </w:rPr>
        <w:t>IDENTIFICATION AND CLASSIFICATION OF MEMBERS OF THE GROUP.</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color w:val="auto"/>
        </w:rPr>
        <w:t>NOTICE OF DISSOLUTION OF GROUP.</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20"/>
          </w:cols>
          <w:pgMar w:left="440" w:top="270" w:right="439" w:bottom="1440" w:gutter="0" w:footer="0" w:header="0"/>
          <w:type w:val="continuous"/>
        </w:sectPr>
      </w:pPr>
    </w:p>
    <w:bookmarkStart w:id="7" w:name="page8"/>
    <w:bookmarkEnd w:id="7"/>
    <w:p>
      <w:pPr>
        <w:spacing w:after="0"/>
        <w:tabs>
          <w:tab w:leader="none" w:pos="4900" w:val="left"/>
          <w:tab w:leader="none" w:pos="97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26210C 10 4</w:t>
      </w:r>
      <w:r>
        <w:rPr>
          <w:sz w:val="20"/>
          <w:szCs w:val="20"/>
          <w:color w:val="auto"/>
        </w:rPr>
        <w:tab/>
      </w:r>
      <w:r>
        <w:rPr>
          <w:rFonts w:ascii="Times New Roman" w:cs="Times New Roman" w:eastAsia="Times New Roman" w:hAnsi="Times New Roman"/>
          <w:sz w:val="18"/>
          <w:szCs w:val="18"/>
          <w:color w:val="auto"/>
        </w:rPr>
        <w:t>SCHEDULE 13G</w:t>
      </w:r>
      <w:r>
        <w:rPr>
          <w:sz w:val="20"/>
          <w:szCs w:val="20"/>
          <w:color w:val="auto"/>
        </w:rPr>
        <w:tab/>
      </w:r>
      <w:r>
        <w:rPr>
          <w:rFonts w:ascii="Times New Roman" w:cs="Times New Roman" w:eastAsia="Times New Roman" w:hAnsi="Times New Roman"/>
          <w:sz w:val="17"/>
          <w:szCs w:val="17"/>
          <w:color w:val="auto"/>
        </w:rPr>
        <w:t>Page 8 of 8 Pages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12, 2021</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Sequoia Capital XII, 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Sequoia Technology Partners XII, L.P.</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SC XII Management, LLC</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General Partner of each</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Douglas Leone, Managing Member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Sequoia Capital XII Principals Fund, LLC</w:t>
      </w:r>
    </w:p>
    <w:p>
      <w:pPr>
        <w:spacing w:after="0" w:line="225"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8"/>
          <w:szCs w:val="18"/>
          <w:color w:val="auto"/>
        </w:rPr>
        <w:t>By: SC XII Management, LLC</w:t>
      </w:r>
    </w:p>
    <w:p>
      <w:pPr>
        <w:spacing w:after="0" w:line="27"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Douglas Leone, Managing Member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SC XII Management,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Douglas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Douglas Leone, Managing Member</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2021-02-16T05:54:38Z</dcterms:created>
  <dcterms:modified xsi:type="dcterms:W3CDTF">2021-02-16T05:54:38Z</dcterms:modified>
</cp:coreProperties>
</file>