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BLAIR DONALD W</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05/18/2023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11,077</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100,637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The restricted stock units vest in full on the earlier of May 18, 2024 or the day prior to the date of the Issuer's next annual meeting of stockholders.</w:t>
      </w:r>
    </w:p>
    <w:p>
      <w:pPr>
        <w:spacing w:after="0" w:line="30" w:lineRule="exact"/>
        <w:rPr>
          <w:rFonts w:ascii="Arial" w:cs="Arial" w:eastAsia="Arial" w:hAnsi="Arial"/>
          <w:sz w:val="14"/>
          <w:szCs w:val="14"/>
          <w:color w:val="008000"/>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05/22/2023</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778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2023-05-22T15:11:56Z</dcterms:created>
  <dcterms:modified xsi:type="dcterms:W3CDTF">2023-05-22T15:11:56Z</dcterms:modified>
</cp:coreProperties>
</file>