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30"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39"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May 21, 2020</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218" w:right="239" w:bottom="1440" w:gutter="0" w:footer="0" w:header="0"/>
        </w:sectPr>
      </w:pPr>
    </w:p>
    <w:p>
      <w:pPr>
        <w:spacing w:after="0" w:line="145" w:lineRule="exact"/>
        <w:rPr>
          <w:sz w:val="24"/>
          <w:szCs w:val="24"/>
          <w:color w:val="auto"/>
        </w:rPr>
      </w:pPr>
    </w:p>
    <w:p>
      <w:pPr>
        <w:ind w:left="20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1720"/>
        <w:spacing w:after="0"/>
        <w:rPr>
          <w:sz w:val="20"/>
          <w:szCs w:val="20"/>
          <w:color w:val="auto"/>
        </w:rPr>
      </w:pPr>
      <w:r>
        <w:rPr>
          <w:rFonts w:ascii="Arial" w:cs="Arial" w:eastAsia="Arial" w:hAnsi="Arial"/>
          <w:sz w:val="15"/>
          <w:szCs w:val="15"/>
          <w:b w:val="1"/>
          <w:bCs w:val="1"/>
          <w:color w:val="auto"/>
        </w:rPr>
        <w:t>001-38434</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26-0138832</w:t>
      </w:r>
    </w:p>
    <w:p>
      <w:pPr>
        <w:spacing w:after="0" w:line="93" w:lineRule="exact"/>
        <w:rPr>
          <w:sz w:val="24"/>
          <w:szCs w:val="24"/>
          <w:color w:val="auto"/>
        </w:rPr>
      </w:pPr>
    </w:p>
    <w:p>
      <w:pPr>
        <w:sectPr>
          <w:pgSz w:w="11900" w:h="16838" w:orient="portrait"/>
          <w:cols w:equalWidth="0" w:num="3">
            <w:col w:w="4580" w:space="720"/>
            <w:col w:w="2480" w:space="720"/>
            <w:col w:w="2840"/>
          </w:cols>
          <w:pgMar w:left="320" w:top="218" w:right="239" w:bottom="1440" w:gutter="0" w:footer="0" w:header="0"/>
          <w:type w:val="continuous"/>
        </w:sectPr>
      </w:pPr>
    </w:p>
    <w:p>
      <w:pPr>
        <w:jc w:val="center"/>
        <w:ind w:left="82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 R. S. Employer Identification No.)</w:t>
      </w:r>
    </w:p>
    <w:p>
      <w:pPr>
        <w:spacing w:after="0" w:line="57" w:lineRule="exact"/>
        <w:rPr>
          <w:sz w:val="24"/>
          <w:szCs w:val="24"/>
          <w:color w:val="auto"/>
        </w:rPr>
      </w:pPr>
    </w:p>
    <w:p>
      <w:pPr>
        <w:sectPr>
          <w:pgSz w:w="11900" w:h="16838" w:orient="portrait"/>
          <w:cols w:equalWidth="0" w:num="3">
            <w:col w:w="3940" w:space="720"/>
            <w:col w:w="2160" w:space="720"/>
            <w:col w:w="3800"/>
          </w:cols>
          <w:pgMar w:left="320" w:top="218" w:right="239" w:bottom="1440" w:gutter="0" w:footer="0" w:header="0"/>
          <w:type w:val="continuous"/>
        </w:sectPr>
      </w:pPr>
    </w:p>
    <w:p>
      <w:pPr>
        <w:ind w:left="182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218" w:right="239" w:bottom="1440" w:gutter="0" w:footer="0" w:header="0"/>
          <w:type w:val="continuous"/>
        </w:sectPr>
      </w:pPr>
    </w:p>
    <w:p>
      <w:pPr>
        <w:spacing w:after="0" w:line="26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7" w:lineRule="exact"/>
        <w:rPr>
          <w:sz w:val="24"/>
          <w:szCs w:val="24"/>
          <w:color w:val="auto"/>
        </w:rPr>
      </w:pPr>
    </w:p>
    <w:p>
      <w:pPr>
        <w:ind w:right="220"/>
        <w:spacing w:after="0" w:line="25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Written communications pursuant to Rule 425 under the Securities Act (17 CFR 230.425)</w:t>
      </w:r>
    </w:p>
    <w:p>
      <w:pPr>
        <w:spacing w:after="0" w:line="190"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Soliciting material pursuant to Rule 14a-12 under the Exchange Act (17 CFR 240.14a-12)</w:t>
      </w:r>
    </w:p>
    <w:p>
      <w:pPr>
        <w:spacing w:after="0" w:line="237"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14d-2(b) under the Exchange Act (17 CFR 240.14d-2(b))</w:t>
      </w:r>
    </w:p>
    <w:p>
      <w:pPr>
        <w:spacing w:after="0" w:line="237"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13e-4(c) under the Exchange Act (17 CFR 240.13e-4(c))</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95885</wp:posOffset>
            </wp:positionV>
            <wp:extent cx="6240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28"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68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w w:val="87"/>
              </w:rPr>
              <w:t>Title of each class</w:t>
            </w:r>
          </w:p>
        </w:tc>
        <w:tc>
          <w:tcPr>
            <w:tcW w:w="32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1"/>
              </w:rPr>
              <w:t>Trading Symbol(s)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r>
        <w:trPr>
          <w:trHeight w:val="208"/>
        </w:trPr>
        <w:tc>
          <w:tcPr>
            <w:tcW w:w="368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Class A Common Stock, par value $0.00001 per share</w:t>
            </w:r>
          </w:p>
        </w:tc>
        <w:tc>
          <w:tcPr>
            <w:tcW w:w="600" w:type="dxa"/>
            <w:vAlign w:val="bottom"/>
          </w:tcPr>
          <w:p>
            <w:pPr>
              <w:spacing w:after="0"/>
              <w:rPr>
                <w:sz w:val="18"/>
                <w:szCs w:val="18"/>
                <w:color w:val="auto"/>
              </w:rPr>
            </w:pPr>
          </w:p>
        </w:tc>
        <w:tc>
          <w:tcPr>
            <w:tcW w:w="2640" w:type="dxa"/>
            <w:vAlign w:val="bottom"/>
            <w:gridSpan w:val="2"/>
          </w:tcPr>
          <w:p>
            <w:pPr>
              <w:jc w:val="center"/>
              <w:ind w:right="1540"/>
              <w:spacing w:after="0"/>
              <w:rPr>
                <w:sz w:val="20"/>
                <w:szCs w:val="20"/>
                <w:color w:val="auto"/>
              </w:rPr>
            </w:pPr>
            <w:r>
              <w:rPr>
                <w:rFonts w:ascii="Arial" w:cs="Arial" w:eastAsia="Arial" w:hAnsi="Arial"/>
                <w:sz w:val="14"/>
                <w:szCs w:val="14"/>
                <w:color w:val="auto"/>
              </w:rPr>
              <w:t>DBX</w:t>
            </w:r>
          </w:p>
        </w:tc>
        <w:tc>
          <w:tcPr>
            <w:tcW w:w="230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33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371"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93" w:lineRule="exact"/>
        <w:rPr>
          <w:sz w:val="24"/>
          <w:szCs w:val="24"/>
          <w:color w:val="auto"/>
        </w:rPr>
      </w:pPr>
    </w:p>
    <w:p>
      <w:pPr>
        <w:ind w:right="260"/>
        <w:spacing w:after="0" w:line="26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340"/>
          </w:cols>
          <w:pgMar w:left="320" w:top="218"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00" w:lineRule="exact"/>
        <w:rPr>
          <w:sz w:val="20"/>
          <w:szCs w:val="20"/>
          <w:color w:val="auto"/>
        </w:rPr>
      </w:pPr>
    </w:p>
    <w:p>
      <w:pPr>
        <w:spacing w:after="0" w:line="2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May 21, 2020, at the 2020 Annual Meeting of Stockholders (the “Annual Meeting”) of Dropbox, Inc. (the “Company”), the Company’s stockholders voted upon the following proposals described in the Company’s definitive proxy statement filed with the Securities and Exchange Commission on April 7, 2020: (1) to elect eight directors to the Board of Directors of the Company; (2) to ratify the appointment of Ernst &amp; Young LLP, an independent registered public accounting firm, as auditors for the fiscal year ending December 31, 2020; and (3) to approve a non-binding advisory vote regarding executive compensation.</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All nominated directors were elected and the other proposals were approved by the required stockholder vote. The final voting results with respect to each proposal is as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(1) Proposal for election of eight directors: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120" w:type="dxa"/>
            <w:vAlign w:val="bottom"/>
            <w:gridSpan w:val="2"/>
          </w:tcPr>
          <w:p>
            <w:pPr>
              <w:ind w:left="660"/>
              <w:spacing w:after="0"/>
              <w:rPr>
                <w:sz w:val="20"/>
                <w:szCs w:val="20"/>
                <w:color w:val="auto"/>
              </w:rPr>
            </w:pPr>
            <w:r>
              <w:rPr>
                <w:rFonts w:ascii="Arial" w:cs="Arial" w:eastAsia="Arial" w:hAnsi="Arial"/>
                <w:sz w:val="18"/>
                <w:szCs w:val="18"/>
                <w:b w:val="1"/>
                <w:bCs w:val="1"/>
                <w:color w:val="auto"/>
              </w:rPr>
              <w:t>Withhold</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34"/>
        </w:trPr>
        <w:tc>
          <w:tcPr>
            <w:tcW w:w="49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Donald W. Blair</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1,570,650,902</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75,756,978</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49,590,841</w:t>
            </w:r>
          </w:p>
        </w:tc>
      </w:tr>
      <w:tr>
        <w:trPr>
          <w:trHeight w:val="238"/>
        </w:trPr>
        <w:tc>
          <w:tcPr>
            <w:tcW w:w="4960" w:type="dxa"/>
            <w:vAlign w:val="bottom"/>
          </w:tcPr>
          <w:p>
            <w:pPr>
              <w:ind w:left="40"/>
              <w:spacing w:after="0"/>
              <w:rPr>
                <w:sz w:val="20"/>
                <w:szCs w:val="20"/>
                <w:color w:val="auto"/>
              </w:rPr>
            </w:pPr>
            <w:r>
              <w:rPr>
                <w:rFonts w:ascii="Arial" w:cs="Arial" w:eastAsia="Arial" w:hAnsi="Arial"/>
                <w:sz w:val="18"/>
                <w:szCs w:val="18"/>
                <w:color w:val="auto"/>
              </w:rPr>
              <w:t>Lisa Campbell</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1,645,201,874</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1,206,006</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49,590,841</w:t>
            </w:r>
          </w:p>
        </w:tc>
      </w:tr>
      <w:tr>
        <w:trPr>
          <w:trHeight w:val="28"/>
        </w:trPr>
        <w:tc>
          <w:tcPr>
            <w:tcW w:w="4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Andrew W. Houston</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1,570,307,388</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76,100,492</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49,590,841</w:t>
            </w:r>
          </w:p>
        </w:tc>
      </w:tr>
      <w:tr>
        <w:trPr>
          <w:trHeight w:val="238"/>
        </w:trPr>
        <w:tc>
          <w:tcPr>
            <w:tcW w:w="4960" w:type="dxa"/>
            <w:vAlign w:val="bottom"/>
          </w:tcPr>
          <w:p>
            <w:pPr>
              <w:ind w:left="40"/>
              <w:spacing w:after="0"/>
              <w:rPr>
                <w:sz w:val="20"/>
                <w:szCs w:val="20"/>
                <w:color w:val="auto"/>
              </w:rPr>
            </w:pPr>
            <w:r>
              <w:rPr>
                <w:rFonts w:ascii="Arial" w:cs="Arial" w:eastAsia="Arial" w:hAnsi="Arial"/>
                <w:sz w:val="18"/>
                <w:szCs w:val="18"/>
                <w:color w:val="auto"/>
              </w:rPr>
              <w:t>Paul E. Jacobs</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1,569,508,058</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76,899,822</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49,590,841</w:t>
            </w:r>
          </w:p>
        </w:tc>
      </w:tr>
      <w:tr>
        <w:trPr>
          <w:trHeight w:val="28"/>
        </w:trPr>
        <w:tc>
          <w:tcPr>
            <w:tcW w:w="4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J. Mylod, Jr.</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1,569,475,870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76,932,010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49,590,841</w:t>
            </w:r>
          </w:p>
        </w:tc>
      </w:tr>
      <w:tr>
        <w:trPr>
          <w:trHeight w:val="238"/>
        </w:trPr>
        <w:tc>
          <w:tcPr>
            <w:tcW w:w="4960" w:type="dxa"/>
            <w:vAlign w:val="bottom"/>
          </w:tcPr>
          <w:p>
            <w:pPr>
              <w:ind w:left="40"/>
              <w:spacing w:after="0"/>
              <w:rPr>
                <w:sz w:val="20"/>
                <w:szCs w:val="20"/>
                <w:color w:val="auto"/>
              </w:rPr>
            </w:pPr>
            <w:r>
              <w:rPr>
                <w:rFonts w:ascii="Arial" w:cs="Arial" w:eastAsia="Arial" w:hAnsi="Arial"/>
                <w:sz w:val="18"/>
                <w:szCs w:val="18"/>
                <w:color w:val="auto"/>
              </w:rPr>
              <w:t>Karen Peacock</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1,645,173,712</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1,234,168</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49,590,841</w:t>
            </w:r>
          </w:p>
        </w:tc>
      </w:tr>
      <w:tr>
        <w:trPr>
          <w:trHeight w:val="28"/>
        </w:trPr>
        <w:tc>
          <w:tcPr>
            <w:tcW w:w="4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Condoleezza Rice</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1,568,529,758</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77,878,122</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49,590,841</w:t>
            </w:r>
          </w:p>
        </w:tc>
      </w:tr>
      <w:tr>
        <w:trPr>
          <w:trHeight w:val="238"/>
        </w:trPr>
        <w:tc>
          <w:tcPr>
            <w:tcW w:w="4960" w:type="dxa"/>
            <w:vAlign w:val="bottom"/>
          </w:tcPr>
          <w:p>
            <w:pPr>
              <w:ind w:left="40"/>
              <w:spacing w:after="0"/>
              <w:rPr>
                <w:sz w:val="20"/>
                <w:szCs w:val="20"/>
                <w:color w:val="auto"/>
              </w:rPr>
            </w:pPr>
            <w:r>
              <w:rPr>
                <w:rFonts w:ascii="Arial" w:cs="Arial" w:eastAsia="Arial" w:hAnsi="Arial"/>
                <w:sz w:val="18"/>
                <w:szCs w:val="18"/>
                <w:color w:val="auto"/>
              </w:rPr>
              <w:t>R. Bryan Schreier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1,569,571,722</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76,836,158</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49,590,841</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(2) Proposal to ratify Ernst &amp; Young LLP as auditors for the fiscal year ending December 31, 2020:</w:t>
      </w:r>
    </w:p>
    <w:p>
      <w:pPr>
        <w:spacing w:after="0" w:line="371"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32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6"/>
              </w:rPr>
              <w:t>For</w:t>
            </w:r>
          </w:p>
        </w:tc>
        <w:tc>
          <w:tcPr>
            <w:tcW w:w="3320" w:type="dxa"/>
            <w:vAlign w:val="bottom"/>
            <w:gridSpan w:val="2"/>
          </w:tcPr>
          <w:p>
            <w:pPr>
              <w:ind w:left="800"/>
              <w:spacing w:after="0"/>
              <w:rPr>
                <w:sz w:val="20"/>
                <w:szCs w:val="20"/>
                <w:color w:val="auto"/>
              </w:rPr>
            </w:pPr>
            <w:r>
              <w:rPr>
                <w:rFonts w:ascii="Arial" w:cs="Arial" w:eastAsia="Arial" w:hAnsi="Arial"/>
                <w:sz w:val="18"/>
                <w:szCs w:val="18"/>
                <w:b w:val="1"/>
                <w:bCs w:val="1"/>
                <w:color w:val="auto"/>
              </w:rPr>
              <w:t>Against</w:t>
            </w:r>
          </w:p>
        </w:tc>
        <w:tc>
          <w:tcPr>
            <w:tcW w:w="2180" w:type="dxa"/>
            <w:vAlign w:val="bottom"/>
          </w:tcPr>
          <w:p>
            <w:pPr>
              <w:ind w:left="800"/>
              <w:spacing w:after="0"/>
              <w:rPr>
                <w:sz w:val="20"/>
                <w:szCs w:val="20"/>
                <w:color w:val="auto"/>
              </w:rPr>
            </w:pPr>
            <w:r>
              <w:rPr>
                <w:rFonts w:ascii="Arial" w:cs="Arial" w:eastAsia="Arial" w:hAnsi="Arial"/>
                <w:sz w:val="18"/>
                <w:szCs w:val="18"/>
                <w:b w:val="1"/>
                <w:bCs w:val="1"/>
                <w:color w:val="auto"/>
              </w:rPr>
              <w:t>Abstain</w:t>
            </w:r>
          </w:p>
        </w:tc>
      </w:tr>
      <w:tr>
        <w:trPr>
          <w:trHeight w:val="28"/>
        </w:trPr>
        <w:tc>
          <w:tcPr>
            <w:tcW w:w="212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1"/>
        </w:trPr>
        <w:tc>
          <w:tcPr>
            <w:tcW w:w="21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1,694,807,251</w:t>
            </w:r>
          </w:p>
        </w:tc>
        <w:tc>
          <w:tcPr>
            <w:tcW w:w="1140" w:type="dxa"/>
            <w:vAlign w:val="bottom"/>
            <w:shd w:val="clear" w:color="auto" w:fill="CCEEFF"/>
          </w:tcPr>
          <w:p>
            <w:pPr>
              <w:spacing w:after="0"/>
              <w:rPr>
                <w:sz w:val="20"/>
                <w:szCs w:val="20"/>
                <w:color w:val="auto"/>
              </w:rPr>
            </w:pPr>
          </w:p>
        </w:tc>
        <w:tc>
          <w:tcPr>
            <w:tcW w:w="2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378,742</w:t>
            </w:r>
          </w:p>
        </w:tc>
        <w:tc>
          <w:tcPr>
            <w:tcW w:w="1140" w:type="dxa"/>
            <w:vAlign w:val="bottom"/>
            <w:shd w:val="clear" w:color="auto" w:fill="CCEEFF"/>
          </w:tcPr>
          <w:p>
            <w:pPr>
              <w:spacing w:after="0"/>
              <w:rPr>
                <w:sz w:val="20"/>
                <w:szCs w:val="20"/>
                <w:color w:val="auto"/>
              </w:rPr>
            </w:pPr>
          </w:p>
        </w:tc>
        <w:tc>
          <w:tcPr>
            <w:tcW w:w="2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812,728</w:t>
            </w:r>
          </w:p>
        </w:tc>
      </w:tr>
      <w:tr>
        <w:trPr>
          <w:trHeight w:val="28"/>
        </w:trPr>
        <w:tc>
          <w:tcPr>
            <w:tcW w:w="2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(3) Proposal to approve a non-binding advisory resolution on the compensation of the named executive officers of the Company: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6"/>
              </w:rPr>
              <w:t>For</w:t>
            </w:r>
          </w:p>
        </w:tc>
        <w:tc>
          <w:tcPr>
            <w:tcW w:w="30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7"/>
              </w:rPr>
              <w:t>Against</w:t>
            </w:r>
          </w:p>
        </w:tc>
        <w:tc>
          <w:tcPr>
            <w:tcW w:w="30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0"/>
              </w:rPr>
              <w:t>Abstain</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8"/>
        </w:trPr>
        <w:tc>
          <w:tcPr>
            <w:tcW w:w="21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1"/>
        </w:trPr>
        <w:tc>
          <w:tcPr>
            <w:tcW w:w="214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1,624,906,253</w:t>
            </w:r>
          </w:p>
        </w:tc>
        <w:tc>
          <w:tcPr>
            <w:tcW w:w="102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20,036,700</w:t>
            </w:r>
          </w:p>
        </w:tc>
        <w:tc>
          <w:tcPr>
            <w:tcW w:w="102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1,464,927</w:t>
            </w:r>
          </w:p>
        </w:tc>
        <w:tc>
          <w:tcPr>
            <w:tcW w:w="100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49,590,841</w:t>
            </w:r>
          </w:p>
        </w:tc>
      </w:tr>
      <w:tr>
        <w:trPr>
          <w:trHeight w:val="28"/>
        </w:trPr>
        <w:tc>
          <w:tcPr>
            <w:tcW w:w="2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599"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May 26, 2020</w:t>
      </w:r>
    </w:p>
    <w:p>
      <w:pPr>
        <w:spacing w:after="0" w:line="200" w:lineRule="exact"/>
        <w:rPr>
          <w:sz w:val="20"/>
          <w:szCs w:val="20"/>
          <w:color w:val="auto"/>
        </w:rPr>
      </w:pPr>
    </w:p>
    <w:p>
      <w:pPr>
        <w:spacing w:after="0" w:line="3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27940</wp:posOffset>
            </wp:positionV>
            <wp:extent cx="2783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5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Bart Volkmer</w:t>
      </w:r>
    </w:p>
    <w:p>
      <w:pPr>
        <w:spacing w:after="0" w:line="5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1100"/>
      </w:cols>
      <w:pgMar w:left="320" w:top="54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2020-05-26T15:37:04Z</dcterms:created>
  <dcterms:modified xsi:type="dcterms:W3CDTF">2020-05-26T15:37:04Z</dcterms:modified>
</cp:coreProperties>
</file>