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04/01/2021</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80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3,884</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26.92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296,328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04/01/2021</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5"/>
              </w:rPr>
              <w:t>175,207</w:t>
            </w:r>
            <w:r>
              <w:rPr>
                <w:rFonts w:ascii="Arial" w:cs="Arial" w:eastAsia="Arial" w:hAnsi="Arial"/>
                <w:sz w:val="22"/>
                <w:szCs w:val="22"/>
                <w:color w:val="008000"/>
                <w:w w:val="95"/>
                <w:vertAlign w:val="superscript"/>
              </w:rPr>
              <w:t>(3)</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471,535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25" w:lineRule="exact"/>
        <w:rPr>
          <w:rFonts w:ascii="Arial" w:cs="Arial" w:eastAsia="Arial" w:hAnsi="Arial"/>
          <w:sz w:val="13"/>
          <w:szCs w:val="13"/>
          <w:color w:val="008000"/>
        </w:rPr>
      </w:pPr>
    </w:p>
    <w:p>
      <w:pPr>
        <w:ind w:left="40" w:right="3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awards. Each restricted stock award represents the Reporting Person's right to receive one share of Class A Common Stock. The restricted stock awards vest as to 1/16th of the shares on May 15, 2021 and each three-month anniversary thereafter through February 15, 2025.</w:t>
      </w:r>
    </w:p>
    <w:p>
      <w:pPr>
        <w:sectPr>
          <w:pgSz w:w="11900" w:h="16838" w:orient="portrait"/>
          <w:cols w:equalWidth="0" w:num="1">
            <w:col w:w="11080"/>
          </w:cols>
          <w:pgMar w:left="460" w:top="225" w:right="359" w:bottom="1440" w:gutter="0" w:footer="0" w:header="0"/>
          <w:type w:val="continuous"/>
        </w:sectPr>
      </w:pP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0000FF"/>
        </w:rPr>
        <w:t>04/06/2021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2021-04-06T17:58:32Z</dcterms:created>
  <dcterms:modified xsi:type="dcterms:W3CDTF">2021-04-06T17:58:32Z</dcterms:modified>
</cp:coreProperties>
</file>