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7247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247890"/>
                    </a:xfrm>
                    <a:prstGeom prst="rect">
                      <a:avLst/>
                    </a:prstGeom>
                    <a:noFill/>
                  </pic:spPr>
                </pic:pic>
              </a:graphicData>
            </a:graphic>
          </wp:anchor>
        </w:drawing>
      </w:r>
    </w:p>
    <w:p>
      <w:pPr>
        <w:spacing w:after="0" w:line="101" w:lineRule="exact"/>
        <w:rPr>
          <w:sz w:val="24"/>
          <w:szCs w:val="24"/>
          <w:color w:val="auto"/>
        </w:rPr>
      </w:pPr>
    </w:p>
    <w:p>
      <w:pPr>
        <w:sectPr>
          <w:pgSz w:w="11900" w:h="16885" w:orient="portrait"/>
          <w:cols w:equalWidth="0" w:num="2">
            <w:col w:w="2260" w:space="280"/>
            <w:col w:w="854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Houston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DROPBOX,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DBX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8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06/03/2024</w:t>
            </w:r>
          </w:p>
        </w:tc>
        <w:tc>
          <w:tcPr>
            <w:tcW w:w="22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60" w:type="dxa"/>
            <w:vAlign w:val="bottom"/>
            <w:gridSpan w:val="3"/>
            <w:vMerge w:val="continue"/>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5" w:orient="portrait"/>
          <w:cols w:equalWidth="0" w:num="2">
            <w:col w:w="3120" w:space="72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138"/>
              <w:spacing w:after="0"/>
              <w:rPr>
                <w:sz w:val="20"/>
                <w:szCs w:val="20"/>
                <w:color w:val="auto"/>
              </w:rPr>
            </w:pPr>
            <w:r>
              <w:rPr>
                <w:rFonts w:ascii="Times New Roman" w:cs="Times New Roman" w:eastAsia="Times New Roman" w:hAnsi="Times New Roman"/>
                <w:sz w:val="17"/>
                <w:szCs w:val="17"/>
                <w:color w:val="0000FF"/>
              </w:rPr>
              <w:t>82,000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22.3952</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8,266,666</w:t>
            </w:r>
            <w:r>
              <w:rPr>
                <w:rFonts w:ascii="Times New Roman" w:cs="Times New Roman" w:eastAsia="Times New Roman" w:hAnsi="Times New Roman"/>
                <w:sz w:val="21"/>
                <w:szCs w:val="21"/>
                <w:color w:val="008000"/>
                <w:w w:val="94"/>
                <w:vertAlign w:val="superscript"/>
              </w:rPr>
              <w:t>(6)</w:t>
            </w:r>
          </w:p>
        </w:tc>
        <w:tc>
          <w:tcPr>
            <w:tcW w:w="3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38"/>
              <w:spacing w:after="0" w:line="129"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06/03/2024</w:t>
            </w:r>
          </w:p>
        </w:tc>
        <w:tc>
          <w:tcPr>
            <w:tcW w:w="1140" w:type="dxa"/>
            <w:vAlign w:val="bottom"/>
          </w:tcPr>
          <w:p>
            <w:pPr>
              <w:spacing w:after="0"/>
              <w:rPr>
                <w:sz w:val="4"/>
                <w:szCs w:val="4"/>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4"/>
                <w:szCs w:val="4"/>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4"/>
              </w:rPr>
              <w:t>82,000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70,433,629</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7,743,764</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58"/>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500,500</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(9)</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jc w:val="center"/>
              <w:ind w:left="136"/>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82,000 shares of Class B Common Stock were converted into 82,000 shares of Class A Common Stock at the election of the Reporting Person and had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$22.15 to $22.74.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06/05/2024</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59" w:hanging="100"/>
        <w:spacing w:after="0" w:line="244"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ind w:left="100" w:right="4159"/>
        <w:spacing w:after="0" w:line="279"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659" w:hanging="100"/>
        <w:spacing w:after="0" w:line="255"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5" w:lineRule="exact"/>
        <w:rPr>
          <w:sz w:val="20"/>
          <w:szCs w:val="20"/>
          <w:color w:val="auto"/>
        </w:rPr>
      </w:pPr>
    </w:p>
    <w:p>
      <w:pPr>
        <w:ind w:left="100" w:right="4559" w:hanging="100"/>
        <w:spacing w:after="0" w:line="247"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2024-06-05T15:08:32Z</dcterms:created>
  <dcterms:modified xsi:type="dcterms:W3CDTF">2024-06-05T15:08:32Z</dcterms:modified>
</cp:coreProperties>
</file>