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788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788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Houston Andrew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1800 OWENS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DROPBOX,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DBX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172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319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94158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right="20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500,500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Issuer's Class B Common Stock is convertible into the Issuer's Class A Common Stock on a one-for-one basis at the Reporting Person's election and has no expiration date.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securities beneficially owned was incorrectly set forth in the original Form 4 filed August 5, 2024.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Houston 2012 Irrevocable Children's Trust u/a/d 4/12/2012, for which Reporting Person serves as trustee.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Cara Angelmar,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08/27/2024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4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34563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2024-08-27T20:12:31Z</dcterms:created>
  <dcterms:modified xsi:type="dcterms:W3CDTF">2024-08-27T20:12:31Z</dcterms:modified>
</cp:coreProperties>
</file>