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Woodside Dennis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BRANNAN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DROPBOX,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DBX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09/04/2018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Operating Officer</w:t>
      </w:r>
    </w:p>
    <w:p>
      <w:pPr>
        <w:spacing w:after="0" w:line="33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80" w:type="dxa"/>
            <w:vAlign w:val="bottom"/>
            <w:gridSpan w:val="8"/>
          </w:tcPr>
          <w:p>
            <w:pPr>
              <w:jc w:val="center"/>
              <w:ind w:right="72"/>
              <w:spacing w:after="0"/>
              <w:rPr>
                <w:sz w:val="20"/>
                <w:szCs w:val="20"/>
                <w:color w:val="auto"/>
              </w:rPr>
            </w:pPr>
            <w:r>
              <w:rPr>
                <w:rFonts w:ascii="Arial" w:cs="Arial" w:eastAsia="Arial" w:hAnsi="Arial"/>
                <w:sz w:val="14"/>
                <w:szCs w:val="14"/>
                <w:color w:val="auto"/>
                <w:w w:val="95"/>
              </w:rPr>
              <w:t>4. If Amendment, Date of Original Filed (Month/Day/Year)</w:t>
            </w:r>
          </w:p>
        </w:tc>
        <w:tc>
          <w:tcPr>
            <w:tcW w:w="3620" w:type="dxa"/>
            <w:vAlign w:val="bottom"/>
            <w:gridSpan w:val="7"/>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94107</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5"/>
          </w:tcPr>
          <w:p>
            <w:pPr>
              <w:spacing w:after="0"/>
              <w:rPr>
                <w:sz w:val="11"/>
                <w:szCs w:val="11"/>
                <w:color w:val="auto"/>
              </w:rPr>
            </w:pPr>
          </w:p>
        </w:tc>
        <w:tc>
          <w:tcPr>
            <w:tcW w:w="258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820" w:type="dxa"/>
            <w:vAlign w:val="bottom"/>
            <w:tcBorders>
              <w:bottom w:val="single" w:sz="8" w:color="2C2C2C"/>
            </w:tcBorders>
            <w:gridSpan w:val="3"/>
          </w:tcPr>
          <w:p>
            <w:pPr>
              <w:ind w:left="820"/>
              <w:spacing w:after="0"/>
              <w:rPr>
                <w:sz w:val="20"/>
                <w:szCs w:val="20"/>
                <w:color w:val="auto"/>
              </w:rPr>
            </w:pPr>
            <w:r>
              <w:rPr>
                <w:rFonts w:ascii="Arial" w:cs="Arial" w:eastAsia="Arial" w:hAnsi="Arial"/>
                <w:sz w:val="18"/>
                <w:szCs w:val="18"/>
                <w:color w:val="0000FF"/>
              </w:rPr>
              <w:t>09/04/2018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7"/>
              <w:spacing w:after="0"/>
              <w:rPr>
                <w:sz w:val="20"/>
                <w:szCs w:val="20"/>
                <w:color w:val="auto"/>
              </w:rPr>
            </w:pPr>
            <w:r>
              <w:rPr>
                <w:rFonts w:ascii="Arial" w:cs="Arial" w:eastAsia="Arial" w:hAnsi="Arial"/>
                <w:sz w:val="14"/>
                <w:szCs w:val="14"/>
                <w:color w:val="0000FF"/>
                <w:w w:val="92"/>
              </w:rPr>
              <w:t>F</w:t>
            </w:r>
          </w:p>
        </w:tc>
        <w:tc>
          <w:tcPr>
            <w:tcW w:w="1060" w:type="dxa"/>
            <w:vAlign w:val="bottom"/>
            <w:tcBorders>
              <w:bottom w:val="single" w:sz="8" w:color="2C2C2C"/>
            </w:tcBorders>
            <w:gridSpan w:val="2"/>
          </w:tcPr>
          <w:p>
            <w:pPr>
              <w:jc w:val="center"/>
              <w:ind w:right="159"/>
              <w:spacing w:after="0"/>
              <w:rPr>
                <w:sz w:val="20"/>
                <w:szCs w:val="20"/>
                <w:color w:val="auto"/>
              </w:rPr>
            </w:pPr>
            <w:r>
              <w:rPr>
                <w:rFonts w:ascii="Arial" w:cs="Arial" w:eastAsia="Arial" w:hAnsi="Arial"/>
                <w:sz w:val="18"/>
                <w:szCs w:val="18"/>
                <w:color w:val="0000FF"/>
                <w:w w:val="96"/>
              </w:rPr>
              <w:t>184,855</w:t>
            </w:r>
            <w:r>
              <w:rPr>
                <w:rFonts w:ascii="Arial" w:cs="Arial" w:eastAsia="Arial" w:hAnsi="Arial"/>
                <w:sz w:val="22"/>
                <w:szCs w:val="22"/>
                <w:color w:val="008000"/>
                <w:w w:val="96"/>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26.85</w:t>
            </w:r>
          </w:p>
        </w:tc>
        <w:tc>
          <w:tcPr>
            <w:tcW w:w="1240" w:type="dxa"/>
            <w:vAlign w:val="bottom"/>
            <w:tcBorders>
              <w:bottom w:val="single" w:sz="8" w:color="2C2C2C"/>
            </w:tcBorders>
            <w:gridSpan w:val="2"/>
          </w:tcPr>
          <w:p>
            <w:pPr>
              <w:jc w:val="right"/>
              <w:ind w:right="239"/>
              <w:spacing w:after="0"/>
              <w:rPr>
                <w:sz w:val="20"/>
                <w:szCs w:val="20"/>
                <w:color w:val="auto"/>
              </w:rPr>
            </w:pPr>
            <w:r>
              <w:rPr>
                <w:rFonts w:ascii="Arial" w:cs="Arial" w:eastAsia="Arial" w:hAnsi="Arial"/>
                <w:sz w:val="18"/>
                <w:szCs w:val="18"/>
                <w:color w:val="0000FF"/>
              </w:rPr>
              <w:t>1,758,840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40" w:type="dxa"/>
            <w:vAlign w:val="bottom"/>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820" w:type="dxa"/>
            <w:vAlign w:val="bottom"/>
            <w:gridSpan w:val="3"/>
          </w:tcPr>
          <w:p>
            <w:pPr>
              <w:ind w:left="820"/>
              <w:spacing w:after="0"/>
              <w:rPr>
                <w:sz w:val="20"/>
                <w:szCs w:val="20"/>
                <w:color w:val="auto"/>
              </w:rPr>
            </w:pPr>
            <w:r>
              <w:rPr>
                <w:rFonts w:ascii="Arial" w:cs="Arial" w:eastAsia="Arial" w:hAnsi="Arial"/>
                <w:sz w:val="18"/>
                <w:szCs w:val="18"/>
                <w:color w:val="0000FF"/>
              </w:rPr>
              <w:t>09/04/2018</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jc w:val="center"/>
              <w:ind w:right="257"/>
              <w:spacing w:after="0"/>
              <w:rPr>
                <w:sz w:val="20"/>
                <w:szCs w:val="20"/>
                <w:color w:val="auto"/>
              </w:rPr>
            </w:pPr>
            <w:r>
              <w:rPr>
                <w:rFonts w:ascii="Arial" w:cs="Arial" w:eastAsia="Arial" w:hAnsi="Arial"/>
                <w:sz w:val="14"/>
                <w:szCs w:val="14"/>
                <w:color w:val="0000FF"/>
                <w:w w:val="98"/>
              </w:rPr>
              <w:t>D</w:t>
            </w:r>
          </w:p>
        </w:tc>
        <w:tc>
          <w:tcPr>
            <w:tcW w:w="760" w:type="dxa"/>
            <w:vAlign w:val="bottom"/>
          </w:tcPr>
          <w:p>
            <w:pPr>
              <w:jc w:val="right"/>
              <w:spacing w:after="0"/>
              <w:rPr>
                <w:sz w:val="20"/>
                <w:szCs w:val="20"/>
                <w:color w:val="auto"/>
              </w:rPr>
            </w:pPr>
            <w:r>
              <w:rPr>
                <w:rFonts w:ascii="Arial" w:cs="Arial" w:eastAsia="Arial" w:hAnsi="Arial"/>
                <w:sz w:val="18"/>
                <w:szCs w:val="18"/>
                <w:color w:val="0000FF"/>
              </w:rPr>
              <w:t>993,696</w:t>
            </w:r>
          </w:p>
        </w:tc>
        <w:tc>
          <w:tcPr>
            <w:tcW w:w="30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gridSpan w:val="2"/>
          </w:tcPr>
          <w:p>
            <w:pPr>
              <w:jc w:val="right"/>
              <w:ind w:right="299"/>
              <w:spacing w:after="0"/>
              <w:rPr>
                <w:sz w:val="20"/>
                <w:szCs w:val="20"/>
                <w:color w:val="auto"/>
              </w:rPr>
            </w:pPr>
            <w:r>
              <w:rPr>
                <w:rFonts w:ascii="Arial" w:cs="Arial" w:eastAsia="Arial" w:hAnsi="Arial"/>
                <w:sz w:val="18"/>
                <w:szCs w:val="18"/>
                <w:color w:val="0000FF"/>
              </w:rPr>
              <w:t>765,144</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5"/>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2"/>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39"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Represents shares that have been withheld by the Issuer to satisfy its income tax and withholding and remittance obligations in connection with the net settlement of restricted stock units and does not represent a sale by the Reporting Person.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Mary Anne Becking,</w:t>
            </w:r>
          </w:p>
        </w:tc>
        <w:tc>
          <w:tcPr>
            <w:tcW w:w="4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09/06/2018</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38"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2019-12-24T04:05:13Z</dcterms:created>
  <dcterms:modified xsi:type="dcterms:W3CDTF">2019-12-24T04:05:13Z</dcterms:modified>
</cp:coreProperties>
</file>