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40"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3048635</wp:posOffset>
            </wp:positionH>
            <wp:positionV relativeFrom="paragraph">
              <wp:posOffset>245110</wp:posOffset>
            </wp:positionV>
            <wp:extent cx="10458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369"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u w:val="single" w:color="auto"/>
          <w:color w:val="auto"/>
        </w:rPr>
        <w:t>Form 8-K</w:t>
      </w:r>
    </w:p>
    <w:p>
      <w:pPr>
        <w:spacing w:after="0" w:line="200" w:lineRule="exact"/>
        <w:rPr>
          <w:sz w:val="24"/>
          <w:szCs w:val="24"/>
          <w:color w:val="auto"/>
        </w:rPr>
      </w:pPr>
    </w:p>
    <w:p>
      <w:pPr>
        <w:spacing w:after="0" w:line="244"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CURRENT REPORT</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39"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May 7, 2020</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85090</wp:posOffset>
            </wp:positionV>
            <wp:extent cx="3094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94990" cy="8255"/>
                    </a:xfrm>
                    <a:prstGeom prst="rect">
                      <a:avLst/>
                    </a:prstGeom>
                    <a:noFill/>
                  </pic:spPr>
                </pic:pic>
              </a:graphicData>
            </a:graphic>
          </wp:anchor>
        </w:drawing>
      </w:r>
    </w:p>
    <w:p>
      <w:pPr>
        <w:spacing w:after="0" w:line="117"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46355</wp:posOffset>
            </wp:positionV>
            <wp:extent cx="3094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990" cy="8255"/>
                    </a:xfrm>
                    <a:prstGeom prst="rect">
                      <a:avLst/>
                    </a:prstGeom>
                    <a:noFill/>
                  </pic:spPr>
                </pic:pic>
              </a:graphicData>
            </a:graphic>
          </wp:anchor>
        </w:drawing>
      </w:r>
    </w:p>
    <w:p>
      <w:pPr>
        <w:spacing w:after="0" w:line="7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31750</wp:posOffset>
            </wp:positionV>
            <wp:extent cx="3094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990" cy="8255"/>
                    </a:xfrm>
                    <a:prstGeom prst="rect">
                      <a:avLst/>
                    </a:prstGeom>
                    <a:noFill/>
                  </pic:spPr>
                </pic:pic>
              </a:graphicData>
            </a:graphic>
          </wp:anchor>
        </w:drawing>
      </w:r>
    </w:p>
    <w:p>
      <w:pPr>
        <w:sectPr>
          <w:pgSz w:w="11900" w:h="16838" w:orient="portrait"/>
          <w:cols w:equalWidth="0" w:num="1">
            <w:col w:w="11340"/>
          </w:cols>
          <w:pgMar w:left="320" w:top="643" w:right="239" w:bottom="1440" w:gutter="0" w:footer="0" w:header="0"/>
        </w:sectPr>
      </w:pPr>
    </w:p>
    <w:p>
      <w:pPr>
        <w:spacing w:after="0" w:line="205" w:lineRule="exact"/>
        <w:rPr>
          <w:sz w:val="24"/>
          <w:szCs w:val="24"/>
          <w:color w:val="auto"/>
        </w:rPr>
      </w:pPr>
    </w:p>
    <w:p>
      <w:pPr>
        <w:ind w:left="20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720"/>
        <w:spacing w:after="0"/>
        <w:rPr>
          <w:sz w:val="20"/>
          <w:szCs w:val="20"/>
          <w:color w:val="auto"/>
        </w:rPr>
      </w:pPr>
      <w:r>
        <w:rPr>
          <w:rFonts w:ascii="Arial" w:cs="Arial" w:eastAsia="Arial" w:hAnsi="Arial"/>
          <w:sz w:val="15"/>
          <w:szCs w:val="15"/>
          <w:b w:val="1"/>
          <w:bCs w:val="1"/>
          <w:color w:val="auto"/>
        </w:rPr>
        <w:t>001-38434</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26-0138832</w:t>
      </w:r>
    </w:p>
    <w:p>
      <w:pPr>
        <w:spacing w:after="0" w:line="93" w:lineRule="exact"/>
        <w:rPr>
          <w:sz w:val="24"/>
          <w:szCs w:val="24"/>
          <w:color w:val="auto"/>
        </w:rPr>
      </w:pPr>
    </w:p>
    <w:p>
      <w:pPr>
        <w:sectPr>
          <w:pgSz w:w="11900" w:h="16838" w:orient="portrait"/>
          <w:cols w:equalWidth="0" w:num="3">
            <w:col w:w="4580" w:space="720"/>
            <w:col w:w="2480" w:space="720"/>
            <w:col w:w="2840"/>
          </w:cols>
          <w:pgMar w:left="320" w:top="643" w:right="239" w:bottom="1440" w:gutter="0" w:footer="0" w:header="0"/>
          <w:type w:val="continuous"/>
        </w:sectPr>
      </w:pPr>
    </w:p>
    <w:p>
      <w:pPr>
        <w:jc w:val="center"/>
        <w:ind w:left="820"/>
        <w:spacing w:after="0"/>
        <w:rPr>
          <w:sz w:val="20"/>
          <w:szCs w:val="20"/>
          <w:color w:val="auto"/>
        </w:rPr>
      </w:pPr>
      <w:r>
        <w:rPr>
          <w:rFonts w:ascii="Arial" w:cs="Arial" w:eastAsia="Arial" w:hAnsi="Arial"/>
          <w:sz w:val="15"/>
          <w:szCs w:val="15"/>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(I. R. S. Employer Identification No.)</w:t>
      </w:r>
    </w:p>
    <w:p>
      <w:pPr>
        <w:spacing w:after="0" w:line="57" w:lineRule="exact"/>
        <w:rPr>
          <w:sz w:val="24"/>
          <w:szCs w:val="24"/>
          <w:color w:val="auto"/>
        </w:rPr>
      </w:pPr>
    </w:p>
    <w:p>
      <w:pPr>
        <w:sectPr>
          <w:pgSz w:w="11900" w:h="16838" w:orient="portrait"/>
          <w:cols w:equalWidth="0" w:num="3">
            <w:col w:w="3920" w:space="720"/>
            <w:col w:w="2180" w:space="720"/>
            <w:col w:w="3800"/>
          </w:cols>
          <w:pgMar w:left="320" w:top="643" w:right="239" w:bottom="1440" w:gutter="0" w:footer="0" w:header="0"/>
          <w:type w:val="continuous"/>
        </w:sectPr>
      </w:pPr>
    </w:p>
    <w:p>
      <w:pPr>
        <w:ind w:left="1820"/>
        <w:spacing w:after="0"/>
        <w:rPr>
          <w:sz w:val="20"/>
          <w:szCs w:val="20"/>
          <w:color w:val="auto"/>
        </w:rPr>
      </w:pPr>
      <w:r>
        <w:rPr>
          <w:rFonts w:ascii="Arial" w:cs="Arial" w:eastAsia="Arial" w:hAnsi="Arial"/>
          <w:sz w:val="15"/>
          <w:szCs w:val="15"/>
          <w:b w:val="1"/>
          <w:bCs w:val="1"/>
          <w:color w:val="auto"/>
        </w:rPr>
        <w:t>incorporation)</w:t>
      </w:r>
    </w:p>
    <w:p>
      <w:pPr>
        <w:sectPr>
          <w:pgSz w:w="11900" w:h="16838" w:orient="portrait"/>
          <w:cols w:equalWidth="0" w:num="1">
            <w:col w:w="11340"/>
          </w:cols>
          <w:pgMar w:left="320" w:top="643" w:right="239" w:bottom="1440" w:gutter="0" w:footer="0" w:header="0"/>
          <w:type w:val="continuous"/>
        </w:sectPr>
      </w:pPr>
    </w:p>
    <w:p>
      <w:pPr>
        <w:spacing w:after="0" w:line="4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1800 Owens St.</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94158</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7" w:lineRule="exact"/>
        <w:rPr>
          <w:sz w:val="24"/>
          <w:szCs w:val="24"/>
          <w:color w:val="auto"/>
        </w:rPr>
      </w:pPr>
    </w:p>
    <w:p>
      <w:pPr>
        <w:ind w:right="220"/>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17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21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communications pursuant to Rule 14d-2(b) under the Exchange Act (17 CFR 240.14d-2(b))</w:t>
      </w:r>
    </w:p>
    <w:p>
      <w:pPr>
        <w:spacing w:after="0" w:line="21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communications pursuant to Rule 13e-4(c) under the Exchange Act (17 CFR 240.13e-4(c))</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95885</wp:posOffset>
            </wp:positionV>
            <wp:extent cx="6249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328" w:lineRule="exact"/>
        <w:rPr>
          <w:sz w:val="24"/>
          <w:szCs w:val="24"/>
          <w:color w:val="auto"/>
        </w:rPr>
      </w:pPr>
    </w:p>
    <w:tbl>
      <w:tblPr>
        <w:tblLayout w:type="fixed"/>
        <w:tblInd w:w="86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2660" w:type="dxa"/>
            <w:vAlign w:val="bottom"/>
            <w:gridSpan w:val="2"/>
          </w:tcPr>
          <w:p>
            <w:pPr>
              <w:jc w:val="center"/>
              <w:ind w:right="1600"/>
              <w:spacing w:after="0"/>
              <w:rPr>
                <w:sz w:val="20"/>
                <w:szCs w:val="20"/>
                <w:color w:val="auto"/>
              </w:rPr>
            </w:pPr>
            <w:r>
              <w:rPr>
                <w:rFonts w:ascii="Arial" w:cs="Arial" w:eastAsia="Arial" w:hAnsi="Arial"/>
                <w:sz w:val="14"/>
                <w:szCs w:val="14"/>
                <w:b w:val="1"/>
                <w:bCs w:val="1"/>
                <w:color w:val="auto"/>
                <w:w w:val="87"/>
              </w:rPr>
              <w:t>Title of each class</w:t>
            </w:r>
          </w:p>
        </w:tc>
        <w:tc>
          <w:tcPr>
            <w:tcW w:w="326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2"/>
              </w:rPr>
              <w:t>Trading Symbol(s)</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exchange on which registered</w:t>
            </w: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r>
      <w:tr>
        <w:trPr>
          <w:trHeight w:val="208"/>
        </w:trPr>
        <w:tc>
          <w:tcPr>
            <w:tcW w:w="3660" w:type="dxa"/>
            <w:vAlign w:val="bottom"/>
            <w:gridSpan w:val="3"/>
          </w:tcPr>
          <w:p>
            <w:pPr>
              <w:jc w:val="center"/>
              <w:ind w:right="600"/>
              <w:spacing w:after="0"/>
              <w:rPr>
                <w:sz w:val="20"/>
                <w:szCs w:val="20"/>
                <w:color w:val="auto"/>
              </w:rPr>
            </w:pPr>
            <w:r>
              <w:rPr>
                <w:rFonts w:ascii="Arial" w:cs="Arial" w:eastAsia="Arial" w:hAnsi="Arial"/>
                <w:sz w:val="14"/>
                <w:szCs w:val="14"/>
                <w:color w:val="auto"/>
                <w:w w:val="90"/>
              </w:rPr>
              <w:t>Class A Common Stock, par value $0.00001 per share</w:t>
            </w:r>
          </w:p>
        </w:tc>
        <w:tc>
          <w:tcPr>
            <w:tcW w:w="600" w:type="dxa"/>
            <w:vAlign w:val="bottom"/>
          </w:tcPr>
          <w:p>
            <w:pPr>
              <w:spacing w:after="0"/>
              <w:rPr>
                <w:sz w:val="18"/>
                <w:szCs w:val="18"/>
                <w:color w:val="auto"/>
              </w:rPr>
            </w:pPr>
          </w:p>
        </w:tc>
        <w:tc>
          <w:tcPr>
            <w:tcW w:w="2660" w:type="dxa"/>
            <w:vAlign w:val="bottom"/>
            <w:gridSpan w:val="2"/>
          </w:tcPr>
          <w:p>
            <w:pPr>
              <w:jc w:val="center"/>
              <w:ind w:right="1520"/>
              <w:spacing w:after="0"/>
              <w:rPr>
                <w:sz w:val="20"/>
                <w:szCs w:val="20"/>
                <w:color w:val="auto"/>
              </w:rPr>
            </w:pPr>
            <w:r>
              <w:rPr>
                <w:rFonts w:ascii="Arial" w:cs="Arial" w:eastAsia="Arial" w:hAnsi="Arial"/>
                <w:sz w:val="14"/>
                <w:szCs w:val="14"/>
                <w:color w:val="auto"/>
              </w:rPr>
              <w:t>DBX</w:t>
            </w:r>
          </w:p>
        </w:tc>
        <w:tc>
          <w:tcPr>
            <w:tcW w:w="230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332"/>
        </w:trPr>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Arial" w:cs="Arial" w:eastAsia="Arial" w:hAnsi="Arial"/>
                <w:sz w:val="14"/>
                <w:szCs w:val="14"/>
                <w:color w:val="auto"/>
                <w:w w:val="92"/>
              </w:rPr>
              <w:t>(Nasdaq Global Select Market)</w:t>
            </w:r>
          </w:p>
        </w:tc>
      </w:tr>
    </w:tbl>
    <w:p>
      <w:pPr>
        <w:spacing w:after="0" w:line="331" w:lineRule="exact"/>
        <w:rPr>
          <w:sz w:val="24"/>
          <w:szCs w:val="24"/>
          <w:color w:val="auto"/>
        </w:rPr>
      </w:pPr>
    </w:p>
    <w:p>
      <w:pPr>
        <w:spacing w:after="0" w:line="26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5"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93" w:lineRule="exact"/>
        <w:rPr>
          <w:sz w:val="24"/>
          <w:szCs w:val="24"/>
          <w:color w:val="auto"/>
        </w:rPr>
      </w:pPr>
    </w:p>
    <w:p>
      <w:pPr>
        <w:ind w:right="260"/>
        <w:spacing w:after="0" w:line="26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ectPr>
          <w:pgSz w:w="11900" w:h="16838" w:orient="portrait"/>
          <w:cols w:equalWidth="0" w:num="1">
            <w:col w:w="11340"/>
          </w:cols>
          <w:pgMar w:left="320" w:top="64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24" w:lineRule="exact"/>
        <w:rPr>
          <w:sz w:val="20"/>
          <w:szCs w:val="20"/>
          <w:color w:val="auto"/>
        </w:rPr>
      </w:pPr>
    </w:p>
    <w:p>
      <w:pPr>
        <w:ind w:right="500"/>
        <w:spacing w:after="0" w:line="366" w:lineRule="auto"/>
        <w:rPr>
          <w:sz w:val="20"/>
          <w:szCs w:val="20"/>
          <w:color w:val="auto"/>
        </w:rPr>
      </w:pPr>
      <w:r>
        <w:rPr>
          <w:rFonts w:ascii="Arial" w:cs="Arial" w:eastAsia="Arial" w:hAnsi="Arial"/>
          <w:sz w:val="15"/>
          <w:szCs w:val="15"/>
          <w:color w:val="auto"/>
        </w:rPr>
        <w:t>On May 7, 2020, Dropbox, Inc. (“Dropbox”) issued a press release and will hold a conference call announcing its financial results for the quarter ended March 31, 2020. A copy of the press release is attached as Exhibit 99.1 to this current report on Form 8-K and is incorporated by reference herein.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224" w:lineRule="exact"/>
        <w:rPr>
          <w:sz w:val="20"/>
          <w:szCs w:val="20"/>
          <w:color w:val="auto"/>
        </w:rPr>
      </w:pPr>
    </w:p>
    <w:p>
      <w:pPr>
        <w:ind w:right="260"/>
        <w:spacing w:after="0" w:line="366" w:lineRule="auto"/>
        <w:rPr>
          <w:sz w:val="20"/>
          <w:szCs w:val="20"/>
          <w:color w:val="auto"/>
        </w:rPr>
      </w:pPr>
      <w:r>
        <w:rPr>
          <w:rFonts w:ascii="Arial" w:cs="Arial" w:eastAsia="Arial" w:hAnsi="Arial"/>
          <w:sz w:val="15"/>
          <w:szCs w:val="15"/>
          <w:color w:val="auto"/>
        </w:rPr>
        <w:t>On May 7, 2020, Dropbox posted supplemental investor materials on its investors.dropbox.com website. Dropbox intends to use its investors.dropbox.com website as a means of disclosing material non-public information and for complying with its disclosure obligations under Regulation FD.</w:t>
      </w:r>
    </w:p>
    <w:p>
      <w:pPr>
        <w:spacing w:after="0" w:line="111" w:lineRule="exact"/>
        <w:rPr>
          <w:sz w:val="20"/>
          <w:szCs w:val="20"/>
          <w:color w:val="auto"/>
        </w:rPr>
      </w:pPr>
    </w:p>
    <w:p>
      <w:pPr>
        <w:ind w:right="300"/>
        <w:spacing w:after="0" w:line="331" w:lineRule="auto"/>
        <w:rPr>
          <w:sz w:val="20"/>
          <w:szCs w:val="20"/>
          <w:color w:val="auto"/>
        </w:rPr>
      </w:pPr>
      <w:r>
        <w:rPr>
          <w:rFonts w:ascii="Arial" w:cs="Arial" w:eastAsia="Arial" w:hAnsi="Arial"/>
          <w:sz w:val="15"/>
          <w:szCs w:val="15"/>
          <w:color w:val="auto"/>
        </w:rPr>
        <w:t>The information in this current report on Form 8-K and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36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9880" w:type="dxa"/>
            <w:vAlign w:val="bottom"/>
          </w:tcPr>
          <w:p>
            <w:pPr>
              <w:spacing w:after="0"/>
              <w:rPr>
                <w:sz w:val="19"/>
                <w:szCs w:val="19"/>
                <w:color w:val="auto"/>
              </w:rPr>
            </w:pPr>
          </w:p>
        </w:tc>
      </w:tr>
      <w:tr>
        <w:trPr>
          <w:trHeight w:val="491"/>
        </w:trPr>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Exhibit No.</w:t>
            </w:r>
          </w:p>
        </w:tc>
        <w:tc>
          <w:tcPr>
            <w:tcW w:w="988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8"/>
        </w:trPr>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880" w:type="dxa"/>
            <w:vAlign w:val="bottom"/>
            <w:tcBorders>
              <w:bottom w:val="single" w:sz="8" w:color="auto"/>
            </w:tcBorders>
          </w:tcPr>
          <w:p>
            <w:pPr>
              <w:spacing w:after="0"/>
              <w:rPr>
                <w:sz w:val="2"/>
                <w:szCs w:val="2"/>
                <w:color w:val="auto"/>
              </w:rPr>
            </w:pPr>
          </w:p>
        </w:tc>
      </w:tr>
      <w:tr>
        <w:trPr>
          <w:trHeight w:val="231"/>
        </w:trPr>
        <w:tc>
          <w:tcPr>
            <w:tcW w:w="1140" w:type="dxa"/>
            <w:vAlign w:val="bottom"/>
          </w:tcPr>
          <w:p>
            <w:pPr>
              <w:jc w:val="right"/>
              <w:ind w:right="331"/>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0"/>
                <w:szCs w:val="20"/>
                <w:color w:val="auto"/>
              </w:rPr>
            </w:pPr>
          </w:p>
        </w:tc>
        <w:tc>
          <w:tcPr>
            <w:tcW w:w="988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entitled "Dropbox Announces Fiscal 2020 First Quarter Results" dated May 7, 2020</w:t>
              </w:r>
            </w:hyperlink>
          </w:p>
        </w:tc>
      </w:tr>
    </w:tbl>
    <w:p>
      <w:pPr>
        <w:sectPr>
          <w:pgSz w:w="11900" w:h="16838" w:orient="portrait"/>
          <w:cols w:equalWidth="0" w:num="1">
            <w:col w:w="11240"/>
          </w:cols>
          <w:pgMar w:left="320" w:top="759"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Dated: May 7, 2020</w:t>
      </w:r>
    </w:p>
    <w:p>
      <w:pPr>
        <w:spacing w:after="0" w:line="200" w:lineRule="exact"/>
        <w:rPr>
          <w:sz w:val="20"/>
          <w:szCs w:val="20"/>
          <w:color w:val="auto"/>
        </w:rPr>
      </w:pPr>
    </w:p>
    <w:p>
      <w:pPr>
        <w:spacing w:after="0" w:line="38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Dropbox, Inc.</w:t>
      </w:r>
    </w:p>
    <w:p>
      <w:pPr>
        <w:spacing w:after="0" w:line="6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 Ajay Vashee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27940</wp:posOffset>
            </wp:positionV>
            <wp:extent cx="2783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83205" cy="8255"/>
                    </a:xfrm>
                    <a:prstGeom prst="rect">
                      <a:avLst/>
                    </a:prstGeom>
                    <a:noFill/>
                  </pic:spPr>
                </pic:pic>
              </a:graphicData>
            </a:graphic>
          </wp:anchor>
        </w:drawing>
      </w:r>
    </w:p>
    <w:p>
      <w:pPr>
        <w:spacing w:after="0" w:line="5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Ajay Vashee</w:t>
      </w:r>
    </w:p>
    <w:p>
      <w:pPr>
        <w:spacing w:after="0" w:line="5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00"/>
          </w:cols>
          <w:pgMar w:left="320" w:top="546" w:right="47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Dropbox Announces Fiscal 2020 First Quarter Results</w:t>
      </w:r>
    </w:p>
    <w:p>
      <w:pPr>
        <w:spacing w:after="0" w:line="224" w:lineRule="exact"/>
        <w:rPr>
          <w:sz w:val="20"/>
          <w:szCs w:val="20"/>
          <w:color w:val="auto"/>
        </w:rPr>
      </w:pPr>
    </w:p>
    <w:p>
      <w:pPr>
        <w:jc w:val="center"/>
        <w:ind w:left="360" w:right="2120"/>
        <w:spacing w:after="0" w:line="256" w:lineRule="auto"/>
        <w:rPr>
          <w:sz w:val="20"/>
          <w:szCs w:val="20"/>
          <w:color w:val="auto"/>
        </w:rPr>
      </w:pPr>
      <w:r>
        <w:rPr>
          <w:rFonts w:ascii="Arial" w:cs="Arial" w:eastAsia="Arial" w:hAnsi="Arial"/>
          <w:sz w:val="18"/>
          <w:szCs w:val="18"/>
          <w:color w:val="auto"/>
        </w:rPr>
        <w:t>Revenue of $455.0 Million, Up 18% Year-over-year Net Cash Provided by Operating Activities of $53.3 Million and Free Cash Flow of $25.5 Million Achieves GAAP Profitability for the First Time</w:t>
      </w:r>
    </w:p>
    <w:p>
      <w:pPr>
        <w:spacing w:after="0" w:line="394"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color w:val="auto"/>
        </w:rPr>
        <w:t xml:space="preserve">SAN FRANCISCO, Calif. </w:t>
      </w:r>
      <w:r>
        <w:rPr>
          <w:rFonts w:ascii="Arial" w:cs="Arial" w:eastAsia="Arial" w:hAnsi="Arial"/>
          <w:sz w:val="18"/>
          <w:szCs w:val="18"/>
          <w:color w:val="auto"/>
        </w:rPr>
        <w:t>- May 7, 2020 - Dropbox, Inc. (NASDAQ: DBX), the world's first smart workspace, today announced financial results for its first</w:t>
      </w:r>
      <w:r>
        <w:rPr>
          <w:rFonts w:ascii="Arial" w:cs="Arial" w:eastAsia="Arial" w:hAnsi="Arial"/>
          <w:sz w:val="18"/>
          <w:szCs w:val="18"/>
          <w:b w:val="1"/>
          <w:bCs w:val="1"/>
          <w:color w:val="auto"/>
        </w:rPr>
        <w:t xml:space="preserve"> </w:t>
      </w:r>
      <w:r>
        <w:rPr>
          <w:rFonts w:ascii="Arial" w:cs="Arial" w:eastAsia="Arial" w:hAnsi="Arial"/>
          <w:sz w:val="18"/>
          <w:szCs w:val="18"/>
          <w:color w:val="auto"/>
        </w:rPr>
        <w:t>fiscal quarter ended March 31, 2020.</w:t>
      </w:r>
    </w:p>
    <w:p>
      <w:pPr>
        <w:spacing w:after="0" w:line="26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had a strong first quarter as we rallied together to support our customers and our community during this unprecedented public health crisis,” said Dropbox Co-founder and Chief Executive Officer Drew Houston. “We delivered healthy growth, record operating margins, and our first quarter of GAAP profitability. I’m incredibly proud of our team as we continue to build products that help facilitate distributed work at scale. We’ve built an enduring business and I remain confident in our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Fiscal 2020 Results</w:t>
      </w:r>
    </w:p>
    <w:p>
      <w:pPr>
        <w:spacing w:after="0" w:line="224" w:lineRule="exact"/>
        <w:rPr>
          <w:sz w:val="20"/>
          <w:szCs w:val="20"/>
          <w:color w:val="auto"/>
        </w:rPr>
      </w:pPr>
    </w:p>
    <w:p>
      <w:pPr>
        <w:ind w:left="640" w:right="280" w:hanging="315"/>
        <w:spacing w:after="0" w:line="283" w:lineRule="auto"/>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 xml:space="preserve">Total revenue was $455.0 million, an increase of 18% from the same period last year. On a constant currency basis, year-over-year growth would have been 19%. </w:t>
      </w:r>
      <w:r>
        <w:rPr>
          <w:rFonts w:ascii="Arial" w:cs="Arial" w:eastAsia="Arial" w:hAnsi="Arial"/>
          <w:sz w:val="24"/>
          <w:szCs w:val="24"/>
          <w:color w:val="auto"/>
          <w:vertAlign w:val="superscript"/>
        </w:rPr>
        <w:t>(1)</w:t>
      </w:r>
    </w:p>
    <w:p>
      <w:pPr>
        <w:spacing w:after="0" w:line="67" w:lineRule="exact"/>
        <w:rPr>
          <w:rFonts w:ascii="Arial" w:cs="Arial" w:eastAsia="Arial" w:hAnsi="Arial"/>
          <w:sz w:val="18"/>
          <w:szCs w:val="18"/>
          <w:color w:val="auto"/>
        </w:rPr>
      </w:pPr>
    </w:p>
    <w:p>
      <w:pPr>
        <w:ind w:left="640" w:right="120" w:hanging="315"/>
        <w:spacing w:after="0" w:line="283" w:lineRule="auto"/>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 xml:space="preserve">Total ARR ended at $1.864 billion, an increase of 16% from the same period last year. On a constant currency basis, Total ARR grew $52.8 million quarter-over-quarter, and year-over-year growth would have been 17%. </w:t>
      </w:r>
      <w:r>
        <w:rPr>
          <w:rFonts w:ascii="Arial" w:cs="Arial" w:eastAsia="Arial" w:hAnsi="Arial"/>
          <w:sz w:val="24"/>
          <w:szCs w:val="24"/>
          <w:color w:val="auto"/>
          <w:vertAlign w:val="superscript"/>
        </w:rPr>
        <w:t>(2)</w:t>
      </w:r>
    </w:p>
    <w:p>
      <w:pPr>
        <w:spacing w:after="0" w:line="67" w:lineRule="exact"/>
        <w:rPr>
          <w:rFonts w:ascii="Arial" w:cs="Arial" w:eastAsia="Arial" w:hAnsi="Arial"/>
          <w:sz w:val="18"/>
          <w:szCs w:val="18"/>
          <w:color w:val="auto"/>
        </w:rPr>
      </w:pPr>
    </w:p>
    <w:p>
      <w:pPr>
        <w:ind w:left="640" w:right="400" w:hanging="315"/>
        <w:spacing w:after="0" w:line="265" w:lineRule="auto"/>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Paying users ended at 14.6 million, as compared to 13.2 million for the same period last year. Average revenue per paying user was $126.30, as compared to $121.04 for the same period last year.</w:t>
      </w:r>
    </w:p>
    <w:p>
      <w:pPr>
        <w:spacing w:after="0" w:line="180" w:lineRule="exact"/>
        <w:rPr>
          <w:rFonts w:ascii="Arial" w:cs="Arial" w:eastAsia="Arial" w:hAnsi="Arial"/>
          <w:sz w:val="18"/>
          <w:szCs w:val="18"/>
          <w:color w:val="auto"/>
        </w:rPr>
      </w:pPr>
    </w:p>
    <w:p>
      <w:pPr>
        <w:ind w:left="640" w:right="100" w:hanging="315"/>
        <w:spacing w:after="0" w:line="265" w:lineRule="auto"/>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GAAP gross margin was 77.3%, as compared to 74.5% in the same period last year. Non-GAAP gross margin was 78.3%, as compared to 75.4% in the same period last year.</w:t>
      </w:r>
    </w:p>
    <w:p>
      <w:pPr>
        <w:spacing w:after="0" w:line="180" w:lineRule="exact"/>
        <w:rPr>
          <w:rFonts w:ascii="Arial" w:cs="Arial" w:eastAsia="Arial" w:hAnsi="Arial"/>
          <w:sz w:val="18"/>
          <w:szCs w:val="18"/>
          <w:color w:val="auto"/>
        </w:rPr>
      </w:pPr>
    </w:p>
    <w:p>
      <w:pPr>
        <w:ind w:left="640" w:right="260" w:hanging="315"/>
        <w:spacing w:after="0" w:line="265" w:lineRule="auto"/>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GAAP operating margin was 5.9%, as compared to (5.5%) in the same period last year. Non-GAAP operating margin was 16.1%, as compared to 10.1% in the same period last year.</w:t>
      </w:r>
    </w:p>
    <w:p>
      <w:pPr>
        <w:spacing w:after="0" w:line="180" w:lineRule="exact"/>
        <w:rPr>
          <w:rFonts w:ascii="Arial" w:cs="Arial" w:eastAsia="Arial" w:hAnsi="Arial"/>
          <w:sz w:val="18"/>
          <w:szCs w:val="18"/>
          <w:color w:val="auto"/>
        </w:rPr>
      </w:pPr>
    </w:p>
    <w:p>
      <w:pPr>
        <w:ind w:left="640" w:right="20" w:hanging="315"/>
        <w:spacing w:after="0" w:line="265" w:lineRule="auto"/>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GAAP net income (loss) was $39.3 million, as compared to ($7.7) million in the same period last year. Non-GAAP net income was $69.8 million, as compared to $41.7 million in the same period last year.</w:t>
      </w:r>
    </w:p>
    <w:p>
      <w:pPr>
        <w:spacing w:after="0" w:line="180" w:lineRule="exact"/>
        <w:rPr>
          <w:rFonts w:ascii="Arial" w:cs="Arial" w:eastAsia="Arial" w:hAnsi="Arial"/>
          <w:sz w:val="18"/>
          <w:szCs w:val="18"/>
          <w:color w:val="auto"/>
        </w:rPr>
      </w:pPr>
    </w:p>
    <w:p>
      <w:pPr>
        <w:ind w:left="640" w:right="300" w:hanging="315"/>
        <w:spacing w:after="0" w:line="265" w:lineRule="auto"/>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Net cash provided by operating activities was $53.3 million, as compared to $63.2 million in the same period last year. Free cash flow was $25.5 million, as compared to $33.5 million in the same period last year.</w:t>
      </w:r>
    </w:p>
    <w:p>
      <w:pPr>
        <w:spacing w:after="0" w:line="180" w:lineRule="exact"/>
        <w:rPr>
          <w:rFonts w:ascii="Arial" w:cs="Arial" w:eastAsia="Arial" w:hAnsi="Arial"/>
          <w:sz w:val="18"/>
          <w:szCs w:val="18"/>
          <w:color w:val="auto"/>
        </w:rPr>
      </w:pPr>
    </w:p>
    <w:p>
      <w:pPr>
        <w:ind w:left="640" w:right="120" w:hanging="315"/>
        <w:spacing w:after="0" w:line="283" w:lineRule="auto"/>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 xml:space="preserve">GAAP basic and diluted net income (loss) per share was $0.09, as compared to ($0.02) in the same period last year. Non-GAAP diluted net income per share was $0.17, as compared to $0.10 in the same period last year. </w:t>
      </w:r>
      <w:r>
        <w:rPr>
          <w:rFonts w:ascii="Arial" w:cs="Arial" w:eastAsia="Arial" w:hAnsi="Arial"/>
          <w:sz w:val="24"/>
          <w:szCs w:val="24"/>
          <w:color w:val="auto"/>
          <w:vertAlign w:val="superscript"/>
        </w:rPr>
        <w:t>(3)</w:t>
      </w:r>
    </w:p>
    <w:p>
      <w:pPr>
        <w:spacing w:after="0" w:line="67" w:lineRule="exact"/>
        <w:rPr>
          <w:rFonts w:ascii="Arial" w:cs="Arial" w:eastAsia="Arial" w:hAnsi="Arial"/>
          <w:sz w:val="18"/>
          <w:szCs w:val="18"/>
          <w:color w:val="auto"/>
        </w:rPr>
      </w:pPr>
    </w:p>
    <w:p>
      <w:pPr>
        <w:ind w:left="640" w:hanging="315"/>
        <w:spacing w:after="0"/>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Cash, cash equivalents and short-term investments were $1.101 billion at the end of the first quarter of 2020.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1" w:lineRule="exact"/>
        <w:rPr>
          <w:rFonts w:ascii="Arial" w:cs="Arial" w:eastAsia="Arial" w:hAnsi="Arial"/>
          <w:sz w:val="18"/>
          <w:szCs w:val="18"/>
          <w:color w:val="auto"/>
        </w:rPr>
      </w:pPr>
    </w:p>
    <w:p>
      <w:pPr>
        <w:ind w:left="180" w:hanging="174"/>
        <w:spacing w:after="0"/>
        <w:tabs>
          <w:tab w:leader="none" w:pos="180" w:val="left"/>
        </w:tabs>
        <w:numPr>
          <w:ilvl w:val="0"/>
          <w:numId w:val="1"/>
        </w:numPr>
        <w:rPr>
          <w:rFonts w:ascii="Arial" w:cs="Arial" w:eastAsia="Arial" w:hAnsi="Arial"/>
          <w:sz w:val="21"/>
          <w:szCs w:val="21"/>
          <w:color w:val="auto"/>
          <w:vertAlign w:val="superscript"/>
        </w:rPr>
      </w:pPr>
      <w:r>
        <w:rPr>
          <w:rFonts w:ascii="Arial" w:cs="Arial" w:eastAsia="Arial" w:hAnsi="Arial"/>
          <w:sz w:val="14"/>
          <w:szCs w:val="14"/>
          <w:color w:val="auto"/>
        </w:rPr>
        <w:t>We calculate constant currency revenue growth rates by applying the prior period weighted average exchange rates to current period results.</w:t>
      </w:r>
    </w:p>
    <w:p>
      <w:pPr>
        <w:spacing w:after="0" w:line="194" w:lineRule="exact"/>
        <w:rPr>
          <w:rFonts w:ascii="Arial" w:cs="Arial" w:eastAsia="Arial" w:hAnsi="Arial"/>
          <w:sz w:val="21"/>
          <w:szCs w:val="21"/>
          <w:color w:val="auto"/>
          <w:vertAlign w:val="superscript"/>
        </w:rPr>
      </w:pPr>
    </w:p>
    <w:p>
      <w:pPr>
        <w:ind w:right="100" w:firstLine="6"/>
        <w:spacing w:after="0" w:line="303" w:lineRule="auto"/>
        <w:tabs>
          <w:tab w:leader="none" w:pos="175" w:val="left"/>
        </w:tabs>
        <w:numPr>
          <w:ilvl w:val="0"/>
          <w:numId w:val="1"/>
        </w:numPr>
        <w:rPr>
          <w:rFonts w:ascii="Arial" w:cs="Arial" w:eastAsia="Arial" w:hAnsi="Arial"/>
          <w:sz w:val="20"/>
          <w:szCs w:val="20"/>
          <w:color w:val="auto"/>
          <w:vertAlign w:val="superscript"/>
        </w:rPr>
      </w:pPr>
      <w:r>
        <w:rPr>
          <w:rFonts w:ascii="Arial" w:cs="Arial" w:eastAsia="Arial" w:hAnsi="Arial"/>
          <w:sz w:val="13"/>
          <w:szCs w:val="13"/>
          <w:color w:val="auto"/>
        </w:rPr>
        <w:t>We calculate total annual recurring revenue ("Total ARR") as the number of users who have active paid licenses for access to our platform as of the end of the period, multiplied by their annualized subscription price to our platform. We adjust our exchange rates used to calculate Total ARR on an annual basis, at the beginning of each fiscal year. We calculate constant currency Total ARR growth rates by applying the current period rate to prior period results.</w:t>
      </w:r>
    </w:p>
    <w:p>
      <w:pPr>
        <w:spacing w:after="0" w:line="155" w:lineRule="exact"/>
        <w:rPr>
          <w:rFonts w:ascii="Arial" w:cs="Arial" w:eastAsia="Arial" w:hAnsi="Arial"/>
          <w:sz w:val="20"/>
          <w:szCs w:val="20"/>
          <w:color w:val="auto"/>
          <w:vertAlign w:val="superscript"/>
        </w:rPr>
      </w:pPr>
    </w:p>
    <w:p>
      <w:pPr>
        <w:ind w:right="180" w:firstLine="6"/>
        <w:spacing w:after="0" w:line="299" w:lineRule="auto"/>
        <w:tabs>
          <w:tab w:leader="none" w:pos="171" w:val="left"/>
        </w:tabs>
        <w:numPr>
          <w:ilvl w:val="0"/>
          <w:numId w:val="1"/>
        </w:numPr>
        <w:rPr>
          <w:rFonts w:ascii="Arial" w:cs="Arial" w:eastAsia="Arial" w:hAnsi="Arial"/>
          <w:sz w:val="20"/>
          <w:szCs w:val="20"/>
          <w:color w:val="auto"/>
          <w:vertAlign w:val="superscript"/>
        </w:rPr>
      </w:pPr>
      <w:r>
        <w:rPr>
          <w:rFonts w:ascii="Arial" w:cs="Arial" w:eastAsia="Arial" w:hAnsi="Arial"/>
          <w:sz w:val="13"/>
          <w:szCs w:val="13"/>
          <w:color w:val="auto"/>
        </w:rPr>
        <w:t>Non-GAAP diluted net income per share is calculated based upon 419.3 million and 417.7 million diluted weighted-average shares of common stock for the three months ended March 31, 2020 and 2019, respectively.</w:t>
      </w:r>
    </w:p>
    <w:p>
      <w:pPr>
        <w:sectPr>
          <w:pgSz w:w="11900" w:h="16838" w:orient="portrait"/>
          <w:cols w:equalWidth="0" w:num="1">
            <w:col w:w="11200"/>
          </w:cols>
          <w:pgMar w:left="320" w:top="546"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Outlook</w:t>
      </w:r>
    </w:p>
    <w:p>
      <w:pPr>
        <w:spacing w:after="0" w:line="224"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Dropbox will provide forward-looking guidance in connection with this quarterly earnings announcement on its conference call, webcast, and on its investor relations website at investors.dropbox.com.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Dropbox plans to host a conference call today to review its first quarter financial results and to discuss its financial outlook. This call is scheduled to begin at 2:00 p.m. PT / 5:00 p.m. ET and can be accessed by dialing (877) 300-7844 from the United States or (786) 815-8440 internationally with reference to the company name and conference title, and a live webcast and replay of the conference call can be accessed from the Dropbox investor relations website at investors.dropbox.com. Following the completion of the call, a telephonic replay will be available through 11:59 PM ET on May 14, 2020 at (855) 859-2056 from the United States or (404) 537-3406 internationally with recording access code 9115979.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Upcoming Events</w:t>
      </w:r>
    </w:p>
    <w:p>
      <w:pPr>
        <w:spacing w:after="0" w:line="224" w:lineRule="exact"/>
        <w:rPr>
          <w:sz w:val="20"/>
          <w:szCs w:val="20"/>
          <w:color w:val="auto"/>
        </w:rPr>
      </w:pPr>
    </w:p>
    <w:p>
      <w:pPr>
        <w:ind w:left="640" w:hanging="315"/>
        <w:spacing w:after="0" w:line="252" w:lineRule="auto"/>
        <w:tabs>
          <w:tab w:leader="none" w:pos="6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Drew Houston, Co-founder and Chief Executive Officer, and Ajay Vashee, Chief Financial Officer, will be presenting at the J.P. Morgan 48th Annual Global Technology, Media and Communications Conference on Wednesday, May 13, 2020 at 1:00 p.m. PT.</w:t>
      </w:r>
    </w:p>
    <w:p>
      <w:pPr>
        <w:spacing w:after="0" w:line="1" w:lineRule="exact"/>
        <w:rPr>
          <w:rFonts w:ascii="Arial" w:cs="Arial" w:eastAsia="Arial" w:hAnsi="Arial"/>
          <w:sz w:val="18"/>
          <w:szCs w:val="18"/>
          <w:b w:val="1"/>
          <w:bCs w:val="1"/>
          <w:color w:val="auto"/>
        </w:rPr>
      </w:pPr>
    </w:p>
    <w:p>
      <w:pPr>
        <w:ind w:left="640" w:right="60" w:hanging="315"/>
        <w:spacing w:after="0" w:line="246"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Ajay Vashee, Chief Financial Officer, will be presenting at the Bank of America Securities 2020 Global Technology Conference on Tuesday, June 2, 2020 at 2:30 p.m. PT.</w:t>
      </w:r>
    </w:p>
    <w:p>
      <w:pPr>
        <w:ind w:left="640" w:right="20" w:hanging="315"/>
        <w:spacing w:after="0" w:line="252"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Ajay Vashee, Chief Financial Officer, will be presenting at the William Blair 40th Annual Growth Stock Conference on Wednesday, June 10, 2020 at 1:20 p.m. PT.</w:t>
      </w:r>
    </w:p>
    <w:p>
      <w:pPr>
        <w:spacing w:after="0" w:line="192" w:lineRule="exact"/>
        <w:rPr>
          <w:sz w:val="20"/>
          <w:szCs w:val="20"/>
          <w:color w:val="auto"/>
        </w:rPr>
      </w:pPr>
    </w:p>
    <w:p>
      <w:pPr>
        <w:ind w:right="320"/>
        <w:spacing w:after="0" w:line="265" w:lineRule="auto"/>
        <w:rPr>
          <w:sz w:val="20"/>
          <w:szCs w:val="20"/>
          <w:color w:val="auto"/>
        </w:rPr>
      </w:pPr>
      <w:r>
        <w:rPr>
          <w:rFonts w:ascii="Arial" w:cs="Arial" w:eastAsia="Arial" w:hAnsi="Arial"/>
          <w:sz w:val="18"/>
          <w:szCs w:val="18"/>
          <w:color w:val="auto"/>
        </w:rPr>
        <w:t>During these events, a live webcast will be accessible from the Dropbox investor relations website at http://investors.dropbox.com. Following the event, a replay will be made available at the same location.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Dropbox</w:t>
      </w:r>
    </w:p>
    <w:p>
      <w:pPr>
        <w:spacing w:after="0" w:line="224"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Dropbox is the world's first smart workspace that helps people and teams focus on the work that matters. With more than 600 million registered users across 180 countries, we're on a mission to design a more enlightened way of working. Dropbox is headquartered in San Francisco, CA, and has 12 offices around the world. For more information on our mission and products, visit dropbox.com.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4"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4"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This press release contains forward-looking statements within the meaning of the Private Securities Litigation Reform Act of 1995 including, among other things, statements regarding Dropbox's strategies and new products and features, future financial and operational performance as well as trends in our business, the impact of the COVID-19 pandemic and related public health measures on our financial results, business operations and the business of our customers, suppliers and partners, the demand for and engagement with our platform and product features, and the benefits from new product experiences and acquisitions. Words such as "believe," "may," "will," "estimate," "continue," "anticipate," "intend," "expect," "plans," and similar expressions are intended to identify forward-looking statements. Dropbox has based these forward-looking statements largely on its current expectations and projections about future events and financial trends that the Company believes may affect its business, financial condition, and results of operations. These forward-looking statements speak only as of the date of this press release and are subject to risks, uncertainties, and assumptions including, but not limited to: (i) impacts to our financial results, business operations and the business of our customers, suppliers and partners as a result of the COVID-19 pandemic, and related public health measures, (ii) our ability to retain and upgrade paying users, in particular paying users impacted by the COVID-19 pandemic, and increase our recurring revenue; (iii) our ability to attract new users or convert registered users to paying users, in particular prospective paying users financially impacted by the COVID-19 pandemic; (iv) our revenue growth rate; (v) our history of net losses and our ability to achieve or maintain profitability; (vi) our liability for any unauthorized access to our data or our users’ content, including through privacy and data security breaches; (vii) significant disruption of</w:t>
      </w:r>
    </w:p>
    <w:p>
      <w:pPr>
        <w:sectPr>
          <w:pgSz w:w="11900" w:h="16838" w:orient="portrait"/>
          <w:cols w:equalWidth="0" w:num="1">
            <w:col w:w="11220"/>
          </w:cols>
          <w:pgMar w:left="320" w:top="546" w:right="359" w:bottom="1440" w:gutter="0" w:footer="0" w:header="0"/>
        </w:sectPr>
      </w:pPr>
    </w:p>
    <w:bookmarkStart w:id="5" w:name="page6"/>
    <w:bookmarkEnd w:id="5"/>
    <w:p>
      <w:pPr>
        <w:spacing w:after="0" w:line="302" w:lineRule="auto"/>
        <w:rPr>
          <w:sz w:val="20"/>
          <w:szCs w:val="20"/>
          <w:color w:val="auto"/>
        </w:rPr>
      </w:pPr>
      <w:r>
        <w:rPr>
          <w:rFonts w:ascii="Arial" w:cs="Arial" w:eastAsia="Arial" w:hAnsi="Arial"/>
          <w:sz w:val="15"/>
          <w:szCs w:val="15"/>
          <w:color w:val="auto"/>
        </w:rPr>
        <w:t>service on our platform or loss of content, particularly from any potential disruptions in the supply chain for hardware necessary to offer our services that may result from the COVID-19 pandemic; (viii) any decline in demand for our platform or for content collaboration solutions in general; (ix) changes in the interoperability of our platform across devices, operating systems, and third-party applications that we do not control; (x) competition in our markets; (xi) our ability to respond to rapid technological changes, extend our platform, develop new features or products, or gain market acceptance for such new features or products, particularly in light of potential disruptions to the productivity of our employees resulting from remote work; (xii) our ability to manage our growth or plan for future growth; (xiii) our acquisition of other businesses and the potential of such acquisitions to require significant management attention, disrupt our business, or dilute stockholder value; and (ix)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10-K for the year ended December 31, 2019. Additional information will be made available in our quarterly report on Form 10-Q and other future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pgSz w:w="11900" w:h="16838" w:orient="portrait"/>
          <w:cols w:equalWidth="0" w:num="1">
            <w:col w:w="11220"/>
          </w:cols>
          <w:pgMar w:left="320" w:top="552" w:right="359" w:bottom="1440" w:gutter="0" w:footer="0" w:header="0"/>
        </w:sectPr>
      </w:pPr>
    </w:p>
    <w:bookmarkStart w:id="6" w:name="page7"/>
    <w:bookmarkEnd w:id="6"/>
    <w:p>
      <w:pPr>
        <w:jc w:val="center"/>
        <w:ind w:right="-333"/>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ind w:right="-333"/>
        <w:spacing w:after="0"/>
        <w:rPr>
          <w:sz w:val="20"/>
          <w:szCs w:val="20"/>
          <w:color w:val="auto"/>
        </w:rPr>
      </w:pPr>
      <w:r>
        <w:rPr>
          <w:rFonts w:ascii="Arial" w:cs="Arial" w:eastAsia="Arial" w:hAnsi="Arial"/>
          <w:sz w:val="18"/>
          <w:szCs w:val="18"/>
          <w:b w:val="1"/>
          <w:bCs w:val="1"/>
          <w:color w:val="auto"/>
        </w:rPr>
        <w:t>Condensed Consolidated Statements of Operations</w:t>
      </w:r>
    </w:p>
    <w:p>
      <w:pPr>
        <w:sectPr>
          <w:pgSz w:w="11900" w:h="16838" w:orient="portrait"/>
          <w:cols w:equalWidth="0" w:num="1">
            <w:col w:w="10894"/>
          </w:cols>
          <w:pgMar w:left="326" w:top="55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914"/>
        <w:spacing w:after="0"/>
        <w:rPr>
          <w:sz w:val="20"/>
          <w:szCs w:val="20"/>
          <w:color w:val="auto"/>
        </w:rPr>
      </w:pPr>
      <w:r>
        <w:rPr>
          <w:rFonts w:ascii="Arial" w:cs="Arial" w:eastAsia="Arial" w:hAnsi="Arial"/>
          <w:sz w:val="18"/>
          <w:szCs w:val="18"/>
          <w:color w:val="auto"/>
        </w:rPr>
        <w:t>Revenue</w:t>
      </w:r>
    </w:p>
    <w:p>
      <w:pPr>
        <w:spacing w:after="0" w:line="70" w:lineRule="exact"/>
        <w:rPr>
          <w:sz w:val="20"/>
          <w:szCs w:val="20"/>
          <w:color w:val="auto"/>
        </w:rPr>
      </w:pPr>
    </w:p>
    <w:p>
      <w:pPr>
        <w:ind w:left="2154"/>
        <w:spacing w:after="0"/>
        <w:rPr>
          <w:sz w:val="20"/>
          <w:szCs w:val="20"/>
          <w:color w:val="auto"/>
        </w:rPr>
      </w:pPr>
      <w:r>
        <w:rPr>
          <w:rFonts w:ascii="Arial" w:cs="Arial" w:eastAsia="Arial" w:hAnsi="Arial"/>
          <w:sz w:val="18"/>
          <w:szCs w:val="18"/>
          <w:color w:val="auto"/>
        </w:rPr>
        <w:t>Cost of revenue</w:t>
      </w:r>
      <w:r>
        <w:rPr>
          <w:rFonts w:ascii="Arial" w:cs="Arial" w:eastAsia="Arial" w:hAnsi="Arial"/>
          <w:sz w:val="24"/>
          <w:szCs w:val="24"/>
          <w:color w:val="auto"/>
          <w:vertAlign w:val="superscript"/>
        </w:rPr>
        <w:t>(1)</w:t>
      </w:r>
    </w:p>
    <w:p>
      <w:pPr>
        <w:spacing w:after="0" w:line="5" w:lineRule="exact"/>
        <w:rPr>
          <w:sz w:val="20"/>
          <w:szCs w:val="20"/>
          <w:color w:val="auto"/>
        </w:rPr>
      </w:pPr>
    </w:p>
    <w:p>
      <w:pPr>
        <w:ind w:left="1914"/>
        <w:spacing w:after="0"/>
        <w:rPr>
          <w:sz w:val="20"/>
          <w:szCs w:val="20"/>
          <w:color w:val="auto"/>
        </w:rPr>
      </w:pPr>
      <w:r>
        <w:rPr>
          <w:rFonts w:ascii="Arial" w:cs="Arial" w:eastAsia="Arial" w:hAnsi="Arial"/>
          <w:sz w:val="18"/>
          <w:szCs w:val="18"/>
          <w:color w:val="auto"/>
        </w:rPr>
        <w:t>Gross profit</w:t>
      </w:r>
    </w:p>
    <w:p>
      <w:pPr>
        <w:spacing w:after="0" w:line="56" w:lineRule="exact"/>
        <w:rPr>
          <w:sz w:val="20"/>
          <w:szCs w:val="20"/>
          <w:color w:val="auto"/>
        </w:rPr>
      </w:pPr>
    </w:p>
    <w:p>
      <w:pPr>
        <w:ind w:left="1914"/>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4"/>
          <w:szCs w:val="24"/>
          <w:color w:val="auto"/>
          <w:vertAlign w:val="superscript"/>
        </w:rPr>
        <w:t>(1)</w:t>
      </w:r>
      <w:r>
        <w:rPr>
          <w:rFonts w:ascii="Arial" w:cs="Arial" w:eastAsia="Arial" w:hAnsi="Arial"/>
          <w:sz w:val="18"/>
          <w:szCs w:val="18"/>
          <w:color w:val="auto"/>
        </w:rPr>
        <w:t>:</w:t>
      </w:r>
    </w:p>
    <w:p>
      <w:pPr>
        <w:spacing w:after="0" w:line="5" w:lineRule="exact"/>
        <w:rPr>
          <w:sz w:val="20"/>
          <w:szCs w:val="20"/>
          <w:color w:val="auto"/>
        </w:rPr>
      </w:pPr>
    </w:p>
    <w:p>
      <w:pPr>
        <w:ind w:left="2154"/>
        <w:spacing w:after="0"/>
        <w:rPr>
          <w:sz w:val="20"/>
          <w:szCs w:val="20"/>
          <w:color w:val="auto"/>
        </w:rPr>
      </w:pPr>
      <w:r>
        <w:rPr>
          <w:rFonts w:ascii="Arial" w:cs="Arial" w:eastAsia="Arial" w:hAnsi="Arial"/>
          <w:sz w:val="15"/>
          <w:szCs w:val="15"/>
          <w:color w:val="auto"/>
        </w:rPr>
        <w:t>Research and development</w:t>
      </w:r>
    </w:p>
    <w:p>
      <w:pPr>
        <w:spacing w:after="0" w:line="79" w:lineRule="exact"/>
        <w:rPr>
          <w:sz w:val="20"/>
          <w:szCs w:val="20"/>
          <w:color w:val="auto"/>
        </w:rPr>
      </w:pPr>
    </w:p>
    <w:p>
      <w:pPr>
        <w:ind w:left="2154"/>
        <w:spacing w:after="0"/>
        <w:rPr>
          <w:sz w:val="20"/>
          <w:szCs w:val="20"/>
          <w:color w:val="auto"/>
        </w:rPr>
      </w:pPr>
      <w:r>
        <w:rPr>
          <w:rFonts w:ascii="Arial" w:cs="Arial" w:eastAsia="Arial" w:hAnsi="Arial"/>
          <w:sz w:val="18"/>
          <w:szCs w:val="18"/>
          <w:color w:val="auto"/>
        </w:rPr>
        <w:t>Sales and marketing</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General and administrative</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4040"/>
        <w:spacing w:after="0"/>
        <w:rPr>
          <w:sz w:val="20"/>
          <w:szCs w:val="20"/>
          <w:color w:val="auto"/>
        </w:rPr>
      </w:pPr>
      <w:r>
        <w:rPr>
          <w:rFonts w:ascii="Arial" w:cs="Arial" w:eastAsia="Arial" w:hAnsi="Arial"/>
          <w:sz w:val="15"/>
          <w:szCs w:val="15"/>
          <w:i w:val="1"/>
          <w:iCs w:val="1"/>
          <w:color w:val="auto"/>
        </w:rPr>
        <w:t>(In millions, except per share data)</w:t>
      </w:r>
    </w:p>
    <w:p>
      <w:pPr>
        <w:spacing w:after="0" w:line="37" w:lineRule="exact"/>
        <w:rPr>
          <w:sz w:val="20"/>
          <w:szCs w:val="20"/>
          <w:color w:val="auto"/>
        </w:rPr>
      </w:pPr>
    </w:p>
    <w:p>
      <w:pPr>
        <w:jc w:val="center"/>
        <w:ind w:right="4040"/>
        <w:spacing w:after="0"/>
        <w:rPr>
          <w:sz w:val="20"/>
          <w:szCs w:val="20"/>
          <w:color w:val="auto"/>
        </w:rPr>
      </w:pPr>
      <w:r>
        <w:rPr>
          <w:rFonts w:ascii="Arial" w:cs="Arial" w:eastAsia="Arial" w:hAnsi="Arial"/>
          <w:sz w:val="18"/>
          <w:szCs w:val="18"/>
          <w:i w:val="1"/>
          <w:iCs w:val="1"/>
          <w:color w:val="auto"/>
        </w:rPr>
        <w:t>(Unaudited)</w:t>
      </w:r>
    </w:p>
    <w:p>
      <w:pPr>
        <w:spacing w:after="0" w:line="148"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Three Months Ended</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20955</wp:posOffset>
            </wp:positionV>
            <wp:extent cx="23698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69820" cy="8255"/>
                    </a:xfrm>
                    <a:prstGeom prst="rect">
                      <a:avLst/>
                    </a:prstGeom>
                    <a:noFill/>
                  </pic:spPr>
                </pic:pic>
              </a:graphicData>
            </a:graphic>
          </wp:anchor>
        </w:drawing>
      </w:r>
    </w:p>
    <w:p>
      <w:pPr>
        <w:spacing w:after="0" w:line="35" w:lineRule="exact"/>
        <w:rPr>
          <w:sz w:val="20"/>
          <w:szCs w:val="20"/>
          <w:color w:val="auto"/>
        </w:rPr>
      </w:pPr>
    </w:p>
    <w:tbl>
      <w:tblPr>
        <w:tblLayout w:type="fixed"/>
        <w:tblInd w:w="1240" w:type="dxa"/>
        <w:tblCellMar>
          <w:top w:w="0" w:type="dxa"/>
          <w:left w:w="0" w:type="dxa"/>
          <w:bottom w:w="0" w:type="dxa"/>
          <w:right w:w="0" w:type="dxa"/>
        </w:tblCellMar>
      </w:tblPr>
      <w:tr>
        <w:trPr>
          <w:trHeight w:val="230"/>
        </w:trPr>
        <w:tc>
          <w:tcPr>
            <w:tcW w:w="420" w:type="dxa"/>
            <w:vAlign w:val="bottom"/>
          </w:tcPr>
          <w:p>
            <w:pPr>
              <w:spacing w:after="0"/>
              <w:rPr>
                <w:sz w:val="19"/>
                <w:szCs w:val="19"/>
                <w:color w:val="auto"/>
              </w:rPr>
            </w:pPr>
          </w:p>
        </w:tc>
        <w:tc>
          <w:tcPr>
            <w:tcW w:w="1400" w:type="dxa"/>
            <w:vAlign w:val="bottom"/>
          </w:tcPr>
          <w:p>
            <w:pPr>
              <w:jc w:val="right"/>
              <w:ind w:right="65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651"/>
              <w:spacing w:after="0"/>
              <w:rPr>
                <w:sz w:val="20"/>
                <w:szCs w:val="20"/>
                <w:color w:val="auto"/>
              </w:rPr>
            </w:pPr>
            <w:r>
              <w:rPr>
                <w:rFonts w:ascii="Arial" w:cs="Arial" w:eastAsia="Arial" w:hAnsi="Arial"/>
                <w:sz w:val="18"/>
                <w:szCs w:val="18"/>
                <w:b w:val="1"/>
                <w:bCs w:val="1"/>
                <w:color w:val="auto"/>
              </w:rPr>
              <w:t>2019</w:t>
            </w:r>
          </w:p>
        </w:tc>
      </w:tr>
      <w:tr>
        <w:trPr>
          <w:trHeight w:val="28"/>
        </w:trPr>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420" w:type="dxa"/>
            <w:vAlign w:val="bottom"/>
          </w:tcPr>
          <w:p>
            <w:pPr>
              <w:jc w:val="right"/>
              <w:ind w:right="211"/>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455.0</w:t>
            </w:r>
          </w:p>
        </w:tc>
        <w:tc>
          <w:tcPr>
            <w:tcW w:w="100" w:type="dxa"/>
            <w:vAlign w:val="bottom"/>
          </w:tcPr>
          <w:p>
            <w:pPr>
              <w:spacing w:after="0"/>
              <w:rPr>
                <w:sz w:val="20"/>
                <w:szCs w:val="20"/>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385.6</w:t>
            </w:r>
          </w:p>
        </w:tc>
      </w:tr>
      <w:tr>
        <w:trPr>
          <w:trHeight w:val="266"/>
        </w:trPr>
        <w:tc>
          <w:tcPr>
            <w:tcW w:w="42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98.4</w:t>
            </w:r>
          </w:p>
        </w:tc>
      </w:tr>
      <w:tr>
        <w:trPr>
          <w:trHeight w:val="28"/>
        </w:trPr>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42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351.9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287.2</w:t>
            </w:r>
          </w:p>
        </w:tc>
      </w:tr>
      <w:tr>
        <w:trPr>
          <w:trHeight w:val="531"/>
        </w:trPr>
        <w:tc>
          <w:tcPr>
            <w:tcW w:w="420" w:type="dxa"/>
            <w:vAlign w:val="bottom"/>
          </w:tcPr>
          <w:p>
            <w:pPr>
              <w:spacing w:after="0"/>
              <w:rPr>
                <w:sz w:val="24"/>
                <w:szCs w:val="24"/>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150.0</w:t>
            </w:r>
          </w:p>
        </w:tc>
      </w:tr>
      <w:tr>
        <w:trPr>
          <w:trHeight w:val="266"/>
        </w:trPr>
        <w:tc>
          <w:tcPr>
            <w:tcW w:w="42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101.5</w:t>
            </w:r>
          </w:p>
        </w:tc>
      </w:tr>
      <w:tr>
        <w:trPr>
          <w:trHeight w:val="266"/>
        </w:trPr>
        <w:tc>
          <w:tcPr>
            <w:tcW w:w="42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-1179195</wp:posOffset>
            </wp:positionV>
            <wp:extent cx="4730750" cy="177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30750" cy="17716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-833755</wp:posOffset>
            </wp:positionV>
            <wp:extent cx="4730750" cy="177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30750" cy="17716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-487680</wp:posOffset>
            </wp:positionV>
            <wp:extent cx="4730750" cy="168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30750" cy="168910"/>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-150495</wp:posOffset>
            </wp:positionV>
            <wp:extent cx="4730750" cy="168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30750" cy="168910"/>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4214" w:space="160"/>
            <w:col w:w="6520"/>
          </w:cols>
          <w:pgMar w:left="326" w:top="550" w:right="679" w:bottom="1440" w:gutter="0" w:footer="0" w:header="0"/>
          <w:type w:val="continuous"/>
        </w:sectPr>
      </w:pPr>
    </w:p>
    <w:tbl>
      <w:tblPr>
        <w:tblLayout w:type="fixed"/>
        <w:tblInd w:w="1894" w:type="dxa"/>
        <w:tblCellMar>
          <w:top w:w="0" w:type="dxa"/>
          <w:left w:w="0" w:type="dxa"/>
          <w:bottom w:w="0" w:type="dxa"/>
          <w:right w:w="0" w:type="dxa"/>
        </w:tblCellMar>
      </w:tblPr>
      <w:tr>
        <w:trPr>
          <w:trHeight w:val="252"/>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7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325.1</w:t>
            </w:r>
          </w:p>
        </w:tc>
        <w:tc>
          <w:tcPr>
            <w:tcW w:w="10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46"/>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8"/>
        </w:trPr>
        <w:tc>
          <w:tcPr>
            <w:tcW w:w="372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7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8"/>
        </w:trPr>
        <w:tc>
          <w:tcPr>
            <w:tcW w:w="3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1"/>
        </w:trPr>
        <w:tc>
          <w:tcPr>
            <w:tcW w:w="37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7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8"/>
        </w:trPr>
        <w:tc>
          <w:tcPr>
            <w:tcW w:w="3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1"/>
        </w:trPr>
        <w:tc>
          <w:tcPr>
            <w:tcW w:w="37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720" w:type="dxa"/>
            <w:vAlign w:val="bottom"/>
            <w:tcBorders>
              <w:top w:val="single" w:sz="8" w:color="auto"/>
            </w:tcBorders>
          </w:tcPr>
          <w:p>
            <w:pPr>
              <w:jc w:val="right"/>
              <w:ind w:right="51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0"/>
                <w:szCs w:val="20"/>
                <w:color w:val="auto"/>
              </w:rPr>
            </w:pPr>
          </w:p>
        </w:tc>
        <w:tc>
          <w:tcPr>
            <w:tcW w:w="720" w:type="dxa"/>
            <w:vAlign w:val="bottom"/>
            <w:tcBorders>
              <w:top w:val="single" w:sz="8" w:color="auto"/>
            </w:tcBorders>
          </w:tcPr>
          <w:p>
            <w:pPr>
              <w:jc w:val="right"/>
              <w:ind w:right="53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68"/>
        </w:trPr>
        <w:tc>
          <w:tcPr>
            <w:tcW w:w="3720" w:type="dxa"/>
            <w:vAlign w:val="bottom"/>
            <w:tcBorders>
              <w:bottom w:val="single" w:sz="8" w:color="CCEEFF"/>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color w:val="auto"/>
                <w:w w:val="89"/>
              </w:rPr>
              <w:t>Net Income (loss) per share attributable to common</w:t>
            </w:r>
          </w:p>
        </w:tc>
        <w:tc>
          <w:tcPr>
            <w:tcW w:w="720" w:type="dxa"/>
            <w:vAlign w:val="bottom"/>
            <w:vMerge w:val="restart"/>
            <w:shd w:val="clear" w:color="auto" w:fill="CCEEFF"/>
          </w:tcPr>
          <w:p>
            <w:pPr>
              <w:jc w:val="right"/>
              <w:ind w:right="511"/>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531"/>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1"/>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 basic and diluted</w:t>
            </w: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ind w:left="20"/>
              <w:spacing w:after="0"/>
              <w:rPr>
                <w:sz w:val="20"/>
                <w:szCs w:val="20"/>
                <w:color w:val="auto"/>
              </w:rPr>
            </w:pPr>
            <w:r>
              <w:rPr>
                <w:rFonts w:ascii="Arial" w:cs="Arial" w:eastAsia="Arial" w:hAnsi="Arial"/>
                <w:sz w:val="18"/>
                <w:szCs w:val="18"/>
                <w:color w:val="auto"/>
                <w:w w:val="95"/>
              </w:rPr>
              <w:t>Weighted-average shares used in computing net</w:t>
            </w: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2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720" w:type="dxa"/>
            <w:vAlign w:val="bottom"/>
          </w:tcPr>
          <w:p>
            <w:pPr>
              <w:ind w:left="180"/>
              <w:spacing w:after="0"/>
              <w:rPr>
                <w:sz w:val="20"/>
                <w:szCs w:val="20"/>
                <w:color w:val="auto"/>
              </w:rPr>
            </w:pPr>
            <w:r>
              <w:rPr>
                <w:rFonts w:ascii="Arial" w:cs="Arial" w:eastAsia="Arial" w:hAnsi="Arial"/>
                <w:sz w:val="18"/>
                <w:szCs w:val="18"/>
                <w:color w:val="auto"/>
                <w:w w:val="93"/>
              </w:rPr>
              <w:t>income (loss) per share attributable to common</w:t>
            </w: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72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417.3</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72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419.3</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8"/>
        </w:trPr>
        <w:tc>
          <w:tcPr>
            <w:tcW w:w="37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8" w:lineRule="exact"/>
        <w:rPr>
          <w:sz w:val="20"/>
          <w:szCs w:val="20"/>
          <w:color w:val="auto"/>
        </w:rPr>
      </w:pPr>
    </w:p>
    <w:p>
      <w:pPr>
        <w:ind w:left="194" w:hanging="194"/>
        <w:spacing w:after="0"/>
        <w:tabs>
          <w:tab w:leader="none" w:pos="194" w:val="left"/>
        </w:tabs>
        <w:numPr>
          <w:ilvl w:val="0"/>
          <w:numId w:val="3"/>
        </w:numPr>
        <w:rPr>
          <w:rFonts w:ascii="Arial" w:cs="Arial" w:eastAsia="Arial" w:hAnsi="Arial"/>
          <w:sz w:val="23"/>
          <w:szCs w:val="23"/>
          <w:color w:val="auto"/>
          <w:vertAlign w:val="superscript"/>
        </w:rPr>
      </w:pPr>
      <w:r>
        <w:rPr>
          <w:rFonts w:ascii="Arial" w:cs="Arial" w:eastAsia="Arial" w:hAnsi="Arial"/>
          <w:sz w:val="15"/>
          <w:szCs w:val="15"/>
          <w:color w:val="auto"/>
        </w:rPr>
        <w:t>Includes stock-based compensation expense as follows:</w:t>
      </w:r>
    </w:p>
    <w:p>
      <w:pPr>
        <w:spacing w:after="0" w:line="146" w:lineRule="exact"/>
        <w:rPr>
          <w:sz w:val="20"/>
          <w:szCs w:val="20"/>
          <w:color w:val="auto"/>
        </w:rPr>
      </w:pPr>
    </w:p>
    <w:p>
      <w:pPr>
        <w:jc w:val="center"/>
        <w:ind w:left="3740"/>
        <w:spacing w:after="0"/>
        <w:rPr>
          <w:sz w:val="20"/>
          <w:szCs w:val="20"/>
          <w:color w:val="auto"/>
        </w:rPr>
      </w:pPr>
      <w:r>
        <w:rPr>
          <w:rFonts w:ascii="Arial" w:cs="Arial" w:eastAsia="Arial" w:hAnsi="Arial"/>
          <w:sz w:val="18"/>
          <w:szCs w:val="18"/>
          <w:b w:val="1"/>
          <w:bCs w:val="1"/>
          <w:color w:val="auto"/>
        </w:rPr>
        <w:t>Three Months Ended</w:t>
      </w:r>
    </w:p>
    <w:p>
      <w:pPr>
        <w:spacing w:after="0" w:line="23" w:lineRule="exact"/>
        <w:rPr>
          <w:sz w:val="20"/>
          <w:szCs w:val="20"/>
          <w:color w:val="auto"/>
        </w:rPr>
      </w:pPr>
    </w:p>
    <w:p>
      <w:pPr>
        <w:jc w:val="center"/>
        <w:ind w:left="37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20955</wp:posOffset>
            </wp:positionV>
            <wp:extent cx="23615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61565" cy="8255"/>
                    </a:xfrm>
                    <a:prstGeom prst="rect">
                      <a:avLst/>
                    </a:prstGeom>
                    <a:noFill/>
                  </pic:spPr>
                </pic:pic>
              </a:graphicData>
            </a:graphic>
          </wp:anchor>
        </w:drawing>
      </w:r>
    </w:p>
    <w:p>
      <w:pPr>
        <w:spacing w:after="0" w:line="35" w:lineRule="exact"/>
        <w:rPr>
          <w:sz w:val="20"/>
          <w:szCs w:val="20"/>
          <w:color w:val="auto"/>
        </w:rPr>
      </w:pPr>
    </w:p>
    <w:tbl>
      <w:tblPr>
        <w:tblLayout w:type="fixed"/>
        <w:tblInd w:w="1894" w:type="dxa"/>
        <w:tblCellMar>
          <w:top w:w="0" w:type="dxa"/>
          <w:left w:w="0" w:type="dxa"/>
          <w:bottom w:w="0" w:type="dxa"/>
          <w:right w:w="0" w:type="dxa"/>
        </w:tblCellMar>
      </w:tblPr>
      <w:tr>
        <w:trPr>
          <w:trHeight w:val="230"/>
        </w:trPr>
        <w:tc>
          <w:tcPr>
            <w:tcW w:w="374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ind w:right="651"/>
              <w:spacing w:after="0"/>
              <w:rPr>
                <w:sz w:val="20"/>
                <w:szCs w:val="20"/>
                <w:color w:val="auto"/>
              </w:rPr>
            </w:pPr>
            <w:r>
              <w:rPr>
                <w:rFonts w:ascii="Arial" w:cs="Arial" w:eastAsia="Arial" w:hAnsi="Arial"/>
                <w:sz w:val="18"/>
                <w:szCs w:val="18"/>
                <w:b w:val="1"/>
                <w:bCs w:val="1"/>
                <w:color w:val="auto"/>
              </w:rPr>
              <w:t>2019</w:t>
            </w:r>
          </w:p>
        </w:tc>
      </w:tr>
      <w:tr>
        <w:trPr>
          <w:trHeight w:val="28"/>
        </w:trPr>
        <w:tc>
          <w:tcPr>
            <w:tcW w:w="37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9"/>
        </w:trPr>
        <w:tc>
          <w:tcPr>
            <w:tcW w:w="3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Cost of revenue</w:t>
            </w:r>
          </w:p>
        </w:tc>
        <w:tc>
          <w:tcPr>
            <w:tcW w:w="1240" w:type="dxa"/>
            <w:vAlign w:val="bottom"/>
            <w:tcBorders>
              <w:bottom w:val="single" w:sz="8" w:color="CCEEFF"/>
            </w:tcBorders>
            <w:shd w:val="clear" w:color="auto" w:fill="CCEEFF"/>
          </w:tcPr>
          <w:p>
            <w:pPr>
              <w:jc w:val="right"/>
              <w:ind w:right="105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8"/>
        </w:trPr>
        <w:tc>
          <w:tcPr>
            <w:tcW w:w="37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240" w:type="dxa"/>
            <w:vAlign w:val="bottom"/>
          </w:tcPr>
          <w:p>
            <w:pPr>
              <w:spacing w:after="0"/>
              <w:rPr>
                <w:sz w:val="20"/>
                <w:szCs w:val="20"/>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8"/>
        </w:trPr>
        <w:tc>
          <w:tcPr>
            <w:tcW w:w="3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6"/>
        </w:trPr>
        <w:tc>
          <w:tcPr>
            <w:tcW w:w="3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Sales and marketing</w:t>
            </w: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334"/>
        </w:trPr>
        <w:tc>
          <w:tcPr>
            <w:tcW w:w="3740" w:type="dxa"/>
            <w:vAlign w:val="bottom"/>
          </w:tcPr>
          <w:p>
            <w:pPr>
              <w:ind w:left="2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4"/>
                <w:szCs w:val="24"/>
                <w:color w:val="auto"/>
                <w:vertAlign w:val="superscript"/>
              </w:rPr>
              <w:t>(2)</w:t>
            </w:r>
          </w:p>
        </w:tc>
        <w:tc>
          <w:tcPr>
            <w:tcW w:w="1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w:t>
            </w:r>
          </w:p>
        </w:tc>
      </w:tr>
    </w:tbl>
    <w:p>
      <w:pPr>
        <w:spacing w:after="0" w:line="147" w:lineRule="exact"/>
        <w:rPr>
          <w:sz w:val="20"/>
          <w:szCs w:val="20"/>
          <w:color w:val="auto"/>
        </w:rPr>
      </w:pPr>
    </w:p>
    <w:p>
      <w:pPr>
        <w:ind w:left="-6" w:firstLine="6"/>
        <w:spacing w:after="0" w:line="299" w:lineRule="auto"/>
        <w:tabs>
          <w:tab w:leader="none" w:pos="169" w:val="left"/>
        </w:tabs>
        <w:numPr>
          <w:ilvl w:val="0"/>
          <w:numId w:val="4"/>
        </w:numPr>
        <w:rPr>
          <w:rFonts w:ascii="Arial" w:cs="Arial" w:eastAsia="Arial" w:hAnsi="Arial"/>
          <w:sz w:val="20"/>
          <w:szCs w:val="20"/>
          <w:color w:val="auto"/>
          <w:vertAlign w:val="superscript"/>
        </w:rPr>
      </w:pPr>
      <w:r>
        <w:rPr>
          <w:rFonts w:ascii="Arial" w:cs="Arial" w:eastAsia="Arial" w:hAnsi="Arial"/>
          <w:sz w:val="13"/>
          <w:szCs w:val="13"/>
          <w:color w:val="auto"/>
        </w:rPr>
        <w:t>On March 19, 2020, one of the Company's co-founders resigned as a member of the board and as an officer of the Company, resulting in the reversal of $23.8 million in stock-based compensation expense. Of the total amount reversed, $21.5 million related to expense recognized prior to December 31, 2019.</w:t>
      </w:r>
    </w:p>
    <w:p>
      <w:pPr>
        <w:sectPr>
          <w:pgSz w:w="11900" w:h="16838" w:orient="portrait"/>
          <w:cols w:equalWidth="0" w:num="1">
            <w:col w:w="10894"/>
          </w:cols>
          <w:pgMar w:left="326" w:top="550" w:right="67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Balance Sheets</w:t>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(In millions)</w:t>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00" w:type="dxa"/>
            <w:vAlign w:val="bottom"/>
            <w:gridSpan w:val="3"/>
          </w:tcPr>
          <w:p>
            <w:pPr>
              <w:jc w:val="right"/>
              <w:ind w:right="31"/>
              <w:spacing w:after="0"/>
              <w:rPr>
                <w:sz w:val="20"/>
                <w:szCs w:val="20"/>
                <w:color w:val="auto"/>
              </w:rPr>
            </w:pPr>
            <w:r>
              <w:rPr>
                <w:rFonts w:ascii="Arial" w:cs="Arial" w:eastAsia="Arial" w:hAnsi="Arial"/>
                <w:sz w:val="18"/>
                <w:szCs w:val="18"/>
                <w:b w:val="1"/>
                <w:bCs w:val="1"/>
                <w:color w:val="auto"/>
              </w:rPr>
              <w:t>As of</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2020</w:t>
            </w:r>
          </w:p>
        </w:tc>
        <w:tc>
          <w:tcPr>
            <w:tcW w:w="280" w:type="dxa"/>
            <w:vAlign w:val="bottom"/>
          </w:tcPr>
          <w:p>
            <w:pPr>
              <w:spacing w:after="0"/>
              <w:rPr>
                <w:sz w:val="20"/>
                <w:szCs w:val="20"/>
                <w:color w:val="auto"/>
              </w:rPr>
            </w:pPr>
          </w:p>
        </w:tc>
        <w:tc>
          <w:tcPr>
            <w:tcW w:w="1960" w:type="dxa"/>
            <w:vAlign w:val="bottom"/>
          </w:tcPr>
          <w:p>
            <w:pPr>
              <w:jc w:val="right"/>
              <w:ind w:right="311"/>
              <w:spacing w:after="0"/>
              <w:rPr>
                <w:sz w:val="20"/>
                <w:szCs w:val="20"/>
                <w:color w:val="auto"/>
              </w:rPr>
            </w:pPr>
            <w:r>
              <w:rPr>
                <w:rFonts w:ascii="Arial" w:cs="Arial" w:eastAsia="Arial" w:hAnsi="Arial"/>
                <w:sz w:val="18"/>
                <w:szCs w:val="18"/>
                <w:b w:val="1"/>
                <w:bCs w:val="1"/>
                <w:color w:val="auto"/>
                <w:w w:val="94"/>
              </w:rPr>
              <w:t>December 31, 2019</w:t>
            </w:r>
          </w:p>
        </w:tc>
        <w:tc>
          <w:tcPr>
            <w:tcW w:w="0" w:type="dxa"/>
            <w:vAlign w:val="bottom"/>
          </w:tcPr>
          <w:p>
            <w:pPr>
              <w:spacing w:after="0"/>
              <w:rPr>
                <w:sz w:val="1"/>
                <w:szCs w:val="1"/>
                <w:color w:val="auto"/>
              </w:rPr>
            </w:pPr>
          </w:p>
        </w:tc>
      </w:tr>
      <w:tr>
        <w:trPr>
          <w:trHeight w:val="28"/>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38"/>
        </w:trPr>
        <w:tc>
          <w:tcPr>
            <w:tcW w:w="664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20"/>
                <w:szCs w:val="20"/>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614.4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607.7</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and other receivables, net</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8"/>
        </w:trPr>
        <w:tc>
          <w:tcPr>
            <w:tcW w:w="66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20"/>
                <w:szCs w:val="20"/>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8"/>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1,195.2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1,243.2</w:t>
            </w:r>
          </w:p>
        </w:tc>
        <w:tc>
          <w:tcPr>
            <w:tcW w:w="0" w:type="dxa"/>
            <w:vAlign w:val="bottom"/>
          </w:tcPr>
          <w:p>
            <w:pPr>
              <w:spacing w:after="0"/>
              <w:rPr>
                <w:sz w:val="1"/>
                <w:szCs w:val="1"/>
                <w:color w:val="auto"/>
              </w:rPr>
            </w:pPr>
          </w:p>
        </w:tc>
      </w:tr>
      <w:tr>
        <w:trPr>
          <w:trHeight w:val="238"/>
        </w:trPr>
        <w:tc>
          <w:tcPr>
            <w:tcW w:w="66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0"/>
                <w:szCs w:val="20"/>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473.2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657.9</w:t>
            </w:r>
          </w:p>
        </w:tc>
        <w:tc>
          <w:tcPr>
            <w:tcW w:w="0" w:type="dxa"/>
            <w:vAlign w:val="bottom"/>
          </w:tcPr>
          <w:p>
            <w:pPr>
              <w:spacing w:after="0"/>
              <w:rPr>
                <w:sz w:val="1"/>
                <w:szCs w:val="1"/>
                <w:color w:val="auto"/>
              </w:rPr>
            </w:pPr>
          </w:p>
        </w:tc>
      </w:tr>
      <w:tr>
        <w:trPr>
          <w:trHeight w:val="238"/>
        </w:trPr>
        <w:tc>
          <w:tcPr>
            <w:tcW w:w="66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0"/>
                <w:szCs w:val="20"/>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38"/>
        </w:trPr>
        <w:tc>
          <w:tcPr>
            <w:tcW w:w="66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0"/>
                <w:szCs w:val="20"/>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8"/>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2,699.2</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6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6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and 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38"/>
        </w:trPr>
        <w:tc>
          <w:tcPr>
            <w:tcW w:w="6640" w:type="dxa"/>
            <w:vAlign w:val="bottom"/>
          </w:tcPr>
          <w:p>
            <w:pPr>
              <w:ind w:left="280"/>
              <w:spacing w:after="0"/>
              <w:rPr>
                <w:sz w:val="20"/>
                <w:szCs w:val="20"/>
                <w:color w:val="auto"/>
              </w:rPr>
            </w:pPr>
            <w:r>
              <w:rPr>
                <w:rFonts w:ascii="Arial" w:cs="Arial" w:eastAsia="Arial" w:hAnsi="Arial"/>
                <w:sz w:val="18"/>
                <w:szCs w:val="18"/>
                <w:color w:val="auto"/>
              </w:rPr>
              <w:t>Accrued compensation and benefits</w:t>
            </w:r>
          </w:p>
        </w:tc>
        <w:tc>
          <w:tcPr>
            <w:tcW w:w="340" w:type="dxa"/>
            <w:vAlign w:val="bottom"/>
          </w:tcPr>
          <w:p>
            <w:pPr>
              <w:spacing w:after="0"/>
              <w:rPr>
                <w:sz w:val="20"/>
                <w:szCs w:val="20"/>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38"/>
        </w:trPr>
        <w:tc>
          <w:tcPr>
            <w:tcW w:w="6640" w:type="dxa"/>
            <w:vAlign w:val="bottom"/>
          </w:tcPr>
          <w:p>
            <w:pPr>
              <w:ind w:left="280"/>
              <w:spacing w:after="0"/>
              <w:rPr>
                <w:sz w:val="20"/>
                <w:szCs w:val="20"/>
                <w:color w:val="auto"/>
              </w:rPr>
            </w:pPr>
            <w:r>
              <w:rPr>
                <w:rFonts w:ascii="Arial" w:cs="Arial" w:eastAsia="Arial" w:hAnsi="Arial"/>
                <w:sz w:val="18"/>
                <w:szCs w:val="18"/>
                <w:color w:val="auto"/>
              </w:rPr>
              <w:t>Finance lease obligation</w:t>
            </w:r>
          </w:p>
        </w:tc>
        <w:tc>
          <w:tcPr>
            <w:tcW w:w="340" w:type="dxa"/>
            <w:vAlign w:val="bottom"/>
          </w:tcPr>
          <w:p>
            <w:pPr>
              <w:spacing w:after="0"/>
              <w:rPr>
                <w:sz w:val="20"/>
                <w:szCs w:val="20"/>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554.2</w:t>
            </w:r>
          </w:p>
        </w:tc>
        <w:tc>
          <w:tcPr>
            <w:tcW w:w="0" w:type="dxa"/>
            <w:vAlign w:val="bottom"/>
          </w:tcPr>
          <w:p>
            <w:pPr>
              <w:spacing w:after="0"/>
              <w:rPr>
                <w:sz w:val="1"/>
                <w:szCs w:val="1"/>
                <w:color w:val="auto"/>
              </w:rPr>
            </w:pPr>
          </w:p>
        </w:tc>
      </w:tr>
      <w:tr>
        <w:trPr>
          <w:trHeight w:val="231"/>
        </w:trPr>
        <w:tc>
          <w:tcPr>
            <w:tcW w:w="66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970.8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1,014.8</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liability, non-current</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711.9</w:t>
            </w:r>
          </w:p>
        </w:tc>
        <w:tc>
          <w:tcPr>
            <w:tcW w:w="0" w:type="dxa"/>
            <w:vAlign w:val="bottom"/>
          </w:tcPr>
          <w:p>
            <w:pPr>
              <w:spacing w:after="0"/>
              <w:rPr>
                <w:sz w:val="1"/>
                <w:szCs w:val="1"/>
                <w:color w:val="auto"/>
              </w:rPr>
            </w:pPr>
          </w:p>
        </w:tc>
      </w:tr>
      <w:tr>
        <w:trPr>
          <w:trHeight w:val="238"/>
        </w:trPr>
        <w:tc>
          <w:tcPr>
            <w:tcW w:w="6640" w:type="dxa"/>
            <w:vAlign w:val="bottom"/>
          </w:tcPr>
          <w:p>
            <w:pPr>
              <w:ind w:left="40"/>
              <w:spacing w:after="0"/>
              <w:rPr>
                <w:sz w:val="20"/>
                <w:szCs w:val="20"/>
                <w:color w:val="auto"/>
              </w:rPr>
            </w:pPr>
            <w:r>
              <w:rPr>
                <w:rFonts w:ascii="Arial" w:cs="Arial" w:eastAsia="Arial" w:hAnsi="Arial"/>
                <w:sz w:val="18"/>
                <w:szCs w:val="18"/>
                <w:color w:val="auto"/>
              </w:rPr>
              <w:t>Finance lease obligation, non-current</w:t>
            </w:r>
          </w:p>
        </w:tc>
        <w:tc>
          <w:tcPr>
            <w:tcW w:w="340" w:type="dxa"/>
            <w:vAlign w:val="bottom"/>
          </w:tcPr>
          <w:p>
            <w:pPr>
              <w:spacing w:after="0"/>
              <w:rPr>
                <w:sz w:val="20"/>
                <w:szCs w:val="20"/>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1"/>
        </w:trPr>
        <w:tc>
          <w:tcPr>
            <w:tcW w:w="66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1,916.9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1,890.8</w:t>
            </w:r>
          </w:p>
        </w:tc>
        <w:tc>
          <w:tcPr>
            <w:tcW w:w="0" w:type="dxa"/>
            <w:vAlign w:val="bottom"/>
          </w:tcPr>
          <w:p>
            <w:pPr>
              <w:spacing w:after="0"/>
              <w:rPr>
                <w:sz w:val="1"/>
                <w:szCs w:val="1"/>
                <w:color w:val="auto"/>
              </w:rPr>
            </w:pPr>
          </w:p>
        </w:tc>
      </w:tr>
      <w:tr>
        <w:trPr>
          <w:trHeight w:val="28"/>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40" w:type="dxa"/>
            <w:vAlign w:val="bottom"/>
          </w:tcPr>
          <w:p>
            <w:pPr>
              <w:ind w:left="280"/>
              <w:spacing w:after="0"/>
              <w:rPr>
                <w:sz w:val="20"/>
                <w:szCs w:val="20"/>
                <w:color w:val="auto"/>
              </w:rPr>
            </w:pPr>
            <w:r>
              <w:rPr>
                <w:rFonts w:ascii="Arial" w:cs="Arial" w:eastAsia="Arial" w:hAnsi="Arial"/>
                <w:sz w:val="18"/>
                <w:szCs w:val="18"/>
                <w:color w:val="auto"/>
              </w:rPr>
              <w:t>Additional paid-in-capital</w:t>
            </w:r>
          </w:p>
        </w:tc>
        <w:tc>
          <w:tcPr>
            <w:tcW w:w="340" w:type="dxa"/>
            <w:vAlign w:val="bottom"/>
          </w:tcPr>
          <w:p>
            <w:pPr>
              <w:spacing w:after="0"/>
              <w:rPr>
                <w:sz w:val="20"/>
                <w:szCs w:val="20"/>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2,528.5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2,531.3</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(1,726.2)</w:t>
            </w:r>
          </w:p>
        </w:tc>
        <w:tc>
          <w:tcPr>
            <w:tcW w:w="0" w:type="dxa"/>
            <w:vAlign w:val="bottom"/>
          </w:tcPr>
          <w:p>
            <w:pPr>
              <w:spacing w:after="0"/>
              <w:rPr>
                <w:sz w:val="1"/>
                <w:szCs w:val="1"/>
                <w:color w:val="auto"/>
              </w:rPr>
            </w:pPr>
          </w:p>
        </w:tc>
      </w:tr>
      <w:tr>
        <w:trPr>
          <w:trHeight w:val="238"/>
        </w:trPr>
        <w:tc>
          <w:tcPr>
            <w:tcW w:w="6640" w:type="dxa"/>
            <w:vAlign w:val="bottom"/>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8"/>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808.4</w:t>
            </w:r>
          </w:p>
        </w:tc>
        <w:tc>
          <w:tcPr>
            <w:tcW w:w="0" w:type="dxa"/>
            <w:vAlign w:val="bottom"/>
          </w:tcPr>
          <w:p>
            <w:pPr>
              <w:spacing w:after="0"/>
              <w:rPr>
                <w:sz w:val="1"/>
                <w:szCs w:val="1"/>
                <w:color w:val="auto"/>
              </w:rPr>
            </w:pPr>
          </w:p>
        </w:tc>
      </w:tr>
      <w:tr>
        <w:trPr>
          <w:trHeight w:val="231"/>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2,717.3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2,699.2</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550"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Condensed Consolidated Statements of Cash Flows</w:t>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i w:val="1"/>
          <w:iCs w:val="1"/>
          <w:color w:val="auto"/>
        </w:rPr>
        <w:t>(In millions)</w:t>
      </w:r>
    </w:p>
    <w:p>
      <w:pPr>
        <w:spacing w:after="0" w:line="3" w:lineRule="exact"/>
        <w:rPr>
          <w:sz w:val="20"/>
          <w:szCs w:val="20"/>
          <w:color w:val="auto"/>
        </w:rPr>
      </w:pPr>
    </w:p>
    <w:p>
      <w:pPr>
        <w:ind w:left="4080"/>
        <w:spacing w:after="0"/>
        <w:rPr>
          <w:sz w:val="20"/>
          <w:szCs w:val="20"/>
          <w:color w:val="auto"/>
        </w:rPr>
      </w:pPr>
      <w:r>
        <w:rPr>
          <w:rFonts w:ascii="Arial" w:cs="Arial" w:eastAsia="Arial" w:hAnsi="Arial"/>
          <w:sz w:val="18"/>
          <w:szCs w:val="18"/>
          <w:i w:val="1"/>
          <w:iCs w:val="1"/>
          <w:color w:val="auto"/>
        </w:rPr>
        <w:t>(Unaudited)</w:t>
      </w:r>
    </w:p>
    <w:p>
      <w:pPr>
        <w:spacing w:after="0" w:line="152" w:lineRule="exact"/>
        <w:rPr>
          <w:sz w:val="20"/>
          <w:szCs w:val="20"/>
          <w:color w:val="auto"/>
        </w:rPr>
      </w:pPr>
    </w:p>
    <w:p>
      <w:pPr>
        <w:jc w:val="center"/>
        <w:ind w:left="6360"/>
        <w:spacing w:after="0"/>
        <w:rPr>
          <w:sz w:val="20"/>
          <w:szCs w:val="20"/>
          <w:color w:val="auto"/>
        </w:rPr>
      </w:pPr>
      <w:r>
        <w:rPr>
          <w:rFonts w:ascii="Arial" w:cs="Arial" w:eastAsia="Arial" w:hAnsi="Arial"/>
          <w:sz w:val="16"/>
          <w:szCs w:val="16"/>
          <w:b w:val="1"/>
          <w:bCs w:val="1"/>
          <w:color w:val="auto"/>
        </w:rPr>
        <w:t>Three Months Ended</w:t>
      </w:r>
    </w:p>
    <w:p>
      <w:pPr>
        <w:spacing w:after="0" w:line="24" w:lineRule="exact"/>
        <w:rPr>
          <w:sz w:val="20"/>
          <w:szCs w:val="20"/>
          <w:color w:val="auto"/>
        </w:rPr>
      </w:pPr>
    </w:p>
    <w:p>
      <w:pPr>
        <w:jc w:val="center"/>
        <w:ind w:left="63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4116705</wp:posOffset>
            </wp:positionH>
            <wp:positionV relativeFrom="paragraph">
              <wp:posOffset>29845</wp:posOffset>
            </wp:positionV>
            <wp:extent cx="15182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66" w:lineRule="exact"/>
        <w:rPr>
          <w:sz w:val="20"/>
          <w:szCs w:val="20"/>
          <w:color w:val="auto"/>
        </w:rPr>
      </w:pPr>
    </w:p>
    <w:tbl>
      <w:tblPr>
        <w:tblLayout w:type="fixed"/>
        <w:tblInd w:w="140" w:type="dxa"/>
        <w:tblCellMar>
          <w:top w:w="0" w:type="dxa"/>
          <w:left w:w="0" w:type="dxa"/>
          <w:bottom w:w="0" w:type="dxa"/>
          <w:right w:w="0" w:type="dxa"/>
        </w:tblCellMar>
      </w:tblPr>
      <w:tr>
        <w:trPr>
          <w:trHeight w:val="208"/>
        </w:trPr>
        <w:tc>
          <w:tcPr>
            <w:tcW w:w="6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40"/>
              <w:spacing w:after="0"/>
              <w:rPr>
                <w:sz w:val="20"/>
                <w:szCs w:val="20"/>
                <w:color w:val="auto"/>
              </w:rPr>
            </w:pPr>
            <w:r>
              <w:rPr>
                <w:rFonts w:ascii="Arial" w:cs="Arial" w:eastAsia="Arial" w:hAnsi="Arial"/>
                <w:sz w:val="16"/>
                <w:szCs w:val="16"/>
                <w:b w:val="1"/>
                <w:bCs w:val="1"/>
                <w:color w:val="auto"/>
              </w:rPr>
              <w:t>2019</w:t>
            </w:r>
          </w:p>
        </w:tc>
      </w:tr>
      <w:tr>
        <w:trPr>
          <w:trHeight w:val="32"/>
        </w:trPr>
        <w:tc>
          <w:tcPr>
            <w:tcW w:w="6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 from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34"/>
        </w:trPr>
        <w:tc>
          <w:tcPr>
            <w:tcW w:w="63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20"/>
                <w:szCs w:val="20"/>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32"/>
        </w:trPr>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4"/>
        </w:trPr>
        <w:tc>
          <w:tcPr>
            <w:tcW w:w="634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45.8</w:t>
            </w:r>
          </w:p>
        </w:tc>
      </w:tr>
      <w:tr>
        <w:trPr>
          <w:trHeight w:val="32"/>
        </w:trPr>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6"/>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r>
      <w:tr>
        <w:trPr>
          <w:trHeight w:val="234"/>
        </w:trPr>
        <w:tc>
          <w:tcPr>
            <w:tcW w:w="6340" w:type="dxa"/>
            <w:vAlign w:val="bottom"/>
          </w:tcPr>
          <w:p>
            <w:pPr>
              <w:ind w:left="260"/>
              <w:spacing w:after="0"/>
              <w:rPr>
                <w:sz w:val="20"/>
                <w:szCs w:val="20"/>
                <w:color w:val="auto"/>
              </w:rPr>
            </w:pPr>
            <w:r>
              <w:rPr>
                <w:rFonts w:ascii="Arial" w:cs="Arial" w:eastAsia="Arial" w:hAnsi="Arial"/>
                <w:sz w:val="16"/>
                <w:szCs w:val="16"/>
                <w:color w:val="auto"/>
              </w:rPr>
              <w:t>Net gains on equity investments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2"/>
        </w:trPr>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6"/>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Amortization of deferred commissions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34"/>
        </w:trPr>
        <w:tc>
          <w:tcPr>
            <w:tcW w:w="6340" w:type="dxa"/>
            <w:vAlign w:val="bottom"/>
          </w:tcPr>
          <w:p>
            <w:pPr>
              <w:ind w:left="26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32"/>
        </w:trPr>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4"/>
        </w:trPr>
        <w:tc>
          <w:tcPr>
            <w:tcW w:w="6340" w:type="dxa"/>
            <w:vAlign w:val="bottom"/>
          </w:tcPr>
          <w:p>
            <w:pPr>
              <w:ind w:left="260"/>
              <w:spacing w:after="0"/>
              <w:rPr>
                <w:sz w:val="20"/>
                <w:szCs w:val="20"/>
                <w:color w:val="auto"/>
              </w:rPr>
            </w:pPr>
            <w:r>
              <w:rPr>
                <w:rFonts w:ascii="Arial" w:cs="Arial" w:eastAsia="Arial" w:hAnsi="Arial"/>
                <w:sz w:val="16"/>
                <w:szCs w:val="16"/>
                <w:color w:val="auto"/>
              </w:rPr>
              <w:t>Trade and other receivables, net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32"/>
        </w:trPr>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6"/>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234"/>
        </w:trPr>
        <w:tc>
          <w:tcPr>
            <w:tcW w:w="6340" w:type="dxa"/>
            <w:vAlign w:val="bottom"/>
          </w:tcPr>
          <w:p>
            <w:pPr>
              <w:ind w:left="26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32"/>
        </w:trPr>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6"/>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34"/>
        </w:trPr>
        <w:tc>
          <w:tcPr>
            <w:tcW w:w="6340" w:type="dxa"/>
            <w:vAlign w:val="bottom"/>
          </w:tcPr>
          <w:p>
            <w:pPr>
              <w:ind w:left="260"/>
              <w:spacing w:after="0"/>
              <w:rPr>
                <w:sz w:val="20"/>
                <w:szCs w:val="20"/>
                <w:color w:val="auto"/>
              </w:rPr>
            </w:pPr>
            <w:r>
              <w:rPr>
                <w:rFonts w:ascii="Arial" w:cs="Arial" w:eastAsia="Arial" w:hAnsi="Arial"/>
                <w:sz w:val="16"/>
                <w:szCs w:val="16"/>
                <w:color w:val="auto"/>
              </w:rPr>
              <w:t>Accrued and other current liabilities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32"/>
        </w:trPr>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6"/>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Accrued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w:t>
            </w:r>
          </w:p>
        </w:tc>
      </w:tr>
      <w:tr>
        <w:trPr>
          <w:trHeight w:val="234"/>
        </w:trPr>
        <w:tc>
          <w:tcPr>
            <w:tcW w:w="6340" w:type="dxa"/>
            <w:vAlign w:val="bottom"/>
          </w:tcPr>
          <w:p>
            <w:pPr>
              <w:ind w:left="26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32"/>
        </w:trPr>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6"/>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34"/>
        </w:trPr>
        <w:tc>
          <w:tcPr>
            <w:tcW w:w="6340" w:type="dxa"/>
            <w:vAlign w:val="bottom"/>
          </w:tcPr>
          <w:p>
            <w:pPr>
              <w:ind w:left="260"/>
              <w:spacing w:after="0"/>
              <w:rPr>
                <w:sz w:val="20"/>
                <w:szCs w:val="20"/>
                <w:color w:val="auto"/>
              </w:rPr>
            </w:pPr>
            <w:r>
              <w:rPr>
                <w:rFonts w:ascii="Arial" w:cs="Arial" w:eastAsia="Arial" w:hAnsi="Arial"/>
                <w:sz w:val="16"/>
                <w:szCs w:val="16"/>
                <w:color w:val="auto"/>
              </w:rPr>
              <w:t>Tenant improvement allowance reimbursement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32"/>
        </w:trPr>
        <w:tc>
          <w:tcPr>
            <w:tcW w:w="6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63.2</w:t>
            </w:r>
          </w:p>
        </w:tc>
      </w:tr>
      <w:tr>
        <w:trPr>
          <w:trHeight w:val="201"/>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Cash flow from investing activities</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45"/>
        </w:trPr>
        <w:tc>
          <w:tcPr>
            <w:tcW w:w="6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46"/>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w:t>
            </w:r>
          </w:p>
        </w:tc>
      </w:tr>
      <w:tr>
        <w:trPr>
          <w:trHeight w:val="234"/>
        </w:trPr>
        <w:tc>
          <w:tcPr>
            <w:tcW w:w="6340" w:type="dxa"/>
            <w:vAlign w:val="bottom"/>
          </w:tcPr>
          <w:p>
            <w:pPr>
              <w:ind w:left="260"/>
              <w:spacing w:after="0"/>
              <w:rPr>
                <w:sz w:val="20"/>
                <w:szCs w:val="20"/>
                <w:color w:val="auto"/>
              </w:rPr>
            </w:pPr>
            <w:r>
              <w:rPr>
                <w:rFonts w:ascii="Arial" w:cs="Arial" w:eastAsia="Arial" w:hAnsi="Arial"/>
                <w:sz w:val="16"/>
                <w:szCs w:val="16"/>
                <w:color w:val="auto"/>
              </w:rPr>
              <w:t>Business combinations, net of cash acquired</w:t>
            </w:r>
          </w:p>
        </w:tc>
        <w:tc>
          <w:tcPr>
            <w:tcW w:w="2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(172.1)</w:t>
            </w:r>
          </w:p>
        </w:tc>
      </w:tr>
      <w:tr>
        <w:trPr>
          <w:trHeight w:val="32"/>
        </w:trPr>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6"/>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Purchases of 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(153.0)</w:t>
            </w:r>
          </w:p>
        </w:tc>
      </w:tr>
      <w:tr>
        <w:trPr>
          <w:trHeight w:val="234"/>
        </w:trPr>
        <w:tc>
          <w:tcPr>
            <w:tcW w:w="6340" w:type="dxa"/>
            <w:vAlign w:val="bottom"/>
          </w:tcPr>
          <w:p>
            <w:pPr>
              <w:ind w:left="260"/>
              <w:spacing w:after="0"/>
              <w:rPr>
                <w:sz w:val="20"/>
                <w:szCs w:val="20"/>
                <w:color w:val="auto"/>
              </w:rPr>
            </w:pPr>
            <w:r>
              <w:rPr>
                <w:rFonts w:ascii="Arial" w:cs="Arial" w:eastAsia="Arial" w:hAnsi="Arial"/>
                <w:sz w:val="16"/>
                <w:szCs w:val="16"/>
                <w:color w:val="auto"/>
              </w:rPr>
              <w:t>Proceeds from sales of short-term investments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110.2</w:t>
            </w:r>
          </w:p>
        </w:tc>
      </w:tr>
      <w:tr>
        <w:trPr>
          <w:trHeight w:val="32"/>
        </w:trPr>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6"/>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Proceeds from maturities of 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w:t>
            </w:r>
          </w:p>
        </w:tc>
      </w:tr>
      <w:tr>
        <w:trPr>
          <w:trHeight w:val="234"/>
        </w:trPr>
        <w:tc>
          <w:tcPr>
            <w:tcW w:w="6340" w:type="dxa"/>
            <w:vAlign w:val="bottom"/>
          </w:tcPr>
          <w:p>
            <w:pPr>
              <w:ind w:left="26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32"/>
        </w:trPr>
        <w:tc>
          <w:tcPr>
            <w:tcW w:w="6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(173.3)</w:t>
            </w:r>
          </w:p>
        </w:tc>
      </w:tr>
      <w:tr>
        <w:trPr>
          <w:trHeight w:val="201"/>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Cash flow from financing activities</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45"/>
        </w:trPr>
        <w:tc>
          <w:tcPr>
            <w:tcW w:w="6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46"/>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Shares repurchased for tax withholdings on release of restricted stock</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34"/>
        </w:trPr>
        <w:tc>
          <w:tcPr>
            <w:tcW w:w="6340" w:type="dxa"/>
            <w:vAlign w:val="bottom"/>
          </w:tcPr>
          <w:p>
            <w:pPr>
              <w:ind w:left="260"/>
              <w:spacing w:after="0"/>
              <w:rPr>
                <w:sz w:val="20"/>
                <w:szCs w:val="20"/>
                <w:color w:val="auto"/>
              </w:rPr>
            </w:pPr>
            <w:r>
              <w:rPr>
                <w:rFonts w:ascii="Arial" w:cs="Arial" w:eastAsia="Arial" w:hAnsi="Arial"/>
                <w:sz w:val="16"/>
                <w:szCs w:val="16"/>
                <w:color w:val="auto"/>
              </w:rPr>
              <w:t>Proceeds from issuance of common stock, net of repurchases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32"/>
        </w:trPr>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6"/>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Principal payments on finance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34"/>
        </w:trPr>
        <w:tc>
          <w:tcPr>
            <w:tcW w:w="6340" w:type="dxa"/>
            <w:vAlign w:val="bottom"/>
          </w:tcPr>
          <w:p>
            <w:pPr>
              <w:ind w:left="260"/>
              <w:spacing w:after="0"/>
              <w:rPr>
                <w:sz w:val="20"/>
                <w:szCs w:val="20"/>
                <w:color w:val="auto"/>
              </w:rPr>
            </w:pPr>
            <w:r>
              <w:rPr>
                <w:rFonts w:ascii="Arial" w:cs="Arial" w:eastAsia="Arial" w:hAnsi="Arial"/>
                <w:sz w:val="16"/>
                <w:szCs w:val="16"/>
                <w:color w:val="auto"/>
              </w:rPr>
              <w:t>Common stock repurchases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2"/>
        </w:trPr>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6"/>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4"/>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(51.0)</w:t>
            </w:r>
          </w:p>
        </w:tc>
      </w:tr>
      <w:tr>
        <w:trPr>
          <w:trHeight w:val="32"/>
        </w:trPr>
        <w:tc>
          <w:tcPr>
            <w:tcW w:w="6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4"/>
        </w:trPr>
        <w:tc>
          <w:tcPr>
            <w:tcW w:w="6340" w:type="dxa"/>
            <w:vAlign w:val="bottom"/>
          </w:tcPr>
          <w:p>
            <w:pPr>
              <w:ind w:left="20"/>
              <w:spacing w:after="0"/>
              <w:rPr>
                <w:sz w:val="20"/>
                <w:szCs w:val="20"/>
                <w:color w:val="auto"/>
              </w:rPr>
            </w:pPr>
            <w:r>
              <w:rPr>
                <w:rFonts w:ascii="Arial" w:cs="Arial" w:eastAsia="Arial" w:hAnsi="Arial"/>
                <w:sz w:val="16"/>
                <w:szCs w:val="16"/>
                <w:color w:val="auto"/>
              </w:rPr>
              <w:t>Change in cash and cash equivalents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(160.1)</w:t>
            </w:r>
          </w:p>
        </w:tc>
      </w:tr>
      <w:tr>
        <w:trPr>
          <w:trHeight w:val="32"/>
        </w:trPr>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519.3</w:t>
            </w:r>
          </w:p>
        </w:tc>
      </w:tr>
      <w:tr>
        <w:trPr>
          <w:trHeight w:val="214"/>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 end of period</w:t>
            </w:r>
          </w:p>
        </w:tc>
        <w:tc>
          <w:tcPr>
            <w:tcW w:w="2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486.4</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359.2</w:t>
            </w:r>
          </w:p>
        </w:tc>
      </w:tr>
      <w:tr>
        <w:trPr>
          <w:trHeight w:val="72"/>
        </w:trPr>
        <w:tc>
          <w:tcPr>
            <w:tcW w:w="634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259"/>
        </w:trPr>
        <w:tc>
          <w:tcPr>
            <w:tcW w:w="6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21"/>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data:</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5"/>
        </w:trPr>
        <w:tc>
          <w:tcPr>
            <w:tcW w:w="63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51"/>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Property and equipment acquired under finance leases</w:t>
            </w: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550" w:right="1440"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Three Months Ended March 31, 2020</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Stock-based</w:t>
            </w:r>
          </w:p>
        </w:tc>
        <w:tc>
          <w:tcPr>
            <w:tcW w:w="1760" w:type="dxa"/>
            <w:vAlign w:val="bottom"/>
            <w:gridSpan w:val="3"/>
          </w:tcPr>
          <w:p>
            <w:pPr>
              <w:ind w:left="100"/>
              <w:spacing w:after="0"/>
              <w:rPr>
                <w:sz w:val="20"/>
                <w:szCs w:val="20"/>
                <w:color w:val="auto"/>
              </w:rPr>
            </w:pPr>
            <w:r>
              <w:rPr>
                <w:rFonts w:ascii="Arial" w:cs="Arial" w:eastAsia="Arial" w:hAnsi="Arial"/>
                <w:sz w:val="18"/>
                <w:szCs w:val="18"/>
                <w:b w:val="1"/>
                <w:bCs w:val="1"/>
                <w:color w:val="auto"/>
              </w:rPr>
              <w:t>Acquisition-related</w:t>
            </w:r>
          </w:p>
        </w:tc>
        <w:tc>
          <w:tcPr>
            <w:tcW w:w="2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Intangibles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GAAP</w:t>
            </w:r>
          </w:p>
        </w:tc>
        <w:tc>
          <w:tcPr>
            <w:tcW w:w="200" w:type="dxa"/>
            <w:vAlign w:val="bottom"/>
          </w:tcPr>
          <w:p>
            <w:pPr>
              <w:spacing w:after="0"/>
              <w:rPr>
                <w:sz w:val="19"/>
                <w:szCs w:val="19"/>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compensation</w:t>
            </w:r>
          </w:p>
        </w:tc>
        <w:tc>
          <w:tcPr>
            <w:tcW w:w="1760" w:type="dxa"/>
            <w:vAlign w:val="bottom"/>
            <w:gridSpan w:val="3"/>
          </w:tcPr>
          <w:p>
            <w:pPr>
              <w:ind w:left="100"/>
              <w:spacing w:after="0"/>
              <w:rPr>
                <w:sz w:val="20"/>
                <w:szCs w:val="20"/>
                <w:color w:val="auto"/>
              </w:rPr>
            </w:pPr>
            <w:r>
              <w:rPr>
                <w:rFonts w:ascii="Arial" w:cs="Arial" w:eastAsia="Arial" w:hAnsi="Arial"/>
                <w:sz w:val="18"/>
                <w:szCs w:val="18"/>
                <w:b w:val="1"/>
                <w:bCs w:val="1"/>
                <w:color w:val="auto"/>
                <w:w w:val="96"/>
              </w:rPr>
              <w:t>and other expenses</w:t>
            </w:r>
          </w:p>
        </w:tc>
        <w:tc>
          <w:tcPr>
            <w:tcW w:w="220" w:type="dxa"/>
            <w:vAlign w:val="bottom"/>
          </w:tcPr>
          <w:p>
            <w:pPr>
              <w:spacing w:after="0"/>
              <w:rPr>
                <w:sz w:val="19"/>
                <w:szCs w:val="19"/>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amortization</w:t>
            </w:r>
          </w:p>
        </w:tc>
        <w:tc>
          <w:tcPr>
            <w:tcW w:w="220" w:type="dxa"/>
            <w:vAlign w:val="bottom"/>
          </w:tcPr>
          <w:p>
            <w:pPr>
              <w:spacing w:after="0"/>
              <w:rPr>
                <w:sz w:val="19"/>
                <w:szCs w:val="19"/>
                <w:color w:val="auto"/>
              </w:rPr>
            </w:pPr>
          </w:p>
        </w:tc>
        <w:tc>
          <w:tcPr>
            <w:tcW w:w="1340" w:type="dxa"/>
            <w:vAlign w:val="bottom"/>
          </w:tcPr>
          <w:p>
            <w:pPr>
              <w:jc w:val="right"/>
              <w:ind w:right="251"/>
              <w:spacing w:after="0"/>
              <w:rPr>
                <w:sz w:val="20"/>
                <w:szCs w:val="20"/>
                <w:color w:val="auto"/>
              </w:rPr>
            </w:pPr>
            <w:r>
              <w:rPr>
                <w:rFonts w:ascii="Arial" w:cs="Arial" w:eastAsia="Arial" w:hAnsi="Arial"/>
                <w:sz w:val="18"/>
                <w:szCs w:val="18"/>
                <w:b w:val="1"/>
                <w:bCs w:val="1"/>
                <w:color w:val="auto"/>
              </w:rPr>
              <w:t>Non-GAAP</w:t>
            </w:r>
          </w:p>
        </w:tc>
      </w:tr>
      <w:tr>
        <w:trPr>
          <w:trHeight w:val="28"/>
        </w:trPr>
        <w:tc>
          <w:tcPr>
            <w:tcW w:w="2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9"/>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Cost of revenue</w:t>
            </w: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98.6</w:t>
            </w:r>
          </w:p>
        </w:tc>
      </w:tr>
      <w:tr>
        <w:trPr>
          <w:trHeight w:val="238"/>
        </w:trPr>
        <w:tc>
          <w:tcPr>
            <w:tcW w:w="268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8"/>
        </w:trPr>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6"/>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356.4</w:t>
            </w:r>
          </w:p>
        </w:tc>
      </w:tr>
      <w:tr>
        <w:trPr>
          <w:trHeight w:val="238"/>
        </w:trPr>
        <w:tc>
          <w:tcPr>
            <w:tcW w:w="268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28"/>
        </w:trPr>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6"/>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140.4</w:t>
            </w:r>
          </w:p>
        </w:tc>
      </w:tr>
      <w:tr>
        <w:trPr>
          <w:trHeight w:val="238"/>
        </w:trPr>
        <w:tc>
          <w:tcPr>
            <w:tcW w:w="2680" w:type="dxa"/>
            <w:vAlign w:val="bottom"/>
          </w:tcPr>
          <w:p>
            <w:pPr>
              <w:ind w:left="20"/>
              <w:spacing w:after="0"/>
              <w:rPr>
                <w:sz w:val="20"/>
                <w:szCs w:val="20"/>
                <w:color w:val="auto"/>
              </w:rPr>
            </w:pPr>
            <w:r>
              <w:rPr>
                <w:rFonts w:ascii="Arial" w:cs="Arial" w:eastAsia="Arial" w:hAnsi="Arial"/>
                <w:sz w:val="18"/>
                <w:szCs w:val="18"/>
                <w:i w:val="1"/>
                <w:iCs w:val="1"/>
                <w:color w:val="auto"/>
                <w:w w:val="94"/>
              </w:rPr>
              <w:t>Research and development margin</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ind w:left="10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8"/>
        </w:trPr>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6"/>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96.3</w:t>
            </w:r>
          </w:p>
        </w:tc>
      </w:tr>
      <w:tr>
        <w:trPr>
          <w:trHeight w:val="238"/>
        </w:trPr>
        <w:tc>
          <w:tcPr>
            <w:tcW w:w="2680" w:type="dxa"/>
            <w:vAlign w:val="bottom"/>
          </w:tcPr>
          <w:p>
            <w:pPr>
              <w:ind w:left="20"/>
              <w:spacing w:after="0"/>
              <w:rPr>
                <w:sz w:val="20"/>
                <w:szCs w:val="20"/>
                <w:color w:val="auto"/>
              </w:rPr>
            </w:pPr>
            <w:r>
              <w:rPr>
                <w:rFonts w:ascii="Arial" w:cs="Arial" w:eastAsia="Arial" w:hAnsi="Arial"/>
                <w:sz w:val="18"/>
                <w:szCs w:val="18"/>
                <w:i w:val="1"/>
                <w:iCs w:val="1"/>
                <w:color w:val="auto"/>
              </w:rPr>
              <w:t>Sales and marketing margin</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8"/>
        </w:trPr>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6"/>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46.6</w:t>
            </w:r>
          </w:p>
        </w:tc>
      </w:tr>
      <w:tr>
        <w:trPr>
          <w:trHeight w:val="238"/>
        </w:trPr>
        <w:tc>
          <w:tcPr>
            <w:tcW w:w="2680" w:type="dxa"/>
            <w:vAlign w:val="bottom"/>
          </w:tcPr>
          <w:p>
            <w:pPr>
              <w:ind w:left="20"/>
              <w:spacing w:after="0"/>
              <w:rPr>
                <w:sz w:val="20"/>
                <w:szCs w:val="20"/>
                <w:color w:val="auto"/>
              </w:rPr>
            </w:pPr>
            <w:r>
              <w:rPr>
                <w:rFonts w:ascii="Arial" w:cs="Arial" w:eastAsia="Arial" w:hAnsi="Arial"/>
                <w:sz w:val="18"/>
                <w:szCs w:val="18"/>
                <w:i w:val="1"/>
                <w:iCs w:val="1"/>
                <w:color w:val="auto"/>
                <w:w w:val="95"/>
              </w:rPr>
              <w:t>General and administrative margin</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540" w:type="dxa"/>
            <w:vAlign w:val="bottom"/>
            <w:gridSpan w:val="2"/>
          </w:tcPr>
          <w:p>
            <w:pPr>
              <w:ind w:left="10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8"/>
        </w:trPr>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6"/>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73.1</w:t>
            </w:r>
          </w:p>
        </w:tc>
      </w:tr>
      <w:tr>
        <w:trPr>
          <w:trHeight w:val="238"/>
        </w:trPr>
        <w:tc>
          <w:tcPr>
            <w:tcW w:w="268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16.1%</w:t>
            </w:r>
          </w:p>
        </w:tc>
      </w:tr>
    </w:tbl>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Three Months Ended March 31, 2019</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Stock-based</w:t>
            </w:r>
          </w:p>
        </w:tc>
        <w:tc>
          <w:tcPr>
            <w:tcW w:w="1760" w:type="dxa"/>
            <w:vAlign w:val="bottom"/>
            <w:gridSpan w:val="3"/>
          </w:tcPr>
          <w:p>
            <w:pPr>
              <w:ind w:left="100"/>
              <w:spacing w:after="0"/>
              <w:rPr>
                <w:sz w:val="20"/>
                <w:szCs w:val="20"/>
                <w:color w:val="auto"/>
              </w:rPr>
            </w:pPr>
            <w:r>
              <w:rPr>
                <w:rFonts w:ascii="Arial" w:cs="Arial" w:eastAsia="Arial" w:hAnsi="Arial"/>
                <w:sz w:val="18"/>
                <w:szCs w:val="18"/>
                <w:b w:val="1"/>
                <w:bCs w:val="1"/>
                <w:color w:val="auto"/>
              </w:rPr>
              <w:t>Acquisition-related</w:t>
            </w:r>
          </w:p>
        </w:tc>
        <w:tc>
          <w:tcPr>
            <w:tcW w:w="2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Intangibles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2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GAAP</w:t>
            </w:r>
          </w:p>
        </w:tc>
        <w:tc>
          <w:tcPr>
            <w:tcW w:w="22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compensation</w:t>
            </w:r>
          </w:p>
        </w:tc>
        <w:tc>
          <w:tcPr>
            <w:tcW w:w="1760" w:type="dxa"/>
            <w:vAlign w:val="bottom"/>
            <w:gridSpan w:val="3"/>
          </w:tcPr>
          <w:p>
            <w:pPr>
              <w:ind w:left="120"/>
              <w:spacing w:after="0"/>
              <w:rPr>
                <w:sz w:val="20"/>
                <w:szCs w:val="20"/>
                <w:color w:val="auto"/>
              </w:rPr>
            </w:pPr>
            <w:r>
              <w:rPr>
                <w:rFonts w:ascii="Arial" w:cs="Arial" w:eastAsia="Arial" w:hAnsi="Arial"/>
                <w:sz w:val="18"/>
                <w:szCs w:val="18"/>
                <w:b w:val="1"/>
                <w:bCs w:val="1"/>
                <w:color w:val="auto"/>
                <w:w w:val="95"/>
              </w:rPr>
              <w:t>and other expenses</w:t>
            </w:r>
          </w:p>
        </w:tc>
        <w:tc>
          <w:tcPr>
            <w:tcW w:w="220" w:type="dxa"/>
            <w:vAlign w:val="bottom"/>
          </w:tcPr>
          <w:p>
            <w:pPr>
              <w:spacing w:after="0"/>
              <w:rPr>
                <w:sz w:val="19"/>
                <w:szCs w:val="19"/>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amortization</w:t>
            </w:r>
          </w:p>
        </w:tc>
        <w:tc>
          <w:tcPr>
            <w:tcW w:w="220" w:type="dxa"/>
            <w:vAlign w:val="bottom"/>
          </w:tcPr>
          <w:p>
            <w:pPr>
              <w:spacing w:after="0"/>
              <w:rPr>
                <w:sz w:val="19"/>
                <w:szCs w:val="19"/>
                <w:color w:val="auto"/>
              </w:rPr>
            </w:pPr>
          </w:p>
        </w:tc>
        <w:tc>
          <w:tcPr>
            <w:tcW w:w="1320" w:type="dxa"/>
            <w:vAlign w:val="bottom"/>
          </w:tcPr>
          <w:p>
            <w:pPr>
              <w:jc w:val="right"/>
              <w:ind w:right="251"/>
              <w:spacing w:after="0"/>
              <w:rPr>
                <w:sz w:val="20"/>
                <w:szCs w:val="20"/>
                <w:color w:val="auto"/>
              </w:rPr>
            </w:pPr>
            <w:r>
              <w:rPr>
                <w:rFonts w:ascii="Arial" w:cs="Arial" w:eastAsia="Arial" w:hAnsi="Arial"/>
                <w:sz w:val="18"/>
                <w:szCs w:val="18"/>
                <w:b w:val="1"/>
                <w:bCs w:val="1"/>
                <w:color w:val="auto"/>
              </w:rPr>
              <w:t>Non-GAAP</w:t>
            </w:r>
          </w:p>
        </w:tc>
      </w:tr>
      <w:tr>
        <w:trPr>
          <w:trHeight w:val="28"/>
        </w:trPr>
        <w:tc>
          <w:tcPr>
            <w:tcW w:w="2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9"/>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Cost of revenue</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94.8</w:t>
            </w:r>
          </w:p>
        </w:tc>
      </w:tr>
      <w:tr>
        <w:trPr>
          <w:trHeight w:val="238"/>
        </w:trPr>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25.5 %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8"/>
        </w:trPr>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6"/>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287.2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290.8</w:t>
            </w:r>
          </w:p>
        </w:tc>
      </w:tr>
      <w:tr>
        <w:trPr>
          <w:trHeight w:val="238"/>
        </w:trPr>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74.5 %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75.4%</w:t>
            </w:r>
          </w:p>
        </w:tc>
      </w:tr>
      <w:tr>
        <w:trPr>
          <w:trHeight w:val="28"/>
        </w:trPr>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6"/>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117.2</w:t>
            </w:r>
          </w:p>
        </w:tc>
      </w:tr>
      <w:tr>
        <w:trPr>
          <w:trHeight w:val="238"/>
        </w:trPr>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3"/>
              </w:rPr>
              <w:t>Research and development margin</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38.9 %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ind w:left="10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8"/>
        </w:trPr>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6"/>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93.6</w:t>
            </w:r>
          </w:p>
        </w:tc>
      </w:tr>
      <w:tr>
        <w:trPr>
          <w:trHeight w:val="238"/>
        </w:trPr>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Sales and marketing margin</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26.3 %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8"/>
        </w:trPr>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6"/>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41.0</w:t>
            </w:r>
          </w:p>
        </w:tc>
      </w:tr>
      <w:tr>
        <w:trPr>
          <w:trHeight w:val="238"/>
        </w:trPr>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5"/>
              </w:rPr>
              <w:t>General and administrative margin</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ind w:left="10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8"/>
        </w:trPr>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6"/>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39.0</w:t>
            </w:r>
          </w:p>
        </w:tc>
      </w:tr>
      <w:tr>
        <w:trPr>
          <w:trHeight w:val="238"/>
        </w:trPr>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14.4 %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w:t>
            </w:r>
          </w:p>
        </w:tc>
      </w:tr>
    </w:tbl>
    <w:p>
      <w:pPr>
        <w:sectPr>
          <w:pgSz w:w="11900" w:h="16838" w:orient="portrait"/>
          <w:cols w:equalWidth="0" w:num="1">
            <w:col w:w="11180"/>
          </w:cols>
          <w:pgMar w:left="360" w:top="542" w:right="359" w:bottom="1440" w:gutter="0" w:footer="0" w:header="0"/>
        </w:sectPr>
      </w:pPr>
    </w:p>
    <w:bookmarkStart w:id="10" w:name="page11"/>
    <w:bookmarkEnd w:id="10"/>
    <w:p>
      <w:pPr>
        <w:jc w:val="center"/>
        <w:ind w:right="-453"/>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453"/>
        <w:spacing w:after="0"/>
        <w:rPr>
          <w:sz w:val="20"/>
          <w:szCs w:val="20"/>
          <w:color w:val="auto"/>
        </w:rPr>
      </w:pPr>
      <w:r>
        <w:rPr>
          <w:rFonts w:ascii="Arial" w:cs="Arial" w:eastAsia="Arial" w:hAnsi="Arial"/>
          <w:sz w:val="19"/>
          <w:szCs w:val="19"/>
          <w:b w:val="1"/>
          <w:bCs w:val="1"/>
          <w:color w:val="auto"/>
        </w:rPr>
        <w:t>Three months ended March 31, 2020 and 2019</w:t>
      </w:r>
    </w:p>
    <w:p>
      <w:pPr>
        <w:spacing w:after="0" w:line="7" w:lineRule="exact"/>
        <w:rPr>
          <w:sz w:val="20"/>
          <w:szCs w:val="20"/>
          <w:color w:val="auto"/>
        </w:rPr>
      </w:pPr>
    </w:p>
    <w:p>
      <w:pPr>
        <w:jc w:val="center"/>
        <w:ind w:right="-453"/>
        <w:spacing w:after="0"/>
        <w:rPr>
          <w:sz w:val="20"/>
          <w:szCs w:val="20"/>
          <w:color w:val="auto"/>
        </w:rPr>
      </w:pPr>
      <w:r>
        <w:rPr>
          <w:rFonts w:ascii="Arial" w:cs="Arial" w:eastAsia="Arial" w:hAnsi="Arial"/>
          <w:sz w:val="19"/>
          <w:szCs w:val="19"/>
          <w:b w:val="1"/>
          <w:bCs w:val="1"/>
          <w:color w:val="auto"/>
        </w:rPr>
        <w:t>Reconciliation of GAAP net income (loss) to Non-GAAP net income and Non-GAAP diluted net income per share</w:t>
      </w:r>
    </w:p>
    <w:p>
      <w:pPr>
        <w:spacing w:after="0" w:line="10" w:lineRule="exact"/>
        <w:rPr>
          <w:sz w:val="20"/>
          <w:szCs w:val="20"/>
          <w:color w:val="auto"/>
        </w:rPr>
      </w:pPr>
    </w:p>
    <w:p>
      <w:pPr>
        <w:jc w:val="center"/>
        <w:ind w:right="-453"/>
        <w:spacing w:after="0"/>
        <w:rPr>
          <w:sz w:val="20"/>
          <w:szCs w:val="20"/>
          <w:color w:val="auto"/>
        </w:rPr>
      </w:pPr>
      <w:r>
        <w:rPr>
          <w:rFonts w:ascii="Arial" w:cs="Arial" w:eastAsia="Arial" w:hAnsi="Arial"/>
          <w:sz w:val="18"/>
          <w:szCs w:val="18"/>
          <w:i w:val="1"/>
          <w:iCs w:val="1"/>
          <w:color w:val="auto"/>
        </w:rPr>
        <w:t>(In millions, except per share data)</w:t>
      </w:r>
    </w:p>
    <w:p>
      <w:pPr>
        <w:spacing w:after="0" w:line="3" w:lineRule="exact"/>
        <w:rPr>
          <w:sz w:val="20"/>
          <w:szCs w:val="20"/>
          <w:color w:val="auto"/>
        </w:rPr>
      </w:pPr>
    </w:p>
    <w:p>
      <w:pPr>
        <w:jc w:val="center"/>
        <w:ind w:right="-453"/>
        <w:spacing w:after="0"/>
        <w:rPr>
          <w:sz w:val="20"/>
          <w:szCs w:val="20"/>
          <w:color w:val="auto"/>
        </w:rPr>
      </w:pPr>
      <w:r>
        <w:rPr>
          <w:rFonts w:ascii="Arial" w:cs="Arial" w:eastAsia="Arial" w:hAnsi="Arial"/>
          <w:sz w:val="18"/>
          <w:szCs w:val="18"/>
          <w:i w:val="1"/>
          <w:iCs w:val="1"/>
          <w:color w:val="auto"/>
        </w:rPr>
        <w:t>(Unaudited)</w:t>
      </w:r>
    </w:p>
    <w:p>
      <w:pPr>
        <w:spacing w:after="0" w:line="360" w:lineRule="exact"/>
        <w:rPr>
          <w:sz w:val="20"/>
          <w:szCs w:val="20"/>
          <w:color w:val="auto"/>
        </w:rPr>
      </w:pPr>
    </w:p>
    <w:p>
      <w:pPr>
        <w:jc w:val="center"/>
        <w:ind w:left="4620"/>
        <w:spacing w:after="0"/>
        <w:rPr>
          <w:sz w:val="20"/>
          <w:szCs w:val="20"/>
          <w:color w:val="auto"/>
        </w:rPr>
      </w:pPr>
      <w:r>
        <w:rPr>
          <w:rFonts w:ascii="Arial" w:cs="Arial" w:eastAsia="Arial" w:hAnsi="Arial"/>
          <w:sz w:val="18"/>
          <w:szCs w:val="18"/>
          <w:b w:val="1"/>
          <w:bCs w:val="1"/>
          <w:color w:val="auto"/>
        </w:rPr>
        <w:t>Three Months Ended</w:t>
      </w:r>
    </w:p>
    <w:p>
      <w:pPr>
        <w:spacing w:after="0" w:line="23" w:lineRule="exact"/>
        <w:rPr>
          <w:sz w:val="20"/>
          <w:szCs w:val="20"/>
          <w:color w:val="auto"/>
        </w:rPr>
      </w:pPr>
    </w:p>
    <w:p>
      <w:pPr>
        <w:jc w:val="center"/>
        <w:ind w:left="46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3963670</wp:posOffset>
            </wp:positionH>
            <wp:positionV relativeFrom="paragraph">
              <wp:posOffset>20955</wp:posOffset>
            </wp:positionV>
            <wp:extent cx="21253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25345" cy="8255"/>
                    </a:xfrm>
                    <a:prstGeom prst="rect">
                      <a:avLst/>
                    </a:prstGeom>
                    <a:noFill/>
                  </pic:spPr>
                </pic:pic>
              </a:graphicData>
            </a:graphic>
          </wp:anchor>
        </w:drawing>
      </w:r>
    </w:p>
    <w:p>
      <w:pPr>
        <w:spacing w:after="0" w:line="35" w:lineRule="exact"/>
        <w:rPr>
          <w:sz w:val="20"/>
          <w:szCs w:val="20"/>
          <w:color w:val="auto"/>
        </w:rPr>
      </w:pPr>
    </w:p>
    <w:tbl>
      <w:tblPr>
        <w:tblLayout w:type="fixed"/>
        <w:tblInd w:w="1654"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51"/>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8"/>
        </w:trPr>
        <w:tc>
          <w:tcPr>
            <w:tcW w:w="45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net income (loss)</w:t>
            </w:r>
          </w:p>
        </w:tc>
        <w:tc>
          <w:tcPr>
            <w:tcW w:w="1060" w:type="dxa"/>
            <w:vAlign w:val="bottom"/>
            <w:tcBorders>
              <w:bottom w:val="single" w:sz="8" w:color="CCEEFF"/>
            </w:tcBorders>
            <w:shd w:val="clear" w:color="auto" w:fill="CCEEFF"/>
          </w:tcPr>
          <w:p>
            <w:pPr>
              <w:jc w:val="right"/>
              <w:ind w:right="85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8"/>
        </w:trPr>
        <w:tc>
          <w:tcPr>
            <w:tcW w:w="45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8"/>
        </w:trPr>
        <w:tc>
          <w:tcPr>
            <w:tcW w:w="4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Acquisition-related and other expenses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8"/>
        </w:trPr>
        <w:tc>
          <w:tcPr>
            <w:tcW w:w="4580" w:type="dxa"/>
            <w:vAlign w:val="bottom"/>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8"/>
        </w:trPr>
        <w:tc>
          <w:tcPr>
            <w:tcW w:w="4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gains on equity investments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4580" w:type="dxa"/>
            <w:vAlign w:val="bottom"/>
          </w:tcPr>
          <w:p>
            <w:pPr>
              <w:ind w:left="20"/>
              <w:spacing w:after="0"/>
              <w:rPr>
                <w:sz w:val="20"/>
                <w:szCs w:val="20"/>
                <w:color w:val="auto"/>
              </w:rPr>
            </w:pPr>
            <w:r>
              <w:rPr>
                <w:rFonts w:ascii="Arial" w:cs="Arial" w:eastAsia="Arial" w:hAnsi="Arial"/>
                <w:sz w:val="18"/>
                <w:szCs w:val="18"/>
                <w:color w:val="auto"/>
              </w:rPr>
              <w:t>Income tax effects of non-GAAP adjustments</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8"/>
        </w:trPr>
        <w:tc>
          <w:tcPr>
            <w:tcW w:w="45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1060" w:type="dxa"/>
            <w:vAlign w:val="bottom"/>
            <w:tcBorders>
              <w:bottom w:val="single" w:sz="8" w:color="auto"/>
            </w:tcBorders>
            <w:shd w:val="clear" w:color="auto" w:fill="CCEEFF"/>
          </w:tcPr>
          <w:p>
            <w:pPr>
              <w:jc w:val="right"/>
              <w:ind w:right="85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Non-GAAP diluted net income per share</w:t>
            </w:r>
          </w:p>
        </w:tc>
        <w:tc>
          <w:tcPr>
            <w:tcW w:w="1060" w:type="dxa"/>
            <w:vAlign w:val="bottom"/>
            <w:tcBorders>
              <w:bottom w:val="single" w:sz="8" w:color="auto"/>
            </w:tcBorders>
          </w:tcPr>
          <w:p>
            <w:pPr>
              <w:jc w:val="right"/>
              <w:ind w:right="85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87"/>
        </w:trPr>
        <w:tc>
          <w:tcPr>
            <w:tcW w:w="458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w w:val="91"/>
              </w:rPr>
              <w:t>Weighted-average shares used to compute Non-GAAP diluted</w:t>
            </w:r>
          </w:p>
        </w:tc>
        <w:tc>
          <w:tcPr>
            <w:tcW w:w="106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417.7</w:t>
            </w:r>
          </w:p>
        </w:tc>
        <w:tc>
          <w:tcPr>
            <w:tcW w:w="0" w:type="dxa"/>
            <w:vAlign w:val="bottom"/>
          </w:tcPr>
          <w:p>
            <w:pPr>
              <w:spacing w:after="0"/>
              <w:rPr>
                <w:sz w:val="1"/>
                <w:szCs w:val="1"/>
                <w:color w:val="auto"/>
              </w:rPr>
            </w:pPr>
          </w:p>
        </w:tc>
      </w:tr>
      <w:tr>
        <w:trPr>
          <w:trHeight w:val="231"/>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10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center"/>
        <w:ind w:right="-453"/>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453"/>
        <w:spacing w:after="0"/>
        <w:rPr>
          <w:sz w:val="20"/>
          <w:szCs w:val="20"/>
          <w:color w:val="auto"/>
        </w:rPr>
      </w:pPr>
      <w:r>
        <w:rPr>
          <w:rFonts w:ascii="Arial" w:cs="Arial" w:eastAsia="Arial" w:hAnsi="Arial"/>
          <w:sz w:val="19"/>
          <w:szCs w:val="19"/>
          <w:b w:val="1"/>
          <w:bCs w:val="1"/>
          <w:color w:val="auto"/>
        </w:rPr>
        <w:t>Three months ended March 31, 2020 and 2019</w:t>
      </w:r>
    </w:p>
    <w:p>
      <w:pPr>
        <w:spacing w:after="0" w:line="7" w:lineRule="exact"/>
        <w:rPr>
          <w:sz w:val="20"/>
          <w:szCs w:val="20"/>
          <w:color w:val="auto"/>
        </w:rPr>
      </w:pPr>
    </w:p>
    <w:p>
      <w:pPr>
        <w:jc w:val="center"/>
        <w:ind w:right="-453"/>
        <w:spacing w:after="0"/>
        <w:rPr>
          <w:sz w:val="20"/>
          <w:szCs w:val="20"/>
          <w:color w:val="auto"/>
        </w:rPr>
      </w:pPr>
      <w:r>
        <w:rPr>
          <w:rFonts w:ascii="Arial" w:cs="Arial" w:eastAsia="Arial" w:hAnsi="Arial"/>
          <w:sz w:val="19"/>
          <w:szCs w:val="19"/>
          <w:b w:val="1"/>
          <w:bCs w:val="1"/>
          <w:color w:val="auto"/>
        </w:rPr>
        <w:t>Reconciliation of free cash flow and supplemental cash flow disclosure</w:t>
      </w:r>
    </w:p>
    <w:p>
      <w:pPr>
        <w:spacing w:after="0" w:line="10" w:lineRule="exact"/>
        <w:rPr>
          <w:sz w:val="20"/>
          <w:szCs w:val="20"/>
          <w:color w:val="auto"/>
        </w:rPr>
      </w:pPr>
    </w:p>
    <w:p>
      <w:pPr>
        <w:jc w:val="center"/>
        <w:ind w:right="-453"/>
        <w:spacing w:after="0"/>
        <w:rPr>
          <w:sz w:val="20"/>
          <w:szCs w:val="20"/>
          <w:color w:val="auto"/>
        </w:rPr>
      </w:pPr>
      <w:r>
        <w:rPr>
          <w:rFonts w:ascii="Arial" w:cs="Arial" w:eastAsia="Arial" w:hAnsi="Arial"/>
          <w:sz w:val="18"/>
          <w:szCs w:val="18"/>
          <w:i w:val="1"/>
          <w:iCs w:val="1"/>
          <w:color w:val="auto"/>
        </w:rPr>
        <w:t>(In millions, except for percentages)</w:t>
      </w:r>
    </w:p>
    <w:p>
      <w:pPr>
        <w:spacing w:after="0" w:line="3" w:lineRule="exact"/>
        <w:rPr>
          <w:sz w:val="20"/>
          <w:szCs w:val="20"/>
          <w:color w:val="auto"/>
        </w:rPr>
      </w:pPr>
    </w:p>
    <w:p>
      <w:pPr>
        <w:jc w:val="center"/>
        <w:ind w:right="-453"/>
        <w:spacing w:after="0"/>
        <w:rPr>
          <w:sz w:val="20"/>
          <w:szCs w:val="20"/>
          <w:color w:val="auto"/>
        </w:rPr>
      </w:pPr>
      <w:r>
        <w:rPr>
          <w:rFonts w:ascii="Arial" w:cs="Arial" w:eastAsia="Arial" w:hAnsi="Arial"/>
          <w:sz w:val="18"/>
          <w:szCs w:val="18"/>
          <w:i w:val="1"/>
          <w:iCs w:val="1"/>
          <w:color w:val="auto"/>
        </w:rPr>
        <w:t>(Unaudited)</w:t>
      </w:r>
    </w:p>
    <w:p>
      <w:pPr>
        <w:spacing w:after="0" w:line="360" w:lineRule="exact"/>
        <w:rPr>
          <w:sz w:val="20"/>
          <w:szCs w:val="20"/>
          <w:color w:val="auto"/>
        </w:rPr>
      </w:pPr>
    </w:p>
    <w:p>
      <w:pPr>
        <w:jc w:val="center"/>
        <w:ind w:left="4520"/>
        <w:spacing w:after="0"/>
        <w:rPr>
          <w:sz w:val="20"/>
          <w:szCs w:val="20"/>
          <w:color w:val="auto"/>
        </w:rPr>
      </w:pPr>
      <w:r>
        <w:rPr>
          <w:rFonts w:ascii="Arial" w:cs="Arial" w:eastAsia="Arial" w:hAnsi="Arial"/>
          <w:sz w:val="18"/>
          <w:szCs w:val="18"/>
          <w:b w:val="1"/>
          <w:bCs w:val="1"/>
          <w:color w:val="auto"/>
        </w:rPr>
        <w:t>Three Months Ended</w:t>
      </w:r>
    </w:p>
    <w:p>
      <w:pPr>
        <w:spacing w:after="0" w:line="23" w:lineRule="exact"/>
        <w:rPr>
          <w:sz w:val="20"/>
          <w:szCs w:val="20"/>
          <w:color w:val="auto"/>
        </w:rPr>
      </w:pPr>
    </w:p>
    <w:p>
      <w:pPr>
        <w:jc w:val="center"/>
        <w:ind w:left="45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20955</wp:posOffset>
            </wp:positionV>
            <wp:extent cx="21926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92655" cy="8255"/>
                    </a:xfrm>
                    <a:prstGeom prst="rect">
                      <a:avLst/>
                    </a:prstGeom>
                    <a:noFill/>
                  </pic:spPr>
                </pic:pic>
              </a:graphicData>
            </a:graphic>
          </wp:anchor>
        </w:drawing>
      </w:r>
    </w:p>
    <w:p>
      <w:pPr>
        <w:spacing w:after="0" w:line="35" w:lineRule="exact"/>
        <w:rPr>
          <w:sz w:val="20"/>
          <w:szCs w:val="20"/>
          <w:color w:val="auto"/>
        </w:rPr>
      </w:pPr>
    </w:p>
    <w:tbl>
      <w:tblPr>
        <w:tblLayout w:type="fixed"/>
        <w:tblInd w:w="1654" w:type="dxa"/>
        <w:tblCellMar>
          <w:top w:w="0" w:type="dxa"/>
          <w:left w:w="0" w:type="dxa"/>
          <w:bottom w:w="0" w:type="dxa"/>
          <w:right w:w="0" w:type="dxa"/>
        </w:tblCellMar>
      </w:tblPr>
      <w:tr>
        <w:trPr>
          <w:trHeight w:val="230"/>
        </w:trPr>
        <w:tc>
          <w:tcPr>
            <w:tcW w:w="4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571"/>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8"/>
        </w:trPr>
        <w:tc>
          <w:tcPr>
            <w:tcW w:w="44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 reconciliation:</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Pr>
          <w:p>
            <w:pPr>
              <w:jc w:val="right"/>
              <w:ind w:right="851"/>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11"/>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0"/>
                <w:szCs w:val="20"/>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8"/>
        </w:trPr>
        <w:tc>
          <w:tcPr>
            <w:tcW w:w="4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8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1060" w:type="dxa"/>
            <w:vAlign w:val="bottom"/>
          </w:tcPr>
          <w:p>
            <w:pPr>
              <w:spacing w:after="0"/>
              <w:rPr>
                <w:sz w:val="20"/>
                <w:szCs w:val="20"/>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w w:val="97"/>
              </w:rPr>
              <w:t>(27.8)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8"/>
        </w:trPr>
        <w:tc>
          <w:tcPr>
            <w:tcW w:w="44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1060" w:type="dxa"/>
            <w:vAlign w:val="bottom"/>
            <w:tcBorders>
              <w:bottom w:val="single" w:sz="8" w:color="auto"/>
            </w:tcBorders>
            <w:shd w:val="clear" w:color="auto" w:fill="CCEEFF"/>
          </w:tcPr>
          <w:p>
            <w:pPr>
              <w:jc w:val="right"/>
              <w:ind w:right="85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Free cash flow margin</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8"/>
        </w:trPr>
        <w:tc>
          <w:tcPr>
            <w:tcW w:w="4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480" w:type="dxa"/>
            <w:vAlign w:val="bottom"/>
          </w:tcPr>
          <w:p>
            <w:pPr>
              <w:ind w:left="260"/>
              <w:spacing w:after="0"/>
              <w:rPr>
                <w:sz w:val="20"/>
                <w:szCs w:val="20"/>
                <w:color w:val="auto"/>
              </w:rPr>
            </w:pPr>
            <w:r>
              <w:rPr>
                <w:rFonts w:ascii="Arial" w:cs="Arial" w:eastAsia="Arial" w:hAnsi="Arial"/>
                <w:sz w:val="18"/>
                <w:szCs w:val="18"/>
                <w:color w:val="auto"/>
              </w:rPr>
              <w:t>Capital expenditures related to our new corporate</w:t>
            </w:r>
          </w:p>
        </w:tc>
        <w:tc>
          <w:tcPr>
            <w:tcW w:w="1060" w:type="dxa"/>
            <w:vAlign w:val="bottom"/>
            <w:vMerge w:val="restart"/>
          </w:tcPr>
          <w:p>
            <w:pPr>
              <w:jc w:val="right"/>
              <w:ind w:right="851"/>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ind w:right="11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380" w:type="dxa"/>
            <w:vAlign w:val="bottom"/>
            <w:vMerge w:val="restart"/>
          </w:tcPr>
          <w:p>
            <w:pPr>
              <w:jc w:val="right"/>
              <w:ind w:right="171"/>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ind w:right="1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80"/>
        </w:trPr>
        <w:tc>
          <w:tcPr>
            <w:tcW w:w="4480" w:type="dxa"/>
            <w:vAlign w:val="bottom"/>
            <w:tcBorders>
              <w:bottom w:val="single" w:sz="8" w:color="CCEEFF"/>
            </w:tcBorders>
          </w:tcPr>
          <w:p>
            <w:pPr>
              <w:ind w:left="260"/>
              <w:spacing w:after="0" w:line="240" w:lineRule="exact"/>
              <w:rPr>
                <w:sz w:val="20"/>
                <w:szCs w:val="20"/>
                <w:color w:val="auto"/>
              </w:rPr>
            </w:pPr>
            <w:r>
              <w:rPr>
                <w:rFonts w:ascii="Arial" w:cs="Arial" w:eastAsia="Arial" w:hAnsi="Arial"/>
                <w:sz w:val="18"/>
                <w:szCs w:val="18"/>
                <w:color w:val="auto"/>
                <w:w w:val="95"/>
              </w:rPr>
              <w:t>headquarters, net of tenant improvement allowances</w:t>
            </w:r>
            <w:r>
              <w:rPr>
                <w:rFonts w:ascii="Arial" w:cs="Arial" w:eastAsia="Arial" w:hAnsi="Arial"/>
                <w:sz w:val="24"/>
                <w:szCs w:val="24"/>
                <w:color w:val="auto"/>
                <w:w w:val="95"/>
                <w:vertAlign w:val="superscript"/>
              </w:rPr>
              <w:t>(1)</w:t>
            </w:r>
          </w:p>
        </w:tc>
        <w:tc>
          <w:tcPr>
            <w:tcW w:w="106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480" w:type="dxa"/>
            <w:vAlign w:val="bottom"/>
            <w:shd w:val="clear" w:color="auto" w:fill="CCEEFF"/>
          </w:tcPr>
          <w:p>
            <w:pPr>
              <w:ind w:left="260"/>
              <w:spacing w:after="0" w:line="178" w:lineRule="exact"/>
              <w:rPr>
                <w:sz w:val="20"/>
                <w:szCs w:val="20"/>
                <w:color w:val="auto"/>
              </w:rPr>
            </w:pPr>
            <w:r>
              <w:rPr>
                <w:rFonts w:ascii="Arial" w:cs="Arial" w:eastAsia="Arial" w:hAnsi="Arial"/>
                <w:sz w:val="18"/>
                <w:szCs w:val="18"/>
                <w:color w:val="auto"/>
              </w:rPr>
              <w:t>Key employee holdback payments related to the</w:t>
            </w:r>
          </w:p>
        </w:tc>
        <w:tc>
          <w:tcPr>
            <w:tcW w:w="1060" w:type="dxa"/>
            <w:vAlign w:val="bottom"/>
            <w:vMerge w:val="restart"/>
            <w:shd w:val="clear" w:color="auto" w:fill="CCEEFF"/>
          </w:tcPr>
          <w:p>
            <w:pPr>
              <w:jc w:val="right"/>
              <w:ind w:right="851"/>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4480" w:type="dxa"/>
            <w:vAlign w:val="bottom"/>
            <w:tcBorders>
              <w:bottom w:val="single" w:sz="8" w:color="CCEEFF"/>
            </w:tcBorders>
            <w:shd w:val="clear" w:color="auto" w:fill="CCEEFF"/>
          </w:tcPr>
          <w:p>
            <w:pPr>
              <w:ind w:left="260"/>
              <w:spacing w:after="0" w:line="240" w:lineRule="exact"/>
              <w:rPr>
                <w:sz w:val="20"/>
                <w:szCs w:val="20"/>
                <w:color w:val="auto"/>
              </w:rPr>
            </w:pPr>
            <w:r>
              <w:rPr>
                <w:rFonts w:ascii="Arial" w:cs="Arial" w:eastAsia="Arial" w:hAnsi="Arial"/>
                <w:sz w:val="18"/>
                <w:szCs w:val="18"/>
                <w:color w:val="auto"/>
              </w:rPr>
              <w:t>acquisition of HelloSign</w:t>
            </w:r>
            <w:r>
              <w:rPr>
                <w:rFonts w:ascii="Arial" w:cs="Arial" w:eastAsia="Arial" w:hAnsi="Arial"/>
                <w:sz w:val="24"/>
                <w:szCs w:val="24"/>
                <w:color w:val="auto"/>
                <w:vertAlign w:val="superscript"/>
              </w:rPr>
              <w:t>(2)</w:t>
            </w: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left="-6" w:firstLine="6"/>
        <w:spacing w:after="0" w:line="271" w:lineRule="auto"/>
        <w:tabs>
          <w:tab w:leader="none" w:pos="182"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Capital expenditures include cash outflows related to the build-out of our new corporate headquarters in San Francisco, CA. Net cash provided by operating activities include tenant improvement allowances related to our new corporate headquarters, and represents cash received from our landlord to partially offset this build-out. These amounts are presented net in the table above.</w:t>
      </w:r>
    </w:p>
    <w:p>
      <w:pPr>
        <w:sectPr>
          <w:pgSz w:w="11900" w:h="16838" w:orient="portrait"/>
          <w:cols w:equalWidth="0" w:num="1">
            <w:col w:w="10794"/>
          </w:cols>
          <w:pgMar w:left="326" w:top="1418" w:right="779" w:bottom="1440" w:gutter="0" w:footer="0" w:header="0"/>
        </w:sectPr>
      </w:pPr>
    </w:p>
    <w:bookmarkStart w:id="11" w:name="page12"/>
    <w:bookmarkEnd w:id="11"/>
    <w:p>
      <w:pPr>
        <w:ind w:right="20" w:firstLine="6"/>
        <w:spacing w:after="0" w:line="279" w:lineRule="auto"/>
        <w:tabs>
          <w:tab w:leader="none" w:pos="184" w:val="left"/>
        </w:tabs>
        <w:numPr>
          <w:ilvl w:val="0"/>
          <w:numId w:val="6"/>
        </w:numPr>
        <w:rPr>
          <w:rFonts w:ascii="Arial" w:cs="Arial" w:eastAsia="Arial" w:hAnsi="Arial"/>
          <w:sz w:val="21"/>
          <w:szCs w:val="21"/>
          <w:color w:val="auto"/>
          <w:vertAlign w:val="superscript"/>
        </w:rPr>
      </w:pPr>
      <w:r>
        <w:rPr>
          <w:rFonts w:ascii="Arial" w:cs="Arial" w:eastAsia="Arial" w:hAnsi="Arial"/>
          <w:sz w:val="14"/>
          <w:szCs w:val="14"/>
          <w:color w:val="auto"/>
        </w:rPr>
        <w:t>As part of our acquisition of HelloSign in 2019, we have employee holdback agreements with key HelloSign personnel consisting of $48.5 million in cash payments subject to on-going employee service. The related expenses are recognized within research and development expenses over the required service period of three years. The payments began in the current quarter, and will be paid evenly in quarterly installments over the remaining required service period.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Non-GAAP Financial Measures</w:t>
      </w:r>
    </w:p>
    <w:p>
      <w:pPr>
        <w:spacing w:after="0" w:line="224"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To provide investors and others with additional information regarding Dropbox's results, we have disclosed the following non-GAAP financial measures: including revenue growth and Total ARR growth excluding foreign exchange effect, which we refer to as on a constant currency basis,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differs from GAAP in that it excludes stock-based compensation expense, amortization of acquired intangible assets, and other acquisition-related expenses, which include third-party diligence costs and expenses related to key employee holdback agreements. Non-GAAP net income also excludes net gains and losses on equity investments, and includes the income tax effect of the aforementioned adjustments, including the tax effects of acquired intangible assets. FCF differs from GAAP net cash provided by operating activities in that it treats capital expenditures as a reduction to net cash provided by operating activities. Free cash flow margin is calculated as FCF divided by revenue. Non-GAAP diluted net income per share differs from GAAP diluted net loss per share in that the numerator utilizes the non-GAAP net income as described above, and the weighted average shares used in the computation include certain shares that are excluded from the GAAP diluted net loss per share calculation because their effect would have been anti-dilutive. For periods that we are in a GAAP net income position, the weighted average shares used in the computation are the same as the shares used in our non-GAAP diluted net income per share computation. In order to present revenue on a constant currency basis for the quarter ended March 31, 2020, Dropbox calculates constant currency revenue growth rates by applying the prior period weighted average exchange rates to current period results. Dropbox calculates constant currency Total ARR growth rates by applying the current period rate to prior period results. Dropbox presents constant currency information to provide a framework for assessing how our underlying business performed excluding the effect of foreign currency rate fluctuations.</w:t>
      </w:r>
    </w:p>
    <w:p>
      <w:pPr>
        <w:spacing w:after="0" w:line="372"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spacing w:after="0" w:line="19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spacing w:after="0" w:line="18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related to our new corporate headquarters, and may be calculated differently by other companies in our industry, limiting its usefulness as a comparative measure.</w:t>
      </w:r>
    </w:p>
    <w:p>
      <w:pPr>
        <w:spacing w:after="0" w:line="18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compensates for these limitations by reconciling the non-GAAP financial measures to the most comparable GAAP financial measures. Additionally, we have provided supplemental</w:t>
      </w:r>
    </w:p>
    <w:p>
      <w:pPr>
        <w:sectPr>
          <w:pgSz w:w="11900" w:h="16838" w:orient="portrait"/>
          <w:cols w:equalWidth="0" w:num="1">
            <w:col w:w="11200"/>
          </w:cols>
          <w:pgMar w:left="320" w:top="754" w:right="379" w:bottom="1440" w:gutter="0" w:footer="0" w:header="0"/>
        </w:sectPr>
      </w:pPr>
    </w:p>
    <w:bookmarkStart w:id="12" w:name="page13"/>
    <w:bookmarkEnd w:id="12"/>
    <w:p>
      <w:pPr>
        <w:spacing w:after="0" w:line="313" w:lineRule="auto"/>
        <w:rPr>
          <w:sz w:val="20"/>
          <w:szCs w:val="20"/>
          <w:color w:val="auto"/>
        </w:rPr>
      </w:pPr>
      <w:r>
        <w:rPr>
          <w:rFonts w:ascii="Arial" w:cs="Arial" w:eastAsia="Arial" w:hAnsi="Arial"/>
          <w:sz w:val="15"/>
          <w:szCs w:val="15"/>
          <w:color w:val="auto"/>
        </w:rPr>
        <w:t>disclosures in our reconciliation of net cash provided by operating activities to free cash flow to include capital expenditures related to our new corporate headquarters, net of tenant improvement allowances and key employee holdback payments related to the acquisition of HelloSign.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sectPr>
          <w:pgSz w:w="11900" w:h="16838" w:orient="portrait"/>
          <w:cols w:equalWidth="0" w:num="1">
            <w:col w:w="11220"/>
          </w:cols>
          <w:pgMar w:left="320" w:top="552"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Darren Yip</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ir@dropbox.com</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Tessa Chen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press@dropbox.com</w:t>
      </w:r>
    </w:p>
    <w:sectPr>
      <w:pgSz w:w="11900" w:h="16838" w:orient="portrait"/>
      <w:cols w:equalWidth="0" w:num="1">
        <w:col w:w="10139"/>
      </w:cols>
      <w:pgMar w:left="320" w:top="5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lvl>
    <w:lvl w:ilvl="1">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2020-05-07T15:28:20Z</dcterms:created>
  <dcterms:modified xsi:type="dcterms:W3CDTF">2020-05-07T15:28:20Z</dcterms:modified>
</cp:coreProperties>
</file>