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4"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28"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17"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5"/>
          <w:szCs w:val="35"/>
          <w:b w:val="1"/>
          <w:bCs w:val="1"/>
          <w:color w:val="auto"/>
        </w:rPr>
        <w:t>Form 8-K</w:t>
      </w:r>
    </w:p>
    <w:p>
      <w:pPr>
        <w:spacing w:after="0" w:line="27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3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Pursuant to Section 13 or 15(d)</w:t>
      </w:r>
    </w:p>
    <w:p>
      <w:pPr>
        <w:spacing w:after="0" w:line="1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of the Securities Exchange Act of 1934</w:t>
      </w:r>
    </w:p>
    <w:p>
      <w:pPr>
        <w:spacing w:after="0" w:line="22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March 3, 2025</w:t>
      </w:r>
    </w:p>
    <w:p>
      <w:pPr>
        <w:spacing w:after="0" w:line="40"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w:t>
      </w:r>
    </w:p>
    <w:p>
      <w:pPr>
        <w:spacing w:after="0" w:line="24"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5"/>
          <w:szCs w:val="35"/>
          <w:b w:val="1"/>
          <w:bCs w:val="1"/>
          <w:color w:val="auto"/>
        </w:rPr>
        <w:t>DROPBOX, INC.</w:t>
      </w:r>
    </w:p>
    <w:p>
      <w:pPr>
        <w:spacing w:after="0" w:line="13"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340"/>
          </w:cols>
          <w:pgMar w:left="320" w:top="849" w:right="239" w:bottom="1440" w:gutter="0" w:footer="0" w:header="0"/>
        </w:sectPr>
      </w:pPr>
    </w:p>
    <w:p>
      <w:pPr>
        <w:spacing w:after="0" w:line="103" w:lineRule="exact"/>
        <w:rPr>
          <w:sz w:val="24"/>
          <w:szCs w:val="24"/>
          <w:color w:val="auto"/>
        </w:rPr>
      </w:pPr>
    </w:p>
    <w:p>
      <w:pPr>
        <w:jc w:val="center"/>
        <w:ind w:left="8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7" w:lineRule="exact"/>
        <w:rPr>
          <w:sz w:val="24"/>
          <w:szCs w:val="24"/>
          <w:color w:val="auto"/>
        </w:rPr>
      </w:pPr>
    </w:p>
    <w:p>
      <w:pPr>
        <w:jc w:val="center"/>
        <w:ind w:left="800"/>
        <w:spacing w:after="0"/>
        <w:rPr>
          <w:sz w:val="20"/>
          <w:szCs w:val="20"/>
          <w:color w:val="auto"/>
        </w:rPr>
      </w:pPr>
      <w:r>
        <w:rPr>
          <w:rFonts w:ascii="Times New Roman" w:cs="Times New Roman" w:eastAsia="Times New Roman" w:hAnsi="Times New Roman"/>
          <w:sz w:val="17"/>
          <w:szCs w:val="17"/>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line="83"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001-38434</w:t>
      </w:r>
    </w:p>
    <w:p>
      <w:pPr>
        <w:spacing w:after="0" w:line="27"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83"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26-0138832</w:t>
      </w:r>
    </w:p>
    <w:p>
      <w:pPr>
        <w:spacing w:after="0" w:line="27"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7"/>
          <w:szCs w:val="17"/>
          <w:b w:val="1"/>
          <w:bCs w:val="1"/>
          <w:color w:val="auto"/>
        </w:rPr>
        <w:t>(I. R. S. Employer Identification No.)</w:t>
      </w:r>
    </w:p>
    <w:p>
      <w:pPr>
        <w:spacing w:after="0" w:line="20" w:lineRule="exact"/>
        <w:rPr>
          <w:sz w:val="24"/>
          <w:szCs w:val="24"/>
          <w:color w:val="auto"/>
        </w:rPr>
      </w:pPr>
    </w:p>
    <w:p>
      <w:pPr>
        <w:sectPr>
          <w:pgSz w:w="11900" w:h="16838" w:orient="portrait"/>
          <w:cols w:equalWidth="0" w:num="3">
            <w:col w:w="3860" w:space="720"/>
            <w:col w:w="2200" w:space="720"/>
            <w:col w:w="3840"/>
          </w:cols>
          <w:pgMar w:left="320" w:top="849" w:right="239" w:bottom="1440" w:gutter="0" w:footer="0" w:header="0"/>
          <w:type w:val="continuous"/>
        </w:sectPr>
      </w:pPr>
    </w:p>
    <w:p>
      <w:pPr>
        <w:ind w:left="1780"/>
        <w:spacing w:after="0"/>
        <w:rPr>
          <w:sz w:val="20"/>
          <w:szCs w:val="20"/>
          <w:color w:val="auto"/>
        </w:rPr>
      </w:pPr>
      <w:r>
        <w:rPr>
          <w:rFonts w:ascii="Times New Roman" w:cs="Times New Roman" w:eastAsia="Times New Roman" w:hAnsi="Times New Roman"/>
          <w:sz w:val="17"/>
          <w:szCs w:val="17"/>
          <w:b w:val="1"/>
          <w:bCs w:val="1"/>
          <w:color w:val="auto"/>
        </w:rPr>
        <w:t>incorporation)</w:t>
      </w:r>
    </w:p>
    <w:p>
      <w:pPr>
        <w:sectPr>
          <w:pgSz w:w="11900" w:h="16838" w:orient="portrait"/>
          <w:cols w:equalWidth="0" w:num="1">
            <w:col w:w="11340"/>
          </w:cols>
          <w:pgMar w:left="320" w:top="849" w:right="239" w:bottom="1440" w:gutter="0" w:footer="0" w:header="0"/>
          <w:type w:val="continuous"/>
        </w:sectPr>
      </w:pPr>
    </w:p>
    <w:p>
      <w:pPr>
        <w:spacing w:after="0" w:line="310"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1800 Owens St.</w:t>
      </w:r>
    </w:p>
    <w:p>
      <w:pPr>
        <w:spacing w:after="0" w:line="27"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San Francisco, California 94158</w:t>
      </w:r>
    </w:p>
    <w:p>
      <w:pPr>
        <w:spacing w:after="0" w:line="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(415) 930-7766</w:t>
      </w:r>
    </w:p>
    <w:p>
      <w:pPr>
        <w:spacing w:after="0" w:line="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5" w:lineRule="exact"/>
        <w:rPr>
          <w:sz w:val="24"/>
          <w:szCs w:val="24"/>
          <w:color w:val="auto"/>
        </w:rPr>
      </w:pPr>
    </w:p>
    <w:p>
      <w:pPr>
        <w:ind w:right="240"/>
        <w:spacing w:after="0" w:line="274"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30" w:lineRule="exact"/>
        <w:rPr>
          <w:sz w:val="24"/>
          <w:szCs w:val="24"/>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71" w:lineRule="exact"/>
        <w:rPr>
          <w:rFonts w:ascii="MS PGothic" w:cs="MS PGothic" w:eastAsia="MS PGothic" w:hAnsi="MS PGothic"/>
          <w:sz w:val="21"/>
          <w:szCs w:val="21"/>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71" w:lineRule="exact"/>
        <w:rPr>
          <w:rFonts w:ascii="MS PGothic" w:cs="MS PGothic" w:eastAsia="MS PGothic" w:hAnsi="MS PGothic"/>
          <w:sz w:val="21"/>
          <w:szCs w:val="21"/>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84" w:lineRule="exact"/>
        <w:rPr>
          <w:rFonts w:ascii="MS PGothic" w:cs="MS PGothic" w:eastAsia="MS PGothic" w:hAnsi="MS PGothic"/>
          <w:sz w:val="21"/>
          <w:szCs w:val="21"/>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82550</wp:posOffset>
            </wp:positionV>
            <wp:extent cx="62585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58560" cy="8255"/>
                    </a:xfrm>
                    <a:prstGeom prst="rect">
                      <a:avLst/>
                    </a:prstGeom>
                    <a:noFill/>
                  </pic:spPr>
                </pic:pic>
              </a:graphicData>
            </a:graphic>
          </wp:anchor>
        </w:drawing>
      </w:r>
    </w:p>
    <w:p>
      <w:pPr>
        <w:spacing w:after="0" w:line="148" w:lineRule="exact"/>
        <w:rPr>
          <w:sz w:val="24"/>
          <w:szCs w:val="24"/>
          <w:color w:val="auto"/>
        </w:rPr>
      </w:pPr>
    </w:p>
    <w:tbl>
      <w:tblPr>
        <w:tblLayout w:type="fixed"/>
        <w:tblInd w:w="740" w:type="dxa"/>
        <w:tblCellMar>
          <w:top w:w="0" w:type="dxa"/>
          <w:left w:w="0" w:type="dxa"/>
          <w:bottom w:w="0" w:type="dxa"/>
          <w:right w:w="0" w:type="dxa"/>
        </w:tblCellMar>
      </w:tblPr>
      <w:tr>
        <w:trPr>
          <w:trHeight w:val="161"/>
        </w:trPr>
        <w:tc>
          <w:tcPr>
            <w:tcW w:w="102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180" w:type="dxa"/>
            <w:vAlign w:val="bottom"/>
          </w:tcPr>
          <w:p>
            <w:pPr>
              <w:spacing w:after="0"/>
              <w:rPr>
                <w:sz w:val="13"/>
                <w:szCs w:val="13"/>
                <w:color w:val="auto"/>
              </w:rPr>
            </w:pPr>
          </w:p>
        </w:tc>
        <w:tc>
          <w:tcPr>
            <w:tcW w:w="1900" w:type="dxa"/>
            <w:vAlign w:val="bottom"/>
            <w:gridSpan w:val="2"/>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3100" w:type="dxa"/>
            <w:vAlign w:val="bottom"/>
            <w:gridSpan w:val="2"/>
          </w:tcPr>
          <w:p>
            <w:pPr>
              <w:jc w:val="center"/>
              <w:ind w:left="709"/>
              <w:spacing w:after="0"/>
              <w:rPr>
                <w:sz w:val="20"/>
                <w:szCs w:val="20"/>
                <w:color w:val="auto"/>
              </w:rPr>
            </w:pPr>
            <w:r>
              <w:rPr>
                <w:rFonts w:ascii="Times New Roman" w:cs="Times New Roman" w:eastAsia="Times New Roman" w:hAnsi="Times New Roman"/>
                <w:sz w:val="14"/>
                <w:szCs w:val="14"/>
                <w:b w:val="1"/>
                <w:bCs w:val="1"/>
                <w:color w:val="auto"/>
              </w:rPr>
              <w:t>Name of exchange on which registered</w:t>
            </w:r>
          </w:p>
        </w:tc>
      </w:tr>
      <w:tr>
        <w:trPr>
          <w:trHeight w:val="20"/>
        </w:trPr>
        <w:tc>
          <w:tcPr>
            <w:tcW w:w="10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r>
      <w:tr>
        <w:trPr>
          <w:trHeight w:val="208"/>
        </w:trPr>
        <w:tc>
          <w:tcPr>
            <w:tcW w:w="4260" w:type="dxa"/>
            <w:vAlign w:val="bottom"/>
            <w:gridSpan w:val="3"/>
          </w:tcPr>
          <w:p>
            <w:pPr>
              <w:jc w:val="center"/>
              <w:ind w:right="1180"/>
              <w:spacing w:after="0"/>
              <w:rPr>
                <w:sz w:val="20"/>
                <w:szCs w:val="20"/>
                <w:color w:val="auto"/>
              </w:rPr>
            </w:pPr>
            <w:r>
              <w:rPr>
                <w:rFonts w:ascii="Times New Roman" w:cs="Times New Roman" w:eastAsia="Times New Roman" w:hAnsi="Times New Roman"/>
                <w:sz w:val="14"/>
                <w:szCs w:val="14"/>
                <w:color w:val="auto"/>
              </w:rPr>
              <w:t>Class A Common Stock, par value $0.00001 per share</w:t>
            </w:r>
          </w:p>
        </w:tc>
        <w:tc>
          <w:tcPr>
            <w:tcW w:w="190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color w:val="auto"/>
              </w:rPr>
              <w:t>DBX</w:t>
            </w:r>
          </w:p>
        </w:tc>
        <w:tc>
          <w:tcPr>
            <w:tcW w:w="78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199"/>
        </w:trPr>
        <w:tc>
          <w:tcPr>
            <w:tcW w:w="10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r>
    </w:tbl>
    <w:p>
      <w:pPr>
        <w:spacing w:after="0" w:line="258" w:lineRule="exact"/>
        <w:rPr>
          <w:sz w:val="24"/>
          <w:szCs w:val="24"/>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7"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21"/>
          <w:szCs w:val="21"/>
          <w:color w:val="auto"/>
        </w:rPr>
        <w:t>☐</w:t>
      </w:r>
    </w:p>
    <w:p>
      <w:pPr>
        <w:spacing w:after="0" w:line="213" w:lineRule="exact"/>
        <w:rPr>
          <w:sz w:val="24"/>
          <w:szCs w:val="24"/>
          <w:color w:val="auto"/>
        </w:rPr>
      </w:pPr>
    </w:p>
    <w:p>
      <w:pPr>
        <w:ind w:right="260"/>
        <w:spacing w:after="0" w:line="264"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431165</wp:posOffset>
            </wp:positionV>
            <wp:extent cx="716026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849" w:right="239" w:bottom="1440" w:gutter="0" w:footer="0" w:header="0"/>
          <w:type w:val="continuous"/>
        </w:sectPr>
      </w:pPr>
    </w:p>
    <w:bookmarkStart w:id="1" w:name="page2"/>
    <w:bookmarkEnd w:id="1"/>
    <w:p>
      <w:pPr>
        <w:ind w:left="20"/>
        <w:spacing w:after="0"/>
        <w:rPr>
          <w:sz w:val="20"/>
          <w:szCs w:val="20"/>
          <w:color w:val="auto"/>
        </w:rPr>
      </w:pPr>
      <w:r>
        <w:rPr>
          <w:rFonts w:ascii="Times New Roman" w:cs="Times New Roman" w:eastAsia="Times New Roman" w:hAnsi="Times New Roman"/>
          <w:sz w:val="17"/>
          <w:szCs w:val="17"/>
          <w:b w:val="1"/>
          <w:bCs w:val="1"/>
          <w:color w:val="auto"/>
        </w:rPr>
        <w:t>Item 5.02</w:t>
      </w:r>
    </w:p>
    <w:p>
      <w:pPr>
        <w:spacing w:after="0" w:line="20" w:lineRule="exact"/>
        <w:rPr>
          <w:sz w:val="20"/>
          <w:szCs w:val="20"/>
          <w:color w:val="auto"/>
        </w:rPr>
      </w:pPr>
      <w:r>
        <w:rPr>
          <w:sz w:val="20"/>
          <w:szCs w:val="20"/>
          <w:color w:val="auto"/>
        </w:rPr>
        <w:br w:type="column"/>
      </w:r>
    </w:p>
    <w:p>
      <w:pPr>
        <w:ind w:right="1000"/>
        <w:spacing w:after="0" w:line="261"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200" w:lineRule="exact"/>
        <w:rPr>
          <w:sz w:val="20"/>
          <w:szCs w:val="20"/>
          <w:color w:val="auto"/>
        </w:rPr>
      </w:pPr>
    </w:p>
    <w:p>
      <w:pPr>
        <w:sectPr>
          <w:pgSz w:w="11900" w:h="16838" w:orient="portrait"/>
          <w:cols w:equalWidth="0" w:num="2">
            <w:col w:w="820" w:space="720"/>
            <w:col w:w="9660"/>
          </w:cols>
          <w:pgMar w:left="320" w:top="915" w:right="379" w:bottom="1440" w:gutter="0" w:footer="0" w:header="0"/>
        </w:sectPr>
      </w:pPr>
    </w:p>
    <w:p>
      <w:pPr>
        <w:spacing w:after="0" w:line="227" w:lineRule="exact"/>
        <w:rPr>
          <w:sz w:val="20"/>
          <w:szCs w:val="20"/>
          <w:color w:val="auto"/>
        </w:rPr>
      </w:pPr>
    </w:p>
    <w:p>
      <w:pPr>
        <w:jc w:val="both"/>
        <w:ind w:right="180"/>
        <w:spacing w:after="0" w:line="260" w:lineRule="auto"/>
        <w:rPr>
          <w:sz w:val="20"/>
          <w:szCs w:val="20"/>
          <w:color w:val="auto"/>
        </w:rPr>
      </w:pPr>
      <w:r>
        <w:rPr>
          <w:rFonts w:ascii="Times New Roman" w:cs="Times New Roman" w:eastAsia="Times New Roman" w:hAnsi="Times New Roman"/>
          <w:sz w:val="18"/>
          <w:szCs w:val="18"/>
          <w:color w:val="auto"/>
        </w:rPr>
        <w:t>On March 3, 2025, Bart Volkmer, Chief Legal Officer of Dropbox, Inc. (“Dropbox” or the “Company”) notified the Company of his decision to resign after more than thirteen years with the Company. Mr. Volkmer’s resignation will be effective on March 28, 2025, following which he will remain available as an advisor to the Company through April to ensure a smooth transition.</w:t>
      </w:r>
    </w:p>
    <w:p>
      <w:pPr>
        <w:spacing w:after="0" w:line="20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“I’ve spent most of my career at Dropbox, and it’s been a tremendous experience from start to finish,” said Mr. Volkmer. “I’m proud of the incredible achievements we’ve made as a company and the role our teams on legal have been able to play in all of it. Thank you to Drew for the unwavering support and opportunity to be a part of this journey.”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Company’s Board of Directors (the “Board”) has appointed William Yoon, the Company’s Vice President, Product Counseling &amp; Privacy, to succeed Mr.</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Volkmer as Chief Legal Officer, effective March 28, 2025.</w:t>
      </w:r>
    </w:p>
    <w:p>
      <w:pPr>
        <w:spacing w:after="0" w:line="225"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“Bart has been one of Dropbox’s biggest champions since the early days, and I’m grateful for the guidance and leadership he’s brought to the Company over the last 13 years. It’s hard to imagine Dropbox without him,” said Drew Houston, Dropbox’s Chief Executive Officer and Chairman of the Board. “I’m looking forward to working with Will as our new Chief Legal Officer. He’s a tenured product and privacy lawyer and I’m confident in his ability to lead our legal organization through our company’s next stage.”</w:t>
      </w:r>
    </w:p>
    <w:p>
      <w:pPr>
        <w:spacing w:after="0" w:line="208" w:lineRule="exact"/>
        <w:rPr>
          <w:sz w:val="20"/>
          <w:szCs w:val="20"/>
          <w:color w:val="auto"/>
        </w:rPr>
      </w:pPr>
    </w:p>
    <w:p>
      <w:pPr>
        <w:ind w:right="160"/>
        <w:spacing w:after="0" w:line="274" w:lineRule="auto"/>
        <w:rPr>
          <w:sz w:val="20"/>
          <w:szCs w:val="20"/>
          <w:color w:val="auto"/>
        </w:rPr>
      </w:pPr>
      <w:r>
        <w:rPr>
          <w:rFonts w:ascii="Times New Roman" w:cs="Times New Roman" w:eastAsia="Times New Roman" w:hAnsi="Times New Roman"/>
          <w:sz w:val="18"/>
          <w:szCs w:val="18"/>
          <w:color w:val="auto"/>
        </w:rPr>
        <w:t>“Thank you to Drew and the management team for this opportunity, and for Bart for trusting me with this role,” said Mr. Yoon. “It’s a privilege to be able to lead this team and I’m excited for what’s ahead.”</w:t>
      </w:r>
    </w:p>
    <w:p>
      <w:pPr>
        <w:spacing w:after="0" w:line="191"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Mr. Yoon, 46, has served as Dropbox’s Vice President, Product Counseling &amp; Privacy since 2021, and the Company’s Chief Privacy Officer since 2020. He first joined Dropbox in 2013, when he founded the Company’s product counseling team, and has since taken on increasing responsibilities, most recently overseeing product counseling, privacy, commercial, litigation, and regulatory. In addition to Dropbox, Mr. Yoon has held leadership roles in product counseling and privacy functions at Facebook and Google. Prior to joining Google, Mr. Yoon practiced law at Foley &amp; Lardner LLP, a law firm, from 2006 to 2010. Mr. Yoon holds a Juris Doctor from Northwestern University Pritzker School of Law and a Bachelor of Arts in Government - Latin American Studies from Cornell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1187450</wp:posOffset>
            </wp:positionV>
            <wp:extent cx="716026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915" w:right="379" w:bottom="1440" w:gutter="0" w:footer="0" w:header="0"/>
          <w:type w:val="continuous"/>
        </w:sectPr>
      </w:pPr>
    </w:p>
    <w:bookmarkStart w:id="2" w:name="page3"/>
    <w:bookmarkEnd w:id="2"/>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6"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7, 2025</w:t>
      </w:r>
    </w:p>
    <w:p>
      <w:pPr>
        <w:spacing w:after="0" w:line="282"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Dropbox, Inc.</w:t>
      </w:r>
    </w:p>
    <w:p>
      <w:pPr>
        <w:spacing w:after="0" w:line="27"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/s/ Timothy Regan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2235835</wp:posOffset>
            </wp:positionH>
            <wp:positionV relativeFrom="paragraph">
              <wp:posOffset>11430</wp:posOffset>
            </wp:positionV>
            <wp:extent cx="27800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80030" cy="8255"/>
                    </a:xfrm>
                    <a:prstGeom prst="rect">
                      <a:avLst/>
                    </a:prstGeom>
                    <a:noFill/>
                  </pic:spPr>
                </pic:pic>
              </a:graphicData>
            </a:graphic>
          </wp:anchor>
        </w:drawing>
      </w:r>
    </w:p>
    <w:p>
      <w:pPr>
        <w:spacing w:after="0" w:line="6"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Timothy Regan</w:t>
      </w:r>
    </w:p>
    <w:p>
      <w:pPr>
        <w:spacing w:after="0" w:line="25"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080"/>
      </w:cols>
      <w:pgMar w:left="320" w:top="875"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2025-03-07T07:48:49Z</dcterms:created>
  <dcterms:modified xsi:type="dcterms:W3CDTF">2025-03-07T07:48:49Z</dcterms:modified>
</cp:coreProperties>
</file>