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February 22,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43"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b w:val="1"/>
          <w:bCs w:val="1"/>
          <w:color w:val="auto"/>
        </w:rPr>
        <w:t>(I. R. 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1800 Owens St.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Francisco, California 94158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857-6800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DBX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23, 2021, Dropbox, Inc. (the “Company”) entered into a purchase agreement (the “Purchase Agreement”) with J.P. Morgan Securities LLC and Goldman Sachs &amp; Co. LLC, as representatives of the several initial purchasers (the “Initial Purchasers”), to issue and sell $653.0 million aggregate principal amount of 0% Convertible Senior Notes due 2026 (the “2026 Notes”) and $653.0 million aggregate principal amount of 0% Convertible Senior Notes due 2028 (the “2028 Notes” and, together with the 2026 Notes, the “Notes”) in a private placement to qualified institutional buyers pursuant to Rule 144A under the Securities Act of 1933, as amended (the “Securities Act”). The Notes will be issued to the Initial Purchasers pursuant to an exemption from the registration requirements of the Securities Act afforded by Section 4(a)(2) of the Securities Act. In addition, the Company granted the Initial Purchasers an option to purchase, during a 13-day period following the entry into the Purchase Agreement, up to an additional $65.3 million aggregate principal amount of 2026 Notes and up to an additional $65.3 million aggregate principal amount of 2028 Notes on the same terms and conditions.</w:t>
      </w:r>
    </w:p>
    <w:p>
      <w:pPr>
        <w:spacing w:after="0" w:line="19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Purchase Agreement includes customary representations, warranties and covenants by the Company and customary closing conditions. Under the terms of the Purchase Agreement, the Company has agreed to indemnify the Initial Purchasers against certain liabilities.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Purchase Agreement is qualified in its entirety by reference to the Purchase Agreement attached as Exhibit 10.1 to this Current Report on Form 8-K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and the Indentures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February 26, 2021, the Company entered into an Indenture relating to the issuance of the 2026 Notes (the “2026 Indenture”) and an Indenture relating to the issuance of the 2028 Notes (the “2028 Indenture” and, together with the 2026 Indenture, the “Indentures”), in each case, between the Company and U.S. Bank National Association, as trustee (the “Trustee”). The Notes will not bear interest and the principal will not accrete. The Notes may bear special interest as the remedy relating to the Company’s failure to comply with certain of its reporting obligations. The 2026 Notes will mature on March 1, 2026, and the 2028 Notes will mature on March 1, 2028, in each case, unless earlier converted, redeemed or repurchased.</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initial conversion rate for the 2026 Notes is 26.1458 shares of Class A Common Stock per $1,000 principal amount of such Notes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called for redemption may be converted at any time prior to the close of business on the second scheduled trading day immediately preceding the redemption date; or (4) upon the occurrence of specified corporate</w:t>
      </w:r>
    </w:p>
    <w:p>
      <w:pPr>
        <w:sectPr>
          <w:pgSz w:w="11900" w:h="16838" w:orient="portrait"/>
          <w:cols w:equalWidth="0" w:num="1">
            <w:col w:w="11000"/>
          </w:cols>
          <w:pgMar w:left="440" w:top="297" w:right="459" w:bottom="1440" w:gutter="0" w:footer="0" w:header="0"/>
        </w:sectPr>
      </w:pPr>
    </w:p>
    <w:bookmarkStart w:id="2" w:name="page3"/>
    <w:bookmarkEnd w:id="2"/>
    <w:p>
      <w:pPr>
        <w:ind w:left="4"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transactions. 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 Upon conversion, the principal portion of the Notes being converted will be settled in cash, and any amount in excess of the principal portion of such Notes will be settled in cash or shares of the Class A Common Stock or any combination thereof at the Company’s option.</w:t>
      </w:r>
    </w:p>
    <w:p>
      <w:pPr>
        <w:spacing w:after="0" w:line="188"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The Company may not redeem the 2026 Notes prior to March 6, 2024, and the Company may not redeem the 2028 Notes prior to March 6, 2025. 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177"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Upon the occurrence of a fundamental change (as defined in the relevant Indenture)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w:t>
      </w:r>
    </w:p>
    <w:p>
      <w:pPr>
        <w:spacing w:after="0" w:line="149"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events are considered “events of default” with respect to a series of Notes, which may result in the acceleration of the maturity of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defaults in any payment of special interest on the Notes of such series when due and payable and the default continues for a period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30 days;</w:t>
      </w:r>
    </w:p>
    <w:p>
      <w:pPr>
        <w:spacing w:after="0" w:line="210" w:lineRule="exact"/>
        <w:rPr>
          <w:rFonts w:ascii="Arial" w:cs="Arial" w:eastAsia="Arial" w:hAnsi="Arial"/>
          <w:sz w:val="16"/>
          <w:szCs w:val="16"/>
          <w:color w:val="auto"/>
        </w:rPr>
      </w:pPr>
    </w:p>
    <w:p>
      <w:pPr>
        <w:ind w:left="4" w:right="620"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defaults in the payment of principal on the Notes of such series when due and payable at the stated maturity, upon any optional redemption, upon any required repurchase, upon declaration of acceleration or otherwise;</w:t>
      </w:r>
    </w:p>
    <w:p>
      <w:pPr>
        <w:spacing w:after="0" w:line="170"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of such series in accordance with the relevant Indenture upon exercise of a holder’s conversion right and such failure continues for a period of three business days;</w:t>
      </w:r>
    </w:p>
    <w:p>
      <w:pPr>
        <w:spacing w:after="0" w:line="170" w:lineRule="exact"/>
        <w:rPr>
          <w:rFonts w:ascii="Arial" w:cs="Arial" w:eastAsia="Arial" w:hAnsi="Arial"/>
          <w:sz w:val="18"/>
          <w:szCs w:val="18"/>
          <w:color w:val="auto"/>
        </w:rPr>
      </w:pPr>
    </w:p>
    <w:p>
      <w:pPr>
        <w:ind w:left="4" w:right="300"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the relevant Indenture with respect to consolidation, merger and sale of assets of the Company;</w:t>
      </w:r>
    </w:p>
    <w:p>
      <w:pPr>
        <w:spacing w:after="0" w:line="170" w:lineRule="exact"/>
        <w:rPr>
          <w:rFonts w:ascii="Arial" w:cs="Arial" w:eastAsia="Arial" w:hAnsi="Arial"/>
          <w:sz w:val="18"/>
          <w:szCs w:val="18"/>
          <w:color w:val="auto"/>
        </w:rPr>
      </w:pPr>
    </w:p>
    <w:p>
      <w:pPr>
        <w:ind w:left="4"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Company to give a fundamental change notice or notice of a specified corporate transaction when due with respect to the Notes of such series and the default continues for a period of three business days;</w:t>
      </w:r>
    </w:p>
    <w:p>
      <w:pPr>
        <w:spacing w:after="0" w:line="170" w:lineRule="exact"/>
        <w:rPr>
          <w:rFonts w:ascii="Arial" w:cs="Arial" w:eastAsia="Arial" w:hAnsi="Arial"/>
          <w:sz w:val="18"/>
          <w:szCs w:val="18"/>
          <w:color w:val="auto"/>
        </w:rPr>
      </w:pPr>
    </w:p>
    <w:p>
      <w:pPr>
        <w:ind w:left="4" w:right="260" w:hanging="4"/>
        <w:spacing w:after="0" w:line="263"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Company to comply with any of its other agreements contained in the Notes of such series or the relevant Indenture, for a period 60 days after written notice from the Trustee or the holders of at least 25% in principal amount of the Notes of such series then outstanding has been received;</w:t>
      </w:r>
    </w:p>
    <w:p>
      <w:pPr>
        <w:spacing w:after="0" w:line="183" w:lineRule="exact"/>
        <w:rPr>
          <w:rFonts w:ascii="Arial" w:cs="Arial" w:eastAsia="Arial" w:hAnsi="Arial"/>
          <w:sz w:val="18"/>
          <w:szCs w:val="18"/>
          <w:color w:val="auto"/>
        </w:rPr>
      </w:pPr>
    </w:p>
    <w:p>
      <w:pPr>
        <w:ind w:left="4" w:right="80" w:hanging="4"/>
        <w:spacing w:after="0" w:line="255"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by the Company or any of its significant subsidiaries (as defined in the relevant Indenture) with respect to any mortgage, agreement or other instrument under which there may be outstanding, or by which there may be secured or evidenced, any indebtedness for money borrowed in excess of $75.0 million (or its foreign currency equivalent) in the aggregate of the Company and/or any such subsidiary, whether such indebtedness now exists or shall hereafter be created (i) resulting in such indebtedness becoming or being declared due and payable or (ii) constituting a failure to pay the principal of any such indebtedness when due and payable at its stated maturity, upon required repurchase, upon declaration of acceleration or otherwise, and, in the case of clauses (i) and (ii), such</w:t>
      </w:r>
    </w:p>
    <w:p>
      <w:pPr>
        <w:sectPr>
          <w:pgSz w:w="11900" w:h="16838" w:orient="portrait"/>
          <w:cols w:equalWidth="0" w:num="1">
            <w:col w:w="11004"/>
          </w:cols>
          <w:pgMar w:left="436" w:top="301" w:right="459" w:bottom="1440" w:gutter="0" w:footer="0" w:header="0"/>
        </w:sectPr>
      </w:pPr>
    </w:p>
    <w:bookmarkStart w:id="3" w:name="page4"/>
    <w:bookmarkEnd w:id="3"/>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default is not cured or waived, such acceleration is not rescinded or such indebtedness is not paid or discharged, as the case may be, within 30 days after notice to the Company by the Trustee or to the Company and the Trustee by holders of at least 25% in aggregate principal amount of Notes of such series then outstanding in accordance with the relevant Indenture; and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(8) certain events of bankruptcy, insolvency or reorganization of the Company or any of its significant subsidiaries (as defined in the relevant Indenture).</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such an event of default, other than an event of default described in clause (8) above with respect to the Company, occurs and is continuing, the Trustee by notice to the Company, or the holders of at least 25% in principal amount of the outstanding Notes of such series by notice to the Company and the Trustee, may, and the Trustee at the request of such holders shall, declare 100% of the principal of, and accrued and unpaid special interest, if any, on, all the Notes of such series to be due and payable. In case of certain events of bankruptcy, insolvency or reorganization involving the Company, 100% of the principal of, and any accrued and unpaid special interest on, the Notes of such series will automatically become due and payable. Upon such a declaration of acceleration, such principal and accrued and unpaid special interest on the Notes of such series, if any, will be due and payable immediately.</w:t>
      </w:r>
    </w:p>
    <w:p>
      <w:pPr>
        <w:spacing w:after="0" w:line="1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foregoing description is qualified in its entirety by reference to the text of the 2026 Indenture, the Form of 0% Convertible Senior Note due 2026, the 2028 Indenture, and the Form of 0% Convertible Senior Note due 2028, which are attached as Exhibits 4.1, 4.2, 4.3, and 4.4, respectively, to this Current Report on Form 8-K and are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 Hedge Transactions</w:t>
      </w:r>
    </w:p>
    <w:p>
      <w:pPr>
        <w:spacing w:after="0" w:line="11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February 23, 2021, in connection with the pricing of the Notes, the Company entered into privately negotiated convertible note hedge transactions (the “Convertible Note Hedge Transactions”) with respect to the Company’s Class A common stock, par value $0.00001 per share (the “Class A Common Stock”), with each of Barclays Bank PLC, Bank of America, N.A., Goldman Sachs &amp; Co. LLC, JPMorgan Chase Bank, N.A., RBC Capital Markets, LLC and UBS AG (collectively, the “Counterparties”). The Company paid an aggregate amount of approximately $249.5 million to the Counterparties for the Convertible Note Hedge Transactions. The Convertible Note Hedge Transactions collectively cover, subject to anti-dilution adjustments substantially similar to those in the Notes, approximately 35.5 million shares of Class A Common Stock, the same number of shares underlying the Notes, at an applicable strike price that initially corresponds to the applicable initial conversion price of the Notes, and are exercisable upon conversion of the relevant series of Notes. The Convertible Note Hedge Transactions will expire upon the relevant maturity date of the Notes.</w:t>
      </w:r>
    </w:p>
    <w:p>
      <w:pPr>
        <w:spacing w:after="0" w:line="16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Convertible Note Hedge Transactions are separate transactions, entered into by the Company with the Counterparties, and are not part of the terms of the Notes. Holders of the Notes will not have any rights with respect to the Convertible Note Hedge Transactions.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Convertible Note Hedge Transactions is qualified in its entirety by reference to the copies of the forms of confirmation for the Convertible Note Hedge Transactions attached as Exhibit 10.2 and Exhibit 10.3 to this Current Report on Form 8-K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Transactions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concurrently with entering into the Convertible Note Hedge Transactions, on February 23, 2021, the Company separately entered into privately negotiated warrant transactions, whereby the Company sold to the Counterparties warrants expiring in 2026 (the “2026 Warrants”) and warrants expiring in 2028 (the “2028 Warrants” and collectively with the 2026 Warrants, the “Warrants”) to acquire, collectively, subject to anti-dilution adjustments, approximately 35.5 million shares of the Class A Common Stock, in each Warrant, at an initial strike price of $46.36 per share, which represents a premium of 100% over the last reported sale price of the Class A Common Stock of $23.18 on February 23, 2021. The Company received aggregate proceeds of approximately $190.9 million from the sale of the Warrants to the Counterparties. The Warrants were sold in private placements to the Counterparties pursuant to an exemption from the registration requirements of the Securities Act afforded by Section 4(a)(2) of the Securities Act.</w:t>
      </w:r>
    </w:p>
    <w:p>
      <w:pPr>
        <w:sectPr>
          <w:pgSz w:w="11900" w:h="16838" w:orient="portrait"/>
          <w:cols w:equalWidth="0" w:num="1">
            <w:col w:w="11000"/>
          </w:cols>
          <w:pgMar w:left="440" w:top="301" w:right="459" w:bottom="1440" w:gutter="0" w:footer="0" w:header="0"/>
        </w:sectPr>
      </w:pPr>
    </w:p>
    <w:bookmarkStart w:id="4" w:name="page5"/>
    <w:bookmarkEnd w:id="4"/>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If the market price per share of the Class A Common Stock, as measured under the terms of the Warrants, exceeds the strike price of the Warrants, the Warrants could have a dilutive effect, unless the Company elects, subject to certain conditions, to settle the Warrants in cash.</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Notes. Holders of the Notes will not have any rights with respect to the Warrants.</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foregoing description of the Warrants is qualified in its entirety by reference to the copies of the forms of confirmation for the 2026 Warrants attached as Exhibit 10.4 and the 2028 Warrants attached as Exhibit 10.5 to this Current Report on Form 8-K and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February 23, 2021, the Company entered into the Third Amendment and Restatement Agreement, dated as of February 23, 2021 (the “Amendment and Restatement Agreement”), by and among the Company, the lenders party thereto (the “Lenders”) and JPMorgan Chase Bank, N.A. as administrative agent (“Agent”), pursuant to which the Revolving Credit and Guaranty Agreement, dated as of March 20, 2014 (as amended, modified or supplemented, the “Existing Credit Agreement”), by and among the Company, the lenders party thereto and Agent, was amended and restated in its entirety (as so amended and restated, the “Amended and Restated Credit Agreement”). The Amended and Restated Credit Agreement amended and restated the Existing Credit Agreement to, among other things, (i) reduce the aggregate amount of revolving loan commitments from $725.0 million to</w:t>
      </w:r>
    </w:p>
    <w:p>
      <w:pPr>
        <w:spacing w:after="0" w:line="4"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$500.0 million and (ii) extend the maturity date from April 4, 2022 to February 23, 2026. The Amended and Restated Credit Agreement permits the Company, subject to the terms and conditions set forth therein, to obtain up to $250.0 million of additional revolving loan commitments.</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revolving credit facility provides the Lenders with a first-priority lien against substantially all of the Company’s intellectual property and certain other assets. Such lien may be automatically released and automatically reinstated under certain circumstances, as set forth in the Amended and Restated Credit Agreement.</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terms of the Amended and Restated Credit Agreement, the Company may issue letters of credit under the revolving credit facility, which reduce the total amount available for borrowing. Pursuant to the terms of the Amended and Restated Credit Agreement,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1.375% or at an alternative base rate plus a spread of 0.375%. At closing, the Company had an aggregate of $44.1 million of letters of credit outstanding under the revolving credit facility, and the Company’s total available borrowing capacity under the revolving credit facility was $455.9 million.</w:t>
      </w:r>
    </w:p>
    <w:p>
      <w:pPr>
        <w:spacing w:after="0" w:line="18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Amended and Restated Credit Agreement contains customary conditions to borrowing and covenants, including covenants that restrict the Company’s ability to incur indebtedness, grant liens, make distributions to holders of the Company or its subsidiaries’ equity interests, make investments, or engage in transactions with its affiliates. In addition, the Amended and Restated Credit Agreement contains financial covenants, including a consolidated leverage ratio incurrence covenant and a minimum liquidity balance maintenance covenant of $100.0 million, which includes any available borrowing capacity. The Amended and Restated Credit Agreement contains customary events of default relating to, among other things, payment defaults, breach of covenants, cross default to material indebtedness, bankruptcy-related defaults, judgment defaults, and the occurrence of certain change in control events.</w:t>
      </w:r>
    </w:p>
    <w:p>
      <w:pPr>
        <w:sectPr>
          <w:pgSz w:w="11900" w:h="16838" w:orient="portrait"/>
          <w:cols w:equalWidth="0" w:num="1">
            <w:col w:w="11000"/>
          </w:cols>
          <w:pgMar w:left="440" w:top="301" w:right="45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foregoing description of the Amended and Restated Credit Agreement is qualified in its entirety by reference to the copy attached as Exhibit 10.6 to this Current Report on Form 8-K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Press Release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February 22, 2021, the Company issued a press release announcing its intention to offer $567.5 million aggregate principal amount of 2026 Notes and $567.5 million aggregate principal amount of 2028 Notes in a private placement to qualified institutional buyers pursuant to Rule 144A under the Securities Act of 1933, as amended. A copy of the press release is attached as Exhibit 99.1 to this Current Report on Form 8-K and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Upsize and Pricing Press Release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24, 2021, the Company issued a press release announcing the upsize and pricing of its offering of $653.0 million aggregate principal amount of 2026 Notes and $653.0 million aggregate principal amount of 2028 Notes in a private placement to qualified institutional buyers pursuant to Rule 144A under the Securities Act. A copy of the press release is attached as Exhibit 99.2 to this Current Report on Form 8-K and is incorporated herein by reference.</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color w:val="auto"/>
              </w:rPr>
              <w:t>Exhibit</w:t>
            </w:r>
          </w:p>
        </w:tc>
        <w:tc>
          <w:tcPr>
            <w:tcW w:w="5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500" w:type="dxa"/>
            <w:vAlign w:val="bottom"/>
            <w:tcBorders>
              <w:bottom w:val="single" w:sz="8" w:color="auto"/>
            </w:tcBorders>
          </w:tcPr>
          <w:p>
            <w:pPr>
              <w:jc w:val="right"/>
              <w:ind w:right="52"/>
              <w:spacing w:after="0" w:line="147" w:lineRule="exact"/>
              <w:rPr>
                <w:sz w:val="20"/>
                <w:szCs w:val="20"/>
                <w:color w:val="auto"/>
              </w:rPr>
            </w:pPr>
            <w:r>
              <w:rPr>
                <w:rFonts w:ascii="Arial" w:cs="Arial" w:eastAsia="Arial" w:hAnsi="Arial"/>
                <w:sz w:val="14"/>
                <w:szCs w:val="14"/>
                <w:color w:val="auto"/>
              </w:rPr>
              <w:t>No.</w:t>
            </w:r>
          </w:p>
        </w:tc>
        <w:tc>
          <w:tcPr>
            <w:tcW w:w="540" w:type="dxa"/>
            <w:vAlign w:val="bottom"/>
          </w:tcPr>
          <w:p>
            <w:pPr>
              <w:spacing w:after="0"/>
              <w:rPr>
                <w:sz w:val="14"/>
                <w:szCs w:val="14"/>
                <w:color w:val="auto"/>
              </w:rPr>
            </w:pPr>
          </w:p>
        </w:tc>
        <w:tc>
          <w:tcPr>
            <w:tcW w:w="9800" w:type="dxa"/>
            <w:vAlign w:val="bottom"/>
            <w:gridSpan w:val="5"/>
          </w:tcPr>
          <w:p>
            <w:pPr>
              <w:ind w:left="4640"/>
              <w:spacing w:after="0" w:line="147" w:lineRule="exact"/>
              <w:rPr>
                <w:sz w:val="20"/>
                <w:szCs w:val="20"/>
                <w:color w:val="auto"/>
              </w:rPr>
            </w:pPr>
            <w:r>
              <w:rPr>
                <w:rFonts w:ascii="Arial" w:cs="Arial" w:eastAsia="Arial" w:hAnsi="Arial"/>
                <w:sz w:val="14"/>
                <w:szCs w:val="14"/>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5"/>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Indenture, dated February 26, 2021, between the Registrant and U.S. Bank National Association (2026 Notes).</w:t>
              </w:r>
            </w:hyperlink>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Indenture, dated February 26, 2021, between the Registrant and U.S. Bank National Association (2028 Notes).</w:t>
              </w:r>
            </w:hyperlink>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Form of 0% Convertible Senior Note due 2026 (included in Exhibit 4.1).</w:t>
              </w:r>
            </w:hyperlink>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Form of 0% Convertible Senior Note due 2028 (included in Exhibit 4.2).</w:t>
              </w:r>
            </w:hyperlink>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82">
              <w:r>
                <w:rPr>
                  <w:rFonts w:ascii="Arial" w:cs="Arial" w:eastAsia="Arial" w:hAnsi="Arial"/>
                  <w:sz w:val="18"/>
                  <w:szCs w:val="18"/>
                  <w:color w:val="0000EE"/>
                  <w:w w:val="89"/>
                </w:rPr>
                <w:t>Purchase Agreement, dated February 23, 2021, by and among the Registrant and J.P. Morgan Securities LLC and Goldman Sachs &amp; Co.</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5"/>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LLC, as representatives of the several initial purchasers listed in Schedule 1 thereto.</w:t>
              </w:r>
            </w:hyperlink>
          </w:p>
        </w:tc>
      </w:tr>
      <w:tr>
        <w:trPr>
          <w:trHeight w:val="345"/>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6040" w:type="dxa"/>
            <w:vAlign w:val="bottom"/>
            <w:tcBorders>
              <w:top w:val="single" w:sz="8" w:color="0000EE"/>
            </w:tcBorders>
            <w:gridSpan w:val="3"/>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Form of Convertible Note Hedge Confirmation (2026 Notes).</w:t>
              </w:r>
            </w:hyperlink>
          </w:p>
        </w:tc>
        <w:tc>
          <w:tcPr>
            <w:tcW w:w="3760" w:type="dxa"/>
            <w:vAlign w:val="bottom"/>
            <w:gridSpan w:val="2"/>
          </w:tcPr>
          <w:p>
            <w:pPr>
              <w:spacing w:after="0"/>
              <w:rPr>
                <w:sz w:val="24"/>
                <w:szCs w:val="24"/>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10.3</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253">
              <w:r>
                <w:rPr>
                  <w:rFonts w:ascii="Arial" w:cs="Arial" w:eastAsia="Arial" w:hAnsi="Arial"/>
                  <w:sz w:val="18"/>
                  <w:szCs w:val="18"/>
                  <w:u w:val="single" w:color="auto"/>
                  <w:color w:val="0000EE"/>
                </w:rPr>
                <w:t>Form of Convertible Note Hedge Confirmation (2028 Notes).</w:t>
              </w:r>
            </w:hyperlink>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10.4</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284">
              <w:r>
                <w:rPr>
                  <w:rFonts w:ascii="Arial" w:cs="Arial" w:eastAsia="Arial" w:hAnsi="Arial"/>
                  <w:sz w:val="18"/>
                  <w:szCs w:val="18"/>
                  <w:u w:val="single" w:color="auto"/>
                  <w:color w:val="0000EE"/>
                </w:rPr>
                <w:t>Form of 2026 Warrant Confirmation.</w:t>
              </w:r>
            </w:hyperlink>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10.5</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316">
              <w:r>
                <w:rPr>
                  <w:rFonts w:ascii="Arial" w:cs="Arial" w:eastAsia="Arial" w:hAnsi="Arial"/>
                  <w:sz w:val="18"/>
                  <w:szCs w:val="18"/>
                  <w:u w:val="single" w:color="auto"/>
                  <w:color w:val="0000EE"/>
                </w:rPr>
                <w:t>Form of 2028 Warrant Confirmation.</w:t>
              </w:r>
            </w:hyperlink>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10.6</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color w:val="0000EE"/>
                <w:w w:val="93"/>
              </w:rPr>
            </w:pPr>
            <w:hyperlink w:anchor="page348">
              <w:r>
                <w:rPr>
                  <w:rFonts w:ascii="Arial" w:cs="Arial" w:eastAsia="Arial" w:hAnsi="Arial"/>
                  <w:sz w:val="18"/>
                  <w:szCs w:val="18"/>
                  <w:color w:val="0000EE"/>
                  <w:w w:val="93"/>
                </w:rPr>
                <w:t>Third Amendment and Restatement Agreement to the Revolving Credit and Guaranty Agreement, by and among the Registrant, the</w:t>
              </w:r>
            </w:hyperlink>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8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348">
              <w:r>
                <w:rPr>
                  <w:rFonts w:ascii="Arial" w:cs="Arial" w:eastAsia="Arial" w:hAnsi="Arial"/>
                  <w:sz w:val="18"/>
                  <w:szCs w:val="18"/>
                  <w:u w:val="single" w:color="auto"/>
                  <w:color w:val="0000EE"/>
                </w:rPr>
                <w:t>lenders party thereto and JPMorgan Chase Bank, N.A., as Administrative Agent, dated as of February 23, 2021.</w:t>
              </w:r>
            </w:hyperlink>
          </w:p>
        </w:tc>
        <w:tc>
          <w:tcPr>
            <w:tcW w:w="320" w:type="dxa"/>
            <w:vAlign w:val="bottom"/>
          </w:tcPr>
          <w:p>
            <w:pPr>
              <w:spacing w:after="0"/>
              <w:rPr>
                <w:sz w:val="20"/>
                <w:szCs w:val="20"/>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518">
              <w:r>
                <w:rPr>
                  <w:rFonts w:ascii="Arial" w:cs="Arial" w:eastAsia="Arial" w:hAnsi="Arial"/>
                  <w:sz w:val="18"/>
                  <w:szCs w:val="18"/>
                  <w:u w:val="single" w:color="auto"/>
                  <w:color w:val="0000EE"/>
                </w:rPr>
                <w:t>Press Release, dated February 22, 2021.</w:t>
              </w:r>
            </w:hyperlink>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u w:val="single" w:color="auto"/>
                <w:color w:val="0000EE"/>
              </w:rPr>
            </w:pPr>
            <w:hyperlink w:anchor="page520">
              <w:r>
                <w:rPr>
                  <w:rFonts w:ascii="Arial" w:cs="Arial" w:eastAsia="Arial" w:hAnsi="Arial"/>
                  <w:sz w:val="18"/>
                  <w:szCs w:val="18"/>
                  <w:u w:val="single" w:color="auto"/>
                  <w:color w:val="0000EE"/>
                </w:rPr>
                <w:t>Press Release, dated February 24, 2021.</w:t>
              </w:r>
            </w:hyperlink>
          </w:p>
        </w:tc>
      </w:tr>
      <w:tr>
        <w:trPr>
          <w:trHeight w:val="324"/>
        </w:trPr>
        <w:tc>
          <w:tcPr>
            <w:tcW w:w="500" w:type="dxa"/>
            <w:vAlign w:val="bottom"/>
          </w:tcPr>
          <w:p>
            <w:pPr>
              <w:jc w:val="right"/>
              <w:ind w:right="152"/>
              <w:spacing w:after="0"/>
              <w:rPr>
                <w:sz w:val="20"/>
                <w:szCs w:val="20"/>
                <w:color w:val="auto"/>
              </w:rPr>
            </w:pPr>
            <w:r>
              <w:rPr>
                <w:rFonts w:ascii="Arial" w:cs="Arial" w:eastAsia="Arial" w:hAnsi="Arial"/>
                <w:sz w:val="18"/>
                <w:szCs w:val="18"/>
                <w:color w:val="auto"/>
                <w:w w:val="79"/>
              </w:rPr>
              <w:t>104</w:t>
            </w:r>
          </w:p>
        </w:tc>
        <w:tc>
          <w:tcPr>
            <w:tcW w:w="54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in inline XBRL.</w:t>
            </w:r>
          </w:p>
        </w:tc>
      </w:tr>
    </w:tbl>
    <w:p>
      <w:pPr>
        <w:sectPr>
          <w:pgSz w:w="11900" w:h="16838" w:orient="portrait"/>
          <w:cols w:equalWidth="0" w:num="1">
            <w:col w:w="10960"/>
          </w:cols>
          <w:pgMar w:left="440" w:top="301" w:right="499" w:bottom="1440" w:gutter="0" w:footer="0" w:header="0"/>
        </w:sectPr>
      </w:pPr>
    </w:p>
    <w:bookmarkStart w:id="6" w:name="page7"/>
    <w:bookmarkEnd w:id="6"/>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Bart Volkmer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0260"/>
          </w:cols>
          <w:pgMar w:left="440" w:top="297" w:right="1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February 26, 2021</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0% Convertible Senior Notes due 2026</w:t>
      </w:r>
    </w:p>
    <w:p>
      <w:pPr>
        <w:sectPr>
          <w:pgSz w:w="11900" w:h="16838" w:orient="portrait"/>
          <w:cols w:equalWidth="0" w:num="1">
            <w:col w:w="10020"/>
          </w:cols>
          <w:pgMar w:left="1440" w:top="121"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96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4"/>
                <w:szCs w:val="24"/>
                <w:color w:val="auto"/>
              </w:rPr>
            </w:pPr>
          </w:p>
        </w:tc>
        <w:tc>
          <w:tcPr>
            <w:tcW w:w="9680" w:type="dxa"/>
            <w:vAlign w:val="bottom"/>
            <w:vMerge w:val="restart"/>
          </w:tcPr>
          <w:p>
            <w:pPr>
              <w:jc w:val="center"/>
              <w:ind w:right="59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96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96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1.02  References to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5"/>
              </w:rPr>
              <w:t>ISSUE, DESCRIPTION, EXECUTION, REGISTRATION AND EXCHANGE OF NOTES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2.01  Designation and Amount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2.02</w:t>
            </w:r>
          </w:p>
        </w:tc>
        <w:tc>
          <w:tcPr>
            <w:tcW w:w="9680" w:type="dxa"/>
            <w:vAlign w:val="bottom"/>
          </w:tcPr>
          <w:p>
            <w:pPr>
              <w:ind w:left="100"/>
              <w:spacing w:after="0"/>
              <w:rPr>
                <w:sz w:val="20"/>
                <w:szCs w:val="20"/>
                <w:color w:val="auto"/>
              </w:rPr>
            </w:pPr>
            <w:r>
              <w:rPr>
                <w:rFonts w:ascii="Arial" w:cs="Arial" w:eastAsia="Arial" w:hAnsi="Arial"/>
                <w:sz w:val="18"/>
                <w:szCs w:val="18"/>
                <w:color w:val="auto"/>
              </w:rPr>
              <w:t>Form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2.03  Date and Denomination of Notes; No Regular Interest; Special Interest and Defaulted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2.04  Execution, Authentication and Delivery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2.05  Exchange and Registration of Transfer of Notes; Restrictions on Transfer; Depositary</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2.06  Mutilated, Destroyed, Lost or Stolen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968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2.08  Cancellation of Notes Paid, Converted, Etc</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2.09</w:t>
            </w:r>
          </w:p>
        </w:tc>
        <w:tc>
          <w:tcPr>
            <w:tcW w:w="968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2.10  Additional Notes; Repurchases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6"/>
              </w:rPr>
              <w:t>SATISFACTION AND DISCHARGE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3.01  Satisfaction and Discharge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9680" w:type="dxa"/>
            <w:vAlign w:val="bottom"/>
          </w:tcPr>
          <w:p>
            <w:pPr>
              <w:jc w:val="center"/>
              <w:ind w:right="61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6"/>
              </w:rPr>
              <w:t>PARTICULAR COVENANTS OF THE COMPANY</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4.01  Payment of Principal and Special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4.03  Appointments to Fill Vacancies in Trustee’s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4.04  Provisions as to Paying Agent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9680" w:type="dxa"/>
            <w:vAlign w:val="bottom"/>
          </w:tcPr>
          <w:p>
            <w:pPr>
              <w:ind w:left="100"/>
              <w:spacing w:after="0"/>
              <w:rPr>
                <w:sz w:val="20"/>
                <w:szCs w:val="20"/>
                <w:color w:val="auto"/>
              </w:rPr>
            </w:pPr>
            <w:r>
              <w:rPr>
                <w:rFonts w:ascii="Arial" w:cs="Arial" w:eastAsia="Arial" w:hAnsi="Arial"/>
                <w:sz w:val="18"/>
                <w:szCs w:val="18"/>
                <w:color w:val="auto"/>
              </w:rPr>
              <w:t>Existence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4.06  Rule 144A Information Requirement and Annual Reports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4.07  Stay, Extension and Usury Laws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4.08  Compliance Certificate; Statements as to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4.09  Further Instruments and Acts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4"/>
                <w:szCs w:val="24"/>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8"/>
              </w:rPr>
              <w:t>ARTICLE 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5"/>
              </w:rPr>
              <w:t>LISTS OF HOLDERS AND REPORTS BY THE COMPANY AND THE TRUSTEE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5.01  Lists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5.02  Preservation and Disclosure of Lists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620" w:type="dxa"/>
            <w:vAlign w:val="bottom"/>
          </w:tcPr>
          <w:p>
            <w:pPr>
              <w:jc w:val="center"/>
              <w:ind w:left="1230"/>
              <w:spacing w:after="0"/>
              <w:rPr>
                <w:sz w:val="20"/>
                <w:szCs w:val="20"/>
                <w:color w:val="auto"/>
              </w:rPr>
            </w:pPr>
            <w:r>
              <w:rPr>
                <w:rFonts w:ascii="Arial" w:cs="Arial" w:eastAsia="Arial" w:hAnsi="Arial"/>
                <w:sz w:val="18"/>
                <w:szCs w:val="18"/>
                <w:color w:val="auto"/>
                <w:w w:val="99"/>
              </w:rPr>
              <w:t>ARTICLE VI</w:t>
            </w:r>
          </w:p>
        </w:tc>
        <w:tc>
          <w:tcPr>
            <w:tcW w:w="1340" w:type="dxa"/>
            <w:vAlign w:val="bottom"/>
          </w:tcPr>
          <w:p>
            <w:pPr>
              <w:spacing w:after="0"/>
              <w:rPr>
                <w:sz w:val="18"/>
                <w:szCs w:val="18"/>
                <w:color w:val="auto"/>
              </w:rPr>
            </w:pPr>
          </w:p>
        </w:tc>
      </w:tr>
      <w:tr>
        <w:trPr>
          <w:trHeight w:val="230"/>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6"/>
              </w:rPr>
              <w:t>DEFAULTS AND REMEDIES</w:t>
            </w:r>
          </w:p>
        </w:tc>
        <w:tc>
          <w:tcPr>
            <w:tcW w:w="1340" w:type="dxa"/>
            <w:vAlign w:val="bottom"/>
          </w:tcPr>
          <w:p>
            <w:pPr>
              <w:spacing w:after="0"/>
              <w:rPr>
                <w:sz w:val="20"/>
                <w:szCs w:val="20"/>
                <w:color w:val="auto"/>
              </w:rPr>
            </w:pPr>
          </w:p>
        </w:tc>
      </w:tr>
      <w:tr>
        <w:trPr>
          <w:trHeight w:val="323"/>
        </w:trPr>
        <w:tc>
          <w:tcPr>
            <w:tcW w:w="962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6.02  Acceleration; Rescission and Annulment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6.03  Special Interest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6.04  Payments of Notes on Default; Suit Therefor</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6.05  Application of Monies Collected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6.06  Proceedings by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6.07  Proceedings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6.08  Remedies Cumulative and Continuing</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6.09  Direction of Proceedings and Waiver of Defaults by Majority of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6.10  Notice of Defaults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6.11  Undertaking to Pay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9620" w:type="dxa"/>
            <w:vAlign w:val="bottom"/>
          </w:tcPr>
          <w:p>
            <w:pPr>
              <w:jc w:val="center"/>
              <w:ind w:left="1250"/>
              <w:spacing w:after="0"/>
              <w:rPr>
                <w:sz w:val="20"/>
                <w:szCs w:val="20"/>
                <w:color w:val="auto"/>
              </w:rPr>
            </w:pPr>
            <w:r>
              <w:rPr>
                <w:rFonts w:ascii="Arial" w:cs="Arial" w:eastAsia="Arial" w:hAnsi="Arial"/>
                <w:sz w:val="18"/>
                <w:szCs w:val="18"/>
                <w:color w:val="auto"/>
              </w:rPr>
              <w:t>ARTICLE VII</w:t>
            </w:r>
          </w:p>
        </w:tc>
        <w:tc>
          <w:tcPr>
            <w:tcW w:w="1340" w:type="dxa"/>
            <w:vAlign w:val="bottom"/>
          </w:tcPr>
          <w:p>
            <w:pPr>
              <w:spacing w:after="0"/>
              <w:rPr>
                <w:sz w:val="24"/>
                <w:szCs w:val="24"/>
                <w:color w:val="auto"/>
              </w:rPr>
            </w:pPr>
          </w:p>
        </w:tc>
      </w:tr>
      <w:tr>
        <w:trPr>
          <w:trHeight w:val="230"/>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4"/>
              </w:rPr>
              <w:t>CONCERNING THE TRUSTEE</w:t>
            </w:r>
          </w:p>
        </w:tc>
        <w:tc>
          <w:tcPr>
            <w:tcW w:w="1340" w:type="dxa"/>
            <w:vAlign w:val="bottom"/>
          </w:tcPr>
          <w:p>
            <w:pPr>
              <w:spacing w:after="0"/>
              <w:rPr>
                <w:sz w:val="20"/>
                <w:szCs w:val="20"/>
                <w:color w:val="auto"/>
              </w:rPr>
            </w:pPr>
          </w:p>
        </w:tc>
      </w:tr>
      <w:tr>
        <w:trPr>
          <w:trHeight w:val="323"/>
        </w:trPr>
        <w:tc>
          <w:tcPr>
            <w:tcW w:w="9620" w:type="dxa"/>
            <w:vAlign w:val="bottom"/>
          </w:tcPr>
          <w:p>
            <w:pPr>
              <w:spacing w:after="0"/>
              <w:rPr>
                <w:sz w:val="20"/>
                <w:szCs w:val="20"/>
                <w:color w:val="auto"/>
              </w:rPr>
            </w:pPr>
            <w:r>
              <w:rPr>
                <w:rFonts w:ascii="Arial" w:cs="Arial" w:eastAsia="Arial" w:hAnsi="Arial"/>
                <w:sz w:val="18"/>
                <w:szCs w:val="18"/>
                <w:color w:val="auto"/>
              </w:rPr>
              <w:t>Section 7.01  Duties and Responsibilities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7.02  Reliance on Documents, Opinions, Etc</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7.03  No Responsibility for Recitals, Etc</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7.04  Trustee, Paying Agents, Conversion Agents, Bid Solicitation Agent or Note Registrar May Own Notes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7.05  Monies to Be Held in Trust</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7.06  Compensation and Expenses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7.07  Officer’s Certificate as Evidence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7.08  Eligibility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7.09  Resignation or Removal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7.10  Acceptance by Successor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7.11  Succession by Merger, Etc</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7.12  Trustee’s Application for Instructions from the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9620" w:type="dxa"/>
            <w:vAlign w:val="bottom"/>
          </w:tcPr>
          <w:p>
            <w:pPr>
              <w:jc w:val="center"/>
              <w:ind w:left="1230"/>
              <w:spacing w:after="0"/>
              <w:rPr>
                <w:sz w:val="20"/>
                <w:szCs w:val="20"/>
                <w:color w:val="auto"/>
              </w:rPr>
            </w:pPr>
            <w:r>
              <w:rPr>
                <w:rFonts w:ascii="Arial" w:cs="Arial" w:eastAsia="Arial" w:hAnsi="Arial"/>
                <w:sz w:val="18"/>
                <w:szCs w:val="18"/>
                <w:color w:val="auto"/>
              </w:rPr>
              <w:t>ARTICLE VIII</w:t>
            </w:r>
          </w:p>
        </w:tc>
        <w:tc>
          <w:tcPr>
            <w:tcW w:w="1340" w:type="dxa"/>
            <w:vAlign w:val="bottom"/>
          </w:tcPr>
          <w:p>
            <w:pPr>
              <w:spacing w:after="0"/>
              <w:rPr>
                <w:sz w:val="24"/>
                <w:szCs w:val="24"/>
                <w:color w:val="auto"/>
              </w:rPr>
            </w:pPr>
          </w:p>
        </w:tc>
      </w:tr>
      <w:tr>
        <w:trPr>
          <w:trHeight w:val="230"/>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5"/>
              </w:rPr>
              <w:t>CONCERNING THE HOLDERS</w:t>
            </w:r>
          </w:p>
        </w:tc>
        <w:tc>
          <w:tcPr>
            <w:tcW w:w="1340" w:type="dxa"/>
            <w:vAlign w:val="bottom"/>
          </w:tcPr>
          <w:p>
            <w:pPr>
              <w:spacing w:after="0"/>
              <w:rPr>
                <w:sz w:val="20"/>
                <w:szCs w:val="20"/>
                <w:color w:val="auto"/>
              </w:rPr>
            </w:pPr>
          </w:p>
        </w:tc>
      </w:tr>
      <w:tr>
        <w:trPr>
          <w:trHeight w:val="323"/>
        </w:trPr>
        <w:tc>
          <w:tcPr>
            <w:tcW w:w="9620" w:type="dxa"/>
            <w:vAlign w:val="bottom"/>
          </w:tcPr>
          <w:p>
            <w:pPr>
              <w:spacing w:after="0"/>
              <w:rPr>
                <w:sz w:val="20"/>
                <w:szCs w:val="20"/>
                <w:color w:val="auto"/>
              </w:rPr>
            </w:pPr>
            <w:r>
              <w:rPr>
                <w:rFonts w:ascii="Arial" w:cs="Arial" w:eastAsia="Arial" w:hAnsi="Arial"/>
                <w:sz w:val="18"/>
                <w:szCs w:val="18"/>
                <w:color w:val="auto"/>
              </w:rPr>
              <w:t>Section 8.01  Action by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8.02  Proof of Execution by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8.03  Who Are Deemed Absolute Owners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8.04  Company-Owned Notes Disregarded</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8.05  Revocation of Consents; Future Holders Bound</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9620" w:type="dxa"/>
            <w:vAlign w:val="bottom"/>
          </w:tcPr>
          <w:p>
            <w:pPr>
              <w:jc w:val="center"/>
              <w:ind w:left="1230"/>
              <w:spacing w:after="0"/>
              <w:rPr>
                <w:sz w:val="20"/>
                <w:szCs w:val="20"/>
                <w:color w:val="auto"/>
              </w:rPr>
            </w:pPr>
            <w:r>
              <w:rPr>
                <w:rFonts w:ascii="Arial" w:cs="Arial" w:eastAsia="Arial" w:hAnsi="Arial"/>
                <w:sz w:val="18"/>
                <w:szCs w:val="18"/>
                <w:color w:val="auto"/>
                <w:w w:val="99"/>
              </w:rPr>
              <w:t>ARTICLE IX</w:t>
            </w:r>
          </w:p>
        </w:tc>
        <w:tc>
          <w:tcPr>
            <w:tcW w:w="1340" w:type="dxa"/>
            <w:vAlign w:val="bottom"/>
          </w:tcPr>
          <w:p>
            <w:pPr>
              <w:spacing w:after="0"/>
              <w:rPr>
                <w:sz w:val="24"/>
                <w:szCs w:val="24"/>
                <w:color w:val="auto"/>
              </w:rPr>
            </w:pPr>
          </w:p>
        </w:tc>
      </w:tr>
      <w:tr>
        <w:trPr>
          <w:trHeight w:val="230"/>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6"/>
              </w:rPr>
              <w:t>HOLDERS’ MEETINGS</w:t>
            </w:r>
          </w:p>
        </w:tc>
        <w:tc>
          <w:tcPr>
            <w:tcW w:w="1340" w:type="dxa"/>
            <w:vAlign w:val="bottom"/>
          </w:tcPr>
          <w:p>
            <w:pPr>
              <w:spacing w:after="0"/>
              <w:rPr>
                <w:sz w:val="20"/>
                <w:szCs w:val="20"/>
                <w:color w:val="auto"/>
              </w:rPr>
            </w:pPr>
          </w:p>
        </w:tc>
      </w:tr>
      <w:tr>
        <w:trPr>
          <w:trHeight w:val="323"/>
        </w:trPr>
        <w:tc>
          <w:tcPr>
            <w:tcW w:w="9620" w:type="dxa"/>
            <w:vAlign w:val="bottom"/>
          </w:tcPr>
          <w:p>
            <w:pPr>
              <w:spacing w:after="0"/>
              <w:rPr>
                <w:sz w:val="20"/>
                <w:szCs w:val="20"/>
                <w:color w:val="auto"/>
              </w:rPr>
            </w:pPr>
            <w:r>
              <w:rPr>
                <w:rFonts w:ascii="Arial" w:cs="Arial" w:eastAsia="Arial" w:hAnsi="Arial"/>
                <w:sz w:val="18"/>
                <w:szCs w:val="18"/>
                <w:color w:val="auto"/>
              </w:rPr>
              <w:t>Section 9.01  Purpose of Meetings</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9.02  Call of Meetings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9500" w:type="dxa"/>
            <w:vAlign w:val="bottom"/>
          </w:tcPr>
          <w:p>
            <w:pPr>
              <w:ind w:left="100"/>
              <w:spacing w:after="0"/>
              <w:rPr>
                <w:sz w:val="20"/>
                <w:szCs w:val="20"/>
                <w:color w:val="auto"/>
              </w:rPr>
            </w:pPr>
            <w:r>
              <w:rPr>
                <w:rFonts w:ascii="Arial" w:cs="Arial" w:eastAsia="Arial" w:hAnsi="Arial"/>
                <w:sz w:val="18"/>
                <w:szCs w:val="18"/>
                <w:color w:val="auto"/>
              </w:rPr>
              <w:t>Call of Meetings by Company or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9500" w:type="dxa"/>
            <w:vAlign w:val="bottom"/>
          </w:tcPr>
          <w:p>
            <w:pPr>
              <w:ind w:left="100"/>
              <w:spacing w:after="0"/>
              <w:rPr>
                <w:sz w:val="20"/>
                <w:szCs w:val="20"/>
                <w:color w:val="auto"/>
              </w:rPr>
            </w:pPr>
            <w:r>
              <w:rPr>
                <w:rFonts w:ascii="Arial" w:cs="Arial" w:eastAsia="Arial" w:hAnsi="Arial"/>
                <w:sz w:val="18"/>
                <w:szCs w:val="18"/>
                <w:color w:val="auto"/>
              </w:rPr>
              <w:t>Qualifications for Voting</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9500" w:type="dxa"/>
            <w:vAlign w:val="bottom"/>
          </w:tcPr>
          <w:p>
            <w:pPr>
              <w:ind w:left="100"/>
              <w:spacing w:after="0"/>
              <w:rPr>
                <w:sz w:val="20"/>
                <w:szCs w:val="20"/>
                <w:color w:val="auto"/>
              </w:rPr>
            </w:pPr>
            <w:r>
              <w:rPr>
                <w:rFonts w:ascii="Arial" w:cs="Arial" w:eastAsia="Arial" w:hAnsi="Arial"/>
                <w:sz w:val="18"/>
                <w:szCs w:val="18"/>
                <w:color w:val="auto"/>
              </w:rPr>
              <w:t>Regulations</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9.06</w:t>
            </w:r>
          </w:p>
        </w:tc>
        <w:tc>
          <w:tcPr>
            <w:tcW w:w="9500" w:type="dxa"/>
            <w:vAlign w:val="bottom"/>
          </w:tcPr>
          <w:p>
            <w:pPr>
              <w:ind w:left="100"/>
              <w:spacing w:after="0"/>
              <w:rPr>
                <w:sz w:val="20"/>
                <w:szCs w:val="20"/>
                <w:color w:val="auto"/>
              </w:rPr>
            </w:pPr>
            <w:r>
              <w:rPr>
                <w:rFonts w:ascii="Arial" w:cs="Arial" w:eastAsia="Arial" w:hAnsi="Arial"/>
                <w:sz w:val="18"/>
                <w:szCs w:val="18"/>
                <w:color w:val="auto"/>
              </w:rPr>
              <w:t>Voting</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9.07</w:t>
            </w:r>
          </w:p>
        </w:tc>
        <w:tc>
          <w:tcPr>
            <w:tcW w:w="9500" w:type="dxa"/>
            <w:vAlign w:val="bottom"/>
          </w:tcPr>
          <w:p>
            <w:pPr>
              <w:ind w:left="100"/>
              <w:spacing w:after="0"/>
              <w:rPr>
                <w:sz w:val="20"/>
                <w:szCs w:val="20"/>
                <w:color w:val="auto"/>
              </w:rPr>
            </w:pPr>
            <w:r>
              <w:rPr>
                <w:rFonts w:ascii="Arial" w:cs="Arial" w:eastAsia="Arial" w:hAnsi="Arial"/>
                <w:sz w:val="18"/>
                <w:szCs w:val="18"/>
                <w:color w:val="auto"/>
              </w:rPr>
              <w:t>No Delay of Rights by Meeting</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080" w:type="dxa"/>
            <w:vAlign w:val="bottom"/>
          </w:tcPr>
          <w:p>
            <w:pPr>
              <w:spacing w:after="0"/>
              <w:rPr>
                <w:sz w:val="24"/>
                <w:szCs w:val="24"/>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8"/>
              </w:rPr>
              <w:t>ARTICLE X</w:t>
            </w:r>
          </w:p>
        </w:tc>
        <w:tc>
          <w:tcPr>
            <w:tcW w:w="3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6"/>
              </w:rPr>
              <w:t>SUPPLEMENTAL INDENTURES</w:t>
            </w:r>
          </w:p>
        </w:tc>
        <w:tc>
          <w:tcPr>
            <w:tcW w:w="380" w:type="dxa"/>
            <w:vAlign w:val="bottom"/>
          </w:tcPr>
          <w:p>
            <w:pPr>
              <w:spacing w:after="0"/>
              <w:rPr>
                <w:sz w:val="20"/>
                <w:szCs w:val="20"/>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w w:val="96"/>
              </w:rPr>
              <w:t>Section 10.01</w:t>
            </w:r>
          </w:p>
        </w:tc>
        <w:tc>
          <w:tcPr>
            <w:tcW w:w="950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10.02</w:t>
            </w:r>
          </w:p>
        </w:tc>
        <w:tc>
          <w:tcPr>
            <w:tcW w:w="950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10.03</w:t>
            </w:r>
          </w:p>
        </w:tc>
        <w:tc>
          <w:tcPr>
            <w:tcW w:w="9500" w:type="dxa"/>
            <w:vAlign w:val="bottom"/>
          </w:tcPr>
          <w:p>
            <w:pPr>
              <w:ind w:left="100"/>
              <w:spacing w:after="0"/>
              <w:rPr>
                <w:sz w:val="20"/>
                <w:szCs w:val="20"/>
                <w:color w:val="auto"/>
              </w:rPr>
            </w:pPr>
            <w:r>
              <w:rPr>
                <w:rFonts w:ascii="Arial" w:cs="Arial" w:eastAsia="Arial" w:hAnsi="Arial"/>
                <w:sz w:val="18"/>
                <w:szCs w:val="18"/>
                <w:color w:val="auto"/>
              </w:rPr>
              <w:t>Effect of Supplemental Indentures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10.04</w:t>
            </w:r>
          </w:p>
        </w:tc>
        <w:tc>
          <w:tcPr>
            <w:tcW w:w="9500" w:type="dxa"/>
            <w:vAlign w:val="bottom"/>
          </w:tcPr>
          <w:p>
            <w:pPr>
              <w:ind w:left="100"/>
              <w:spacing w:after="0"/>
              <w:rPr>
                <w:sz w:val="20"/>
                <w:szCs w:val="20"/>
                <w:color w:val="auto"/>
              </w:rPr>
            </w:pPr>
            <w:r>
              <w:rPr>
                <w:rFonts w:ascii="Arial" w:cs="Arial" w:eastAsia="Arial" w:hAnsi="Arial"/>
                <w:sz w:val="18"/>
                <w:szCs w:val="18"/>
                <w:color w:val="auto"/>
              </w:rPr>
              <w:t>Notation on Notes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10.05</w:t>
            </w:r>
          </w:p>
        </w:tc>
        <w:tc>
          <w:tcPr>
            <w:tcW w:w="9500" w:type="dxa"/>
            <w:vAlign w:val="bottom"/>
          </w:tcPr>
          <w:p>
            <w:pPr>
              <w:ind w:left="100"/>
              <w:spacing w:after="0"/>
              <w:rPr>
                <w:sz w:val="20"/>
                <w:szCs w:val="20"/>
                <w:color w:val="auto"/>
              </w:rPr>
            </w:pPr>
            <w:r>
              <w:rPr>
                <w:rFonts w:ascii="Arial" w:cs="Arial" w:eastAsia="Arial" w:hAnsi="Arial"/>
                <w:sz w:val="18"/>
                <w:szCs w:val="18"/>
                <w:color w:val="auto"/>
              </w:rPr>
              <w:t>Evidence of Compliance of Supplemental Indenture to Be Furnished to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080" w:type="dxa"/>
            <w:vAlign w:val="bottom"/>
          </w:tcPr>
          <w:p>
            <w:pPr>
              <w:spacing w:after="0"/>
              <w:rPr>
                <w:sz w:val="24"/>
                <w:szCs w:val="24"/>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9"/>
              </w:rPr>
              <w:t>ARTICLE XI</w:t>
            </w:r>
          </w:p>
        </w:tc>
        <w:tc>
          <w:tcPr>
            <w:tcW w:w="3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6"/>
              </w:rPr>
              <w:t>CONSOLIDATION, MERGER, SALE, CONVEYANCE AND LEASE</w:t>
            </w:r>
          </w:p>
        </w:tc>
        <w:tc>
          <w:tcPr>
            <w:tcW w:w="380" w:type="dxa"/>
            <w:vAlign w:val="bottom"/>
          </w:tcPr>
          <w:p>
            <w:pPr>
              <w:spacing w:after="0"/>
              <w:rPr>
                <w:sz w:val="20"/>
                <w:szCs w:val="20"/>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w w:val="96"/>
              </w:rPr>
              <w:t>Section 11.01</w:t>
            </w:r>
          </w:p>
        </w:tc>
        <w:tc>
          <w:tcPr>
            <w:tcW w:w="9500" w:type="dxa"/>
            <w:vAlign w:val="bottom"/>
          </w:tcPr>
          <w:p>
            <w:pPr>
              <w:ind w:left="100"/>
              <w:spacing w:after="0"/>
              <w:rPr>
                <w:sz w:val="20"/>
                <w:szCs w:val="20"/>
                <w:color w:val="auto"/>
              </w:rPr>
            </w:pPr>
            <w:r>
              <w:rPr>
                <w:rFonts w:ascii="Arial" w:cs="Arial" w:eastAsia="Arial" w:hAnsi="Arial"/>
                <w:sz w:val="18"/>
                <w:szCs w:val="18"/>
                <w:color w:val="auto"/>
              </w:rPr>
              <w:t>Company May Consolidate, Etc. on Certain Terms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11.02</w:t>
            </w:r>
          </w:p>
        </w:tc>
        <w:tc>
          <w:tcPr>
            <w:tcW w:w="9500" w:type="dxa"/>
            <w:vAlign w:val="bottom"/>
          </w:tcPr>
          <w:p>
            <w:pPr>
              <w:ind w:left="100"/>
              <w:spacing w:after="0"/>
              <w:rPr>
                <w:sz w:val="20"/>
                <w:szCs w:val="20"/>
                <w:color w:val="auto"/>
              </w:rPr>
            </w:pPr>
            <w:r>
              <w:rPr>
                <w:rFonts w:ascii="Arial" w:cs="Arial" w:eastAsia="Arial" w:hAnsi="Arial"/>
                <w:sz w:val="18"/>
                <w:szCs w:val="18"/>
                <w:color w:val="auto"/>
              </w:rPr>
              <w:t>Successor Corporation to Be Substituted</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11.03</w:t>
            </w:r>
          </w:p>
        </w:tc>
        <w:tc>
          <w:tcPr>
            <w:tcW w:w="9500" w:type="dxa"/>
            <w:vAlign w:val="bottom"/>
          </w:tcPr>
          <w:p>
            <w:pPr>
              <w:ind w:left="100"/>
              <w:spacing w:after="0"/>
              <w:rPr>
                <w:sz w:val="20"/>
                <w:szCs w:val="20"/>
                <w:color w:val="auto"/>
              </w:rPr>
            </w:pPr>
            <w:r>
              <w:rPr>
                <w:rFonts w:ascii="Arial" w:cs="Arial" w:eastAsia="Arial" w:hAnsi="Arial"/>
                <w:sz w:val="18"/>
                <w:szCs w:val="18"/>
                <w:color w:val="auto"/>
              </w:rPr>
              <w:t>Officer’s Certification and Opinion of Counsel to Be Given to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80" w:type="dxa"/>
            <w:vAlign w:val="bottom"/>
          </w:tcPr>
          <w:p>
            <w:pPr>
              <w:spacing w:after="0"/>
              <w:rPr>
                <w:sz w:val="24"/>
                <w:szCs w:val="24"/>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rPr>
              <w:t>ARTICLE XII</w:t>
            </w:r>
          </w:p>
        </w:tc>
        <w:tc>
          <w:tcPr>
            <w:tcW w:w="3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5"/>
              </w:rPr>
              <w:t>IMMUNITY OF INCORPORATORS, STOCKHOLDERS, OFFICERS AND DIRECTORS</w:t>
            </w:r>
          </w:p>
        </w:tc>
        <w:tc>
          <w:tcPr>
            <w:tcW w:w="380" w:type="dxa"/>
            <w:vAlign w:val="bottom"/>
          </w:tcPr>
          <w:p>
            <w:pPr>
              <w:spacing w:after="0"/>
              <w:rPr>
                <w:sz w:val="20"/>
                <w:szCs w:val="20"/>
                <w:color w:val="auto"/>
              </w:rPr>
            </w:pPr>
          </w:p>
        </w:tc>
      </w:tr>
      <w:tr>
        <w:trPr>
          <w:trHeight w:val="337"/>
        </w:trPr>
        <w:tc>
          <w:tcPr>
            <w:tcW w:w="1080" w:type="dxa"/>
            <w:vAlign w:val="bottom"/>
          </w:tcPr>
          <w:p>
            <w:pPr>
              <w:spacing w:after="0"/>
              <w:rPr>
                <w:sz w:val="20"/>
                <w:szCs w:val="20"/>
                <w:color w:val="auto"/>
              </w:rPr>
            </w:pPr>
            <w:r>
              <w:rPr>
                <w:rFonts w:ascii="Arial" w:cs="Arial" w:eastAsia="Arial" w:hAnsi="Arial"/>
                <w:sz w:val="18"/>
                <w:szCs w:val="18"/>
                <w:color w:val="auto"/>
                <w:w w:val="96"/>
              </w:rPr>
              <w:t>Section 12.01</w:t>
            </w:r>
          </w:p>
        </w:tc>
        <w:tc>
          <w:tcPr>
            <w:tcW w:w="9500" w:type="dxa"/>
            <w:vAlign w:val="bottom"/>
          </w:tcPr>
          <w:p>
            <w:pPr>
              <w:ind w:left="100"/>
              <w:spacing w:after="0"/>
              <w:rPr>
                <w:sz w:val="20"/>
                <w:szCs w:val="20"/>
                <w:color w:val="auto"/>
              </w:rPr>
            </w:pPr>
            <w:r>
              <w:rPr>
                <w:rFonts w:ascii="Arial" w:cs="Arial" w:eastAsia="Arial" w:hAnsi="Arial"/>
                <w:sz w:val="18"/>
                <w:szCs w:val="18"/>
                <w:color w:val="auto"/>
              </w:rPr>
              <w:t>Indenture and Notes Solely Corporate Obligations</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080" w:type="dxa"/>
            <w:vAlign w:val="bottom"/>
          </w:tcPr>
          <w:p>
            <w:pPr>
              <w:spacing w:after="0"/>
              <w:rPr>
                <w:sz w:val="24"/>
                <w:szCs w:val="24"/>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rPr>
              <w:t>ARTICLE XIII</w:t>
            </w:r>
          </w:p>
        </w:tc>
        <w:tc>
          <w:tcPr>
            <w:tcW w:w="3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4"/>
              </w:rPr>
              <w:t>CONVERSION OF NOTES</w:t>
            </w:r>
          </w:p>
        </w:tc>
        <w:tc>
          <w:tcPr>
            <w:tcW w:w="380" w:type="dxa"/>
            <w:vAlign w:val="bottom"/>
          </w:tcPr>
          <w:p>
            <w:pPr>
              <w:spacing w:after="0"/>
              <w:rPr>
                <w:sz w:val="20"/>
                <w:szCs w:val="20"/>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w w:val="96"/>
              </w:rPr>
              <w:t>Section 13.01</w:t>
            </w:r>
          </w:p>
        </w:tc>
        <w:tc>
          <w:tcPr>
            <w:tcW w:w="9500" w:type="dxa"/>
            <w:vAlign w:val="bottom"/>
          </w:tcPr>
          <w:p>
            <w:pPr>
              <w:ind w:left="100"/>
              <w:spacing w:after="0"/>
              <w:rPr>
                <w:sz w:val="20"/>
                <w:szCs w:val="20"/>
                <w:color w:val="auto"/>
              </w:rPr>
            </w:pPr>
            <w:r>
              <w:rPr>
                <w:rFonts w:ascii="Arial" w:cs="Arial" w:eastAsia="Arial" w:hAnsi="Arial"/>
                <w:sz w:val="18"/>
                <w:szCs w:val="18"/>
                <w:color w:val="auto"/>
              </w:rPr>
              <w:t>Conversion Privilege</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13.02</w:t>
            </w:r>
          </w:p>
        </w:tc>
        <w:tc>
          <w:tcPr>
            <w:tcW w:w="9500" w:type="dxa"/>
            <w:vAlign w:val="bottom"/>
          </w:tcPr>
          <w:p>
            <w:pPr>
              <w:ind w:left="100"/>
              <w:spacing w:after="0"/>
              <w:rPr>
                <w:sz w:val="20"/>
                <w:szCs w:val="20"/>
                <w:color w:val="auto"/>
              </w:rPr>
            </w:pPr>
            <w:r>
              <w:rPr>
                <w:rFonts w:ascii="Arial" w:cs="Arial" w:eastAsia="Arial" w:hAnsi="Arial"/>
                <w:sz w:val="18"/>
                <w:szCs w:val="18"/>
                <w:color w:val="auto"/>
              </w:rPr>
              <w:t>Conversion Procedure; Settlement Upon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13.03</w:t>
            </w:r>
          </w:p>
        </w:tc>
        <w:tc>
          <w:tcPr>
            <w:tcW w:w="9500" w:type="dxa"/>
            <w:vAlign w:val="bottom"/>
          </w:tcPr>
          <w:p>
            <w:pPr>
              <w:ind w:left="100"/>
              <w:spacing w:after="0"/>
              <w:rPr>
                <w:sz w:val="20"/>
                <w:szCs w:val="20"/>
                <w:color w:val="auto"/>
              </w:rPr>
            </w:pPr>
            <w:r>
              <w:rPr>
                <w:rFonts w:ascii="Arial" w:cs="Arial" w:eastAsia="Arial" w:hAnsi="Arial"/>
                <w:sz w:val="18"/>
                <w:szCs w:val="18"/>
                <w:color w:val="auto"/>
                <w:w w:val="92"/>
              </w:rPr>
              <w:t>Increased Conversion Rate Applicable to Certain Notes Surrendered in Connection with Make-Whole Fundamental Changes or</w:t>
            </w:r>
          </w:p>
        </w:tc>
        <w:tc>
          <w:tcPr>
            <w:tcW w:w="3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rPr>
              <w:t>During a Redemption Period</w:t>
            </w: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13.04</w:t>
            </w:r>
          </w:p>
        </w:tc>
        <w:tc>
          <w:tcPr>
            <w:tcW w:w="9500" w:type="dxa"/>
            <w:vAlign w:val="bottom"/>
          </w:tcPr>
          <w:p>
            <w:pPr>
              <w:ind w:left="100"/>
              <w:spacing w:after="0"/>
              <w:rPr>
                <w:sz w:val="20"/>
                <w:szCs w:val="20"/>
                <w:color w:val="auto"/>
              </w:rPr>
            </w:pPr>
            <w:r>
              <w:rPr>
                <w:rFonts w:ascii="Arial" w:cs="Arial" w:eastAsia="Arial" w:hAnsi="Arial"/>
                <w:sz w:val="18"/>
                <w:szCs w:val="18"/>
                <w:color w:val="auto"/>
              </w:rPr>
              <w:t>Adjustment of Conversion Rate</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13.05</w:t>
            </w:r>
          </w:p>
        </w:tc>
        <w:tc>
          <w:tcPr>
            <w:tcW w:w="9500" w:type="dxa"/>
            <w:vAlign w:val="bottom"/>
          </w:tcPr>
          <w:p>
            <w:pPr>
              <w:ind w:left="100"/>
              <w:spacing w:after="0"/>
              <w:rPr>
                <w:sz w:val="20"/>
                <w:szCs w:val="20"/>
                <w:color w:val="auto"/>
              </w:rPr>
            </w:pPr>
            <w:r>
              <w:rPr>
                <w:rFonts w:ascii="Arial" w:cs="Arial" w:eastAsia="Arial" w:hAnsi="Arial"/>
                <w:sz w:val="18"/>
                <w:szCs w:val="18"/>
                <w:color w:val="auto"/>
              </w:rPr>
              <w:t>Adjustments of Prices</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13.06</w:t>
            </w:r>
          </w:p>
        </w:tc>
        <w:tc>
          <w:tcPr>
            <w:tcW w:w="9500" w:type="dxa"/>
            <w:vAlign w:val="bottom"/>
          </w:tcPr>
          <w:p>
            <w:pPr>
              <w:ind w:left="100"/>
              <w:spacing w:after="0"/>
              <w:rPr>
                <w:sz w:val="20"/>
                <w:szCs w:val="20"/>
                <w:color w:val="auto"/>
              </w:rPr>
            </w:pPr>
            <w:r>
              <w:rPr>
                <w:rFonts w:ascii="Arial" w:cs="Arial" w:eastAsia="Arial" w:hAnsi="Arial"/>
                <w:sz w:val="18"/>
                <w:szCs w:val="18"/>
                <w:color w:val="auto"/>
              </w:rPr>
              <w:t>Shares to Be Fully Paid</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13.07</w:t>
            </w:r>
          </w:p>
        </w:tc>
        <w:tc>
          <w:tcPr>
            <w:tcW w:w="9500" w:type="dxa"/>
            <w:vAlign w:val="bottom"/>
          </w:tcPr>
          <w:p>
            <w:pPr>
              <w:ind w:left="100"/>
              <w:spacing w:after="0"/>
              <w:rPr>
                <w:sz w:val="20"/>
                <w:szCs w:val="20"/>
                <w:color w:val="auto"/>
              </w:rPr>
            </w:pPr>
            <w:r>
              <w:rPr>
                <w:rFonts w:ascii="Arial" w:cs="Arial" w:eastAsia="Arial" w:hAnsi="Arial"/>
                <w:sz w:val="18"/>
                <w:szCs w:val="18"/>
                <w:color w:val="auto"/>
              </w:rPr>
              <w:t>Effect of Recapitalizations, Reclassifications, and Changes of the Common Stock</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13.08</w:t>
            </w:r>
          </w:p>
        </w:tc>
        <w:tc>
          <w:tcPr>
            <w:tcW w:w="9500" w:type="dxa"/>
            <w:vAlign w:val="bottom"/>
          </w:tcPr>
          <w:p>
            <w:pPr>
              <w:ind w:left="100"/>
              <w:spacing w:after="0"/>
              <w:rPr>
                <w:sz w:val="20"/>
                <w:szCs w:val="20"/>
                <w:color w:val="auto"/>
              </w:rPr>
            </w:pPr>
            <w:r>
              <w:rPr>
                <w:rFonts w:ascii="Arial" w:cs="Arial" w:eastAsia="Arial" w:hAnsi="Arial"/>
                <w:sz w:val="18"/>
                <w:szCs w:val="18"/>
                <w:color w:val="auto"/>
              </w:rPr>
              <w:t>Certain Covenants</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13.09</w:t>
            </w:r>
          </w:p>
        </w:tc>
        <w:tc>
          <w:tcPr>
            <w:tcW w:w="9500" w:type="dxa"/>
            <w:vAlign w:val="bottom"/>
          </w:tcPr>
          <w:p>
            <w:pPr>
              <w:ind w:left="100"/>
              <w:spacing w:after="0"/>
              <w:rPr>
                <w:sz w:val="20"/>
                <w:szCs w:val="20"/>
                <w:color w:val="auto"/>
              </w:rPr>
            </w:pPr>
            <w:r>
              <w:rPr>
                <w:rFonts w:ascii="Arial" w:cs="Arial" w:eastAsia="Arial" w:hAnsi="Arial"/>
                <w:sz w:val="18"/>
                <w:szCs w:val="18"/>
                <w:color w:val="auto"/>
              </w:rPr>
              <w:t>Responsibility of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13.10</w:t>
            </w:r>
          </w:p>
        </w:tc>
        <w:tc>
          <w:tcPr>
            <w:tcW w:w="9500" w:type="dxa"/>
            <w:vAlign w:val="bottom"/>
          </w:tcPr>
          <w:p>
            <w:pPr>
              <w:ind w:left="100"/>
              <w:spacing w:after="0"/>
              <w:rPr>
                <w:sz w:val="20"/>
                <w:szCs w:val="20"/>
                <w:color w:val="auto"/>
              </w:rPr>
            </w:pPr>
            <w:r>
              <w:rPr>
                <w:rFonts w:ascii="Arial" w:cs="Arial" w:eastAsia="Arial" w:hAnsi="Arial"/>
                <w:sz w:val="18"/>
                <w:szCs w:val="18"/>
                <w:color w:val="auto"/>
              </w:rPr>
              <w:t>Notice to Holders Prior to Certain Actions</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13.11</w:t>
            </w:r>
          </w:p>
        </w:tc>
        <w:tc>
          <w:tcPr>
            <w:tcW w:w="9500" w:type="dxa"/>
            <w:vAlign w:val="bottom"/>
          </w:tcPr>
          <w:p>
            <w:pPr>
              <w:ind w:left="100"/>
              <w:spacing w:after="0"/>
              <w:rPr>
                <w:sz w:val="20"/>
                <w:szCs w:val="20"/>
                <w:color w:val="auto"/>
              </w:rPr>
            </w:pPr>
            <w:r>
              <w:rPr>
                <w:rFonts w:ascii="Arial" w:cs="Arial" w:eastAsia="Arial" w:hAnsi="Arial"/>
                <w:sz w:val="18"/>
                <w:szCs w:val="18"/>
                <w:color w:val="auto"/>
              </w:rPr>
              <w:t>Stockholder Rights Plans</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13.12</w:t>
            </w:r>
          </w:p>
        </w:tc>
        <w:tc>
          <w:tcPr>
            <w:tcW w:w="9500" w:type="dxa"/>
            <w:vAlign w:val="bottom"/>
          </w:tcPr>
          <w:p>
            <w:pPr>
              <w:ind w:left="100"/>
              <w:spacing w:after="0"/>
              <w:rPr>
                <w:sz w:val="20"/>
                <w:szCs w:val="20"/>
                <w:color w:val="auto"/>
              </w:rPr>
            </w:pPr>
            <w:r>
              <w:rPr>
                <w:rFonts w:ascii="Arial" w:cs="Arial" w:eastAsia="Arial" w:hAnsi="Arial"/>
                <w:sz w:val="18"/>
                <w:szCs w:val="18"/>
                <w:color w:val="auto"/>
              </w:rPr>
              <w:t>Limit on Issuance of Shares of Common Stock Upon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13.13</w:t>
            </w:r>
          </w:p>
        </w:tc>
        <w:tc>
          <w:tcPr>
            <w:tcW w:w="9500" w:type="dxa"/>
            <w:vAlign w:val="bottom"/>
          </w:tcPr>
          <w:p>
            <w:pPr>
              <w:ind w:left="100"/>
              <w:spacing w:after="0"/>
              <w:rPr>
                <w:sz w:val="20"/>
                <w:szCs w:val="20"/>
                <w:color w:val="auto"/>
              </w:rPr>
            </w:pPr>
            <w:r>
              <w:rPr>
                <w:rFonts w:ascii="Arial" w:cs="Arial" w:eastAsia="Arial" w:hAnsi="Arial"/>
                <w:sz w:val="18"/>
                <w:szCs w:val="18"/>
                <w:color w:val="auto"/>
              </w:rPr>
              <w:t>Exchange in Lieu of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080" w:type="dxa"/>
            <w:vAlign w:val="bottom"/>
          </w:tcPr>
          <w:p>
            <w:pPr>
              <w:spacing w:after="0"/>
              <w:rPr>
                <w:sz w:val="24"/>
                <w:szCs w:val="24"/>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rPr>
              <w:t>ARTICLE XIV</w:t>
            </w:r>
          </w:p>
        </w:tc>
        <w:tc>
          <w:tcPr>
            <w:tcW w:w="3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4"/>
              </w:rPr>
              <w:t>REPURCHASE OF NOTES AT OPTION OF HOLDERS</w:t>
            </w:r>
          </w:p>
        </w:tc>
        <w:tc>
          <w:tcPr>
            <w:tcW w:w="380" w:type="dxa"/>
            <w:vAlign w:val="bottom"/>
          </w:tcPr>
          <w:p>
            <w:pPr>
              <w:spacing w:after="0"/>
              <w:rPr>
                <w:sz w:val="20"/>
                <w:szCs w:val="20"/>
                <w:color w:val="auto"/>
              </w:rPr>
            </w:pP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w w:val="96"/>
              </w:rPr>
              <w:t>Section 14.01</w:t>
            </w:r>
          </w:p>
        </w:tc>
        <w:tc>
          <w:tcPr>
            <w:tcW w:w="95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65"/>
        </w:trPr>
        <w:tc>
          <w:tcPr>
            <w:tcW w:w="1080" w:type="dxa"/>
            <w:vAlign w:val="bottom"/>
          </w:tcPr>
          <w:p>
            <w:pPr>
              <w:spacing w:after="0"/>
              <w:rPr>
                <w:sz w:val="24"/>
                <w:szCs w:val="24"/>
                <w:color w:val="auto"/>
              </w:rPr>
            </w:pPr>
          </w:p>
        </w:tc>
        <w:tc>
          <w:tcPr>
            <w:tcW w:w="9500" w:type="dxa"/>
            <w:vAlign w:val="bottom"/>
          </w:tcPr>
          <w:p>
            <w:pPr>
              <w:ind w:left="4340"/>
              <w:spacing w:after="0"/>
              <w:rPr>
                <w:sz w:val="20"/>
                <w:szCs w:val="20"/>
                <w:color w:val="auto"/>
              </w:rPr>
            </w:pPr>
            <w:r>
              <w:rPr>
                <w:rFonts w:ascii="Arial" w:cs="Arial" w:eastAsia="Arial" w:hAnsi="Arial"/>
                <w:sz w:val="18"/>
                <w:szCs w:val="18"/>
                <w:color w:val="auto"/>
              </w:rPr>
              <w:t>iii</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14.02  Repurchase at Option of Holders Upon a Fundamental Change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59</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14.03  Withdrawal of Fundamental Change Repurchase Notice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14.04  Deposit of Fundamental Change Repurchase Price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62</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14.05  Covenant to Comply with Applicable Laws Upon Repurchase of Notes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63</w:t>
            </w:r>
          </w:p>
        </w:tc>
      </w:tr>
      <w:tr>
        <w:trPr>
          <w:trHeight w:val="310"/>
        </w:trPr>
        <w:tc>
          <w:tcPr>
            <w:tcW w:w="1060" w:type="dxa"/>
            <w:vAlign w:val="bottom"/>
          </w:tcPr>
          <w:p>
            <w:pPr>
              <w:spacing w:after="0"/>
              <w:rPr>
                <w:sz w:val="24"/>
                <w:szCs w:val="24"/>
                <w:color w:val="auto"/>
              </w:rPr>
            </w:pPr>
          </w:p>
        </w:tc>
        <w:tc>
          <w:tcPr>
            <w:tcW w:w="8520" w:type="dxa"/>
            <w:vAlign w:val="bottom"/>
          </w:tcPr>
          <w:p>
            <w:pPr>
              <w:jc w:val="center"/>
              <w:ind w:left="230"/>
              <w:spacing w:after="0"/>
              <w:rPr>
                <w:sz w:val="20"/>
                <w:szCs w:val="20"/>
                <w:color w:val="auto"/>
              </w:rPr>
            </w:pPr>
            <w:r>
              <w:rPr>
                <w:rFonts w:ascii="Arial" w:cs="Arial" w:eastAsia="Arial" w:hAnsi="Arial"/>
                <w:sz w:val="18"/>
                <w:szCs w:val="18"/>
                <w:color w:val="auto"/>
                <w:w w:val="98"/>
              </w:rPr>
              <w:t>ARTICLE XV</w:t>
            </w:r>
          </w:p>
        </w:tc>
        <w:tc>
          <w:tcPr>
            <w:tcW w:w="14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20" w:type="dxa"/>
            <w:vAlign w:val="bottom"/>
          </w:tcPr>
          <w:p>
            <w:pPr>
              <w:jc w:val="center"/>
              <w:ind w:left="210"/>
              <w:spacing w:after="0"/>
              <w:rPr>
                <w:sz w:val="20"/>
                <w:szCs w:val="20"/>
                <w:color w:val="auto"/>
              </w:rPr>
            </w:pPr>
            <w:r>
              <w:rPr>
                <w:rFonts w:ascii="Arial" w:cs="Arial" w:eastAsia="Arial" w:hAnsi="Arial"/>
                <w:sz w:val="18"/>
                <w:szCs w:val="18"/>
                <w:color w:val="auto"/>
                <w:w w:val="97"/>
              </w:rPr>
              <w:t>OPTIONAL REDEMPTION</w:t>
            </w:r>
          </w:p>
        </w:tc>
        <w:tc>
          <w:tcPr>
            <w:tcW w:w="1440" w:type="dxa"/>
            <w:vAlign w:val="bottom"/>
          </w:tcPr>
          <w:p>
            <w:pPr>
              <w:spacing w:after="0"/>
              <w:rPr>
                <w:sz w:val="20"/>
                <w:szCs w:val="20"/>
                <w:color w:val="auto"/>
              </w:rPr>
            </w:pPr>
          </w:p>
        </w:tc>
      </w:tr>
      <w:tr>
        <w:trPr>
          <w:trHeight w:val="323"/>
        </w:trPr>
        <w:tc>
          <w:tcPr>
            <w:tcW w:w="1060" w:type="dxa"/>
            <w:vAlign w:val="bottom"/>
          </w:tcPr>
          <w:p>
            <w:pPr>
              <w:spacing w:after="0"/>
              <w:rPr>
                <w:sz w:val="20"/>
                <w:szCs w:val="20"/>
                <w:color w:val="auto"/>
              </w:rPr>
            </w:pPr>
            <w:r>
              <w:rPr>
                <w:rFonts w:ascii="Arial" w:cs="Arial" w:eastAsia="Arial" w:hAnsi="Arial"/>
                <w:sz w:val="18"/>
                <w:szCs w:val="18"/>
                <w:color w:val="auto"/>
                <w:w w:val="94"/>
              </w:rPr>
              <w:t>Section 15.01</w:t>
            </w:r>
          </w:p>
        </w:tc>
        <w:tc>
          <w:tcPr>
            <w:tcW w:w="8520" w:type="dxa"/>
            <w:vAlign w:val="bottom"/>
          </w:tcPr>
          <w:p>
            <w:pPr>
              <w:ind w:left="120"/>
              <w:spacing w:after="0"/>
              <w:rPr>
                <w:sz w:val="20"/>
                <w:szCs w:val="20"/>
                <w:color w:val="auto"/>
              </w:rPr>
            </w:pPr>
            <w:r>
              <w:rPr>
                <w:rFonts w:ascii="Arial" w:cs="Arial" w:eastAsia="Arial" w:hAnsi="Arial"/>
                <w:sz w:val="18"/>
                <w:szCs w:val="18"/>
                <w:color w:val="auto"/>
              </w:rPr>
              <w:t>Optional Redemption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63</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15.02  Notice of Optional Redemption; Selection of Notes.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63</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15.03  Payment of Notes Called for Optional Redemption.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64</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Section 15.04  Restrictions on Redemption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64</w:t>
            </w:r>
          </w:p>
        </w:tc>
      </w:tr>
      <w:tr>
        <w:trPr>
          <w:trHeight w:val="310"/>
        </w:trPr>
        <w:tc>
          <w:tcPr>
            <w:tcW w:w="1060" w:type="dxa"/>
            <w:vAlign w:val="bottom"/>
          </w:tcPr>
          <w:p>
            <w:pPr>
              <w:spacing w:after="0"/>
              <w:rPr>
                <w:sz w:val="24"/>
                <w:szCs w:val="24"/>
                <w:color w:val="auto"/>
              </w:rPr>
            </w:pPr>
          </w:p>
        </w:tc>
        <w:tc>
          <w:tcPr>
            <w:tcW w:w="8520" w:type="dxa"/>
            <w:vAlign w:val="bottom"/>
          </w:tcPr>
          <w:p>
            <w:pPr>
              <w:jc w:val="center"/>
              <w:ind w:left="230"/>
              <w:spacing w:after="0"/>
              <w:rPr>
                <w:sz w:val="20"/>
                <w:szCs w:val="20"/>
                <w:color w:val="auto"/>
              </w:rPr>
            </w:pPr>
            <w:r>
              <w:rPr>
                <w:rFonts w:ascii="Arial" w:cs="Arial" w:eastAsia="Arial" w:hAnsi="Arial"/>
                <w:sz w:val="18"/>
                <w:szCs w:val="18"/>
                <w:color w:val="auto"/>
              </w:rPr>
              <w:t>ARTICLE XVI</w:t>
            </w:r>
          </w:p>
        </w:tc>
        <w:tc>
          <w:tcPr>
            <w:tcW w:w="14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20" w:type="dxa"/>
            <w:vAlign w:val="bottom"/>
          </w:tcPr>
          <w:p>
            <w:pPr>
              <w:jc w:val="center"/>
              <w:ind w:left="230"/>
              <w:spacing w:after="0"/>
              <w:rPr>
                <w:sz w:val="20"/>
                <w:szCs w:val="20"/>
                <w:color w:val="auto"/>
              </w:rPr>
            </w:pPr>
            <w:r>
              <w:rPr>
                <w:rFonts w:ascii="Arial" w:cs="Arial" w:eastAsia="Arial" w:hAnsi="Arial"/>
                <w:sz w:val="18"/>
                <w:szCs w:val="18"/>
                <w:color w:val="auto"/>
                <w:w w:val="96"/>
              </w:rPr>
              <w:t>MISCELLANEOUS PROVISIONS</w:t>
            </w:r>
          </w:p>
        </w:tc>
        <w:tc>
          <w:tcPr>
            <w:tcW w:w="1440" w:type="dxa"/>
            <w:vAlign w:val="bottom"/>
          </w:tcPr>
          <w:p>
            <w:pPr>
              <w:spacing w:after="0"/>
              <w:rPr>
                <w:sz w:val="20"/>
                <w:szCs w:val="20"/>
                <w:color w:val="auto"/>
              </w:rPr>
            </w:pPr>
          </w:p>
        </w:tc>
      </w:tr>
      <w:tr>
        <w:trPr>
          <w:trHeight w:val="323"/>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16.01  Provisions Binding on Company’s Successors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16.02  Official Acts by Successor Corporation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16.03  Addresses for Notices, Etc</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16.04  Governing Law; Jurisdiction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16.05  Evidence of Compliance with Conditions Precedent; Certificates and Opinions of Counsel to Trustee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16.06</w:t>
            </w:r>
          </w:p>
        </w:tc>
        <w:tc>
          <w:tcPr>
            <w:tcW w:w="8520" w:type="dxa"/>
            <w:vAlign w:val="bottom"/>
          </w:tcPr>
          <w:p>
            <w:pPr>
              <w:ind w:left="120"/>
              <w:spacing w:after="0"/>
              <w:rPr>
                <w:sz w:val="20"/>
                <w:szCs w:val="20"/>
                <w:color w:val="auto"/>
              </w:rPr>
            </w:pPr>
            <w:r>
              <w:rPr>
                <w:rFonts w:ascii="Arial" w:cs="Arial" w:eastAsia="Arial" w:hAnsi="Arial"/>
                <w:sz w:val="18"/>
                <w:szCs w:val="18"/>
                <w:color w:val="auto"/>
              </w:rPr>
              <w:t>Legal Holidays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16.07  No Security Interest Created</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16.08  Benefits of Indenture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16.09  Table of Contents, Headings, Etc</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16.10</w:t>
            </w:r>
          </w:p>
        </w:tc>
        <w:tc>
          <w:tcPr>
            <w:tcW w:w="8520" w:type="dxa"/>
            <w:vAlign w:val="bottom"/>
          </w:tcPr>
          <w:p>
            <w:pPr>
              <w:ind w:left="120"/>
              <w:spacing w:after="0"/>
              <w:rPr>
                <w:sz w:val="20"/>
                <w:szCs w:val="20"/>
                <w:color w:val="auto"/>
              </w:rPr>
            </w:pPr>
            <w:r>
              <w:rPr>
                <w:rFonts w:ascii="Arial" w:cs="Arial" w:eastAsia="Arial" w:hAnsi="Arial"/>
                <w:sz w:val="18"/>
                <w:szCs w:val="18"/>
                <w:color w:val="auto"/>
              </w:rPr>
              <w:t>Authenticating Agent</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16.11  Execution in Counterparts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16.12</w:t>
            </w:r>
          </w:p>
        </w:tc>
        <w:tc>
          <w:tcPr>
            <w:tcW w:w="85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67</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16.13  Waiver of Jury Trial</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16.14</w:t>
            </w:r>
          </w:p>
        </w:tc>
        <w:tc>
          <w:tcPr>
            <w:tcW w:w="852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16.15</w:t>
            </w:r>
          </w:p>
        </w:tc>
        <w:tc>
          <w:tcPr>
            <w:tcW w:w="8520" w:type="dxa"/>
            <w:vAlign w:val="bottom"/>
          </w:tcPr>
          <w:p>
            <w:pPr>
              <w:ind w:left="120"/>
              <w:spacing w:after="0"/>
              <w:rPr>
                <w:sz w:val="20"/>
                <w:szCs w:val="20"/>
                <w:color w:val="auto"/>
              </w:rPr>
            </w:pPr>
            <w:r>
              <w:rPr>
                <w:rFonts w:ascii="Arial" w:cs="Arial" w:eastAsia="Arial" w:hAnsi="Arial"/>
                <w:sz w:val="18"/>
                <w:szCs w:val="18"/>
                <w:color w:val="auto"/>
              </w:rPr>
              <w:t>Calculations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16.16  No Adverse Interpretation of Other Agreements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16.17  U.S.A. Patriot Act</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648"/>
        </w:trPr>
        <w:tc>
          <w:tcPr>
            <w:tcW w:w="1060" w:type="dxa"/>
            <w:vAlign w:val="bottom"/>
          </w:tcPr>
          <w:p>
            <w:pPr>
              <w:spacing w:after="0"/>
              <w:rPr>
                <w:sz w:val="24"/>
                <w:szCs w:val="24"/>
                <w:color w:val="auto"/>
              </w:rPr>
            </w:pPr>
          </w:p>
        </w:tc>
        <w:tc>
          <w:tcPr>
            <w:tcW w:w="8520" w:type="dxa"/>
            <w:vAlign w:val="bottom"/>
          </w:tcPr>
          <w:p>
            <w:pPr>
              <w:ind w:left="4060"/>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24"/>
                <w:szCs w:val="24"/>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18"/>
                <w:szCs w:val="18"/>
                <w:color w:val="auto"/>
              </w:rPr>
              <w:t>Exhibit A</w:t>
            </w:r>
          </w:p>
        </w:tc>
        <w:tc>
          <w:tcPr>
            <w:tcW w:w="8520" w:type="dxa"/>
            <w:vAlign w:val="bottom"/>
          </w:tcPr>
          <w:p>
            <w:pPr>
              <w:ind w:left="60"/>
              <w:spacing w:after="0"/>
              <w:rPr>
                <w:sz w:val="20"/>
                <w:szCs w:val="20"/>
                <w:color w:val="auto"/>
              </w:rPr>
            </w:pPr>
            <w:r>
              <w:rPr>
                <w:rFonts w:ascii="Arial" w:cs="Arial" w:eastAsia="Arial" w:hAnsi="Arial"/>
                <w:sz w:val="18"/>
                <w:szCs w:val="18"/>
                <w:color w:val="auto"/>
              </w:rPr>
              <w:t>Form of Note</w:t>
            </w:r>
          </w:p>
        </w:tc>
        <w:tc>
          <w:tcPr>
            <w:tcW w:w="1440" w:type="dxa"/>
            <w:vAlign w:val="bottom"/>
          </w:tcPr>
          <w:p>
            <w:pPr>
              <w:jc w:val="center"/>
              <w:ind w:left="1070"/>
              <w:spacing w:after="0"/>
              <w:rPr>
                <w:sz w:val="20"/>
                <w:szCs w:val="20"/>
                <w:color w:val="auto"/>
              </w:rPr>
            </w:pPr>
            <w:r>
              <w:rPr>
                <w:rFonts w:ascii="Arial" w:cs="Arial" w:eastAsia="Arial" w:hAnsi="Arial"/>
                <w:sz w:val="18"/>
                <w:szCs w:val="18"/>
                <w:color w:val="auto"/>
                <w:w w:val="99"/>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4" w:right="439" w:bottom="1440" w:gutter="0" w:footer="0" w:header="0"/>
        </w:sectPr>
      </w:pPr>
    </w:p>
    <w:bookmarkStart w:id="12" w:name="page13"/>
    <w:bookmarkEnd w:id="12"/>
    <w:p>
      <w:pPr>
        <w:ind w:right="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February 26, 2021, between DROPBOX,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 Section 1.01) and U.S. BANK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issuance of its 0% Convertible Senior Notes due 2026 (the “</w:t>
      </w:r>
      <w:r>
        <w:rPr>
          <w:rFonts w:ascii="Arial" w:cs="Arial" w:eastAsia="Arial" w:hAnsi="Arial"/>
          <w:sz w:val="17"/>
          <w:szCs w:val="17"/>
          <w:b w:val="1"/>
          <w:bCs w:val="1"/>
          <w:color w:val="auto"/>
        </w:rPr>
        <w:t>Notes</w:t>
      </w:r>
      <w:r>
        <w:rPr>
          <w:rFonts w:ascii="Arial" w:cs="Arial" w:eastAsia="Arial" w:hAnsi="Arial"/>
          <w:sz w:val="17"/>
          <w:szCs w:val="17"/>
          <w:color w:val="auto"/>
        </w:rPr>
        <w:t>”), in an aggregate principal amount of $653,000,000, and in order to provide the terms and conditions upon which the Notes are to be authenticated, issued and delivered, the Company has duly authorized the execution and delivery of this Indenture; and</w:t>
      </w:r>
    </w:p>
    <w:p>
      <w:pPr>
        <w:spacing w:after="0" w:line="165" w:lineRule="exact"/>
        <w:rPr>
          <w:sz w:val="20"/>
          <w:szCs w:val="20"/>
          <w:color w:val="auto"/>
        </w:rPr>
      </w:pPr>
    </w:p>
    <w:p>
      <w:pPr>
        <w:jc w:val="both"/>
        <w:ind w:right="640" w:firstLine="440"/>
        <w:spacing w:after="0" w:line="263" w:lineRule="auto"/>
        <w:rPr>
          <w:sz w:val="20"/>
          <w:szCs w:val="20"/>
          <w:color w:val="auto"/>
        </w:rPr>
      </w:pPr>
      <w:r>
        <w:rPr>
          <w:rFonts w:ascii="Arial" w:cs="Arial" w:eastAsia="Arial" w:hAnsi="Arial"/>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Interest</w:t>
      </w:r>
      <w:r>
        <w:rPr>
          <w:rFonts w:ascii="Arial" w:cs="Arial" w:eastAsia="Arial" w:hAnsi="Arial"/>
          <w:sz w:val="17"/>
          <w:szCs w:val="17"/>
          <w:color w:val="auto"/>
        </w:rPr>
        <w:t>” means all amounts, if any, payable pursuant to Section 4.06(d), Section 4.06(e) and Section 6.03, as applicable.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have the meaning specified in Section 13.03(b).</w:t>
      </w:r>
    </w:p>
    <w:p>
      <w:pPr>
        <w:spacing w:after="0" w:line="225"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6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means the Company or the Person appointed by the Company to solicit bids for the Trading Price of the Notes in accordance with Section 13.01(b)(i). The Company shall initially act as the Bid Solicitation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13" w:name="page14"/>
    <w:bookmarkEnd w:id="1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 or a committee of such board duly authorized to act for it hereunder.</w:t>
      </w:r>
    </w:p>
    <w:p>
      <w:pPr>
        <w:spacing w:after="0" w:line="237"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0"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Note, any day other than a Saturday, a Sunday, or a day on which the Federal Reserve Bank of New York is authorized or required by law or executive order to close or be closed, except that, solely for purposes of the provision described in</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Section 16.06, a day on which the applicable place of payment is authorized or required by law or executive order to close or be closed shall be deemed not to be a “Business Day”.</w:t>
      </w:r>
    </w:p>
    <w:p>
      <w:pPr>
        <w:spacing w:after="0" w:line="18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Percentage</w:t>
      </w:r>
      <w:r>
        <w:rPr>
          <w:rFonts w:ascii="Arial" w:cs="Arial" w:eastAsia="Arial" w:hAnsi="Arial"/>
          <w:sz w:val="18"/>
          <w:szCs w:val="18"/>
          <w:color w:val="auto"/>
        </w:rPr>
        <w:t>” means, upon conversion of a Note, the percentage of each share of Common Stock issuable for the portion of the Conversion Obligation in excess of the principal portion of the Note being converted that will be paid in cash.</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Common Stock</w:t>
      </w:r>
      <w:r>
        <w:rPr>
          <w:rFonts w:ascii="Arial" w:cs="Arial" w:eastAsia="Arial" w:hAnsi="Arial"/>
          <w:sz w:val="17"/>
          <w:szCs w:val="17"/>
          <w:color w:val="auto"/>
        </w:rPr>
        <w:t>” means the Class B common stock of the Company, par value $0.00001 per share, at the date of this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C Common Stock</w:t>
      </w:r>
      <w:r>
        <w:rPr>
          <w:rFonts w:ascii="Arial" w:cs="Arial" w:eastAsia="Arial" w:hAnsi="Arial"/>
          <w:sz w:val="17"/>
          <w:szCs w:val="17"/>
          <w:color w:val="auto"/>
        </w:rPr>
        <w:t>” means the Class C common stock of the Company, par value $0.00001 per share, at the date of this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of the Company, par value $0.00001 per share, at the date of this Indenture, subject to Section 13.07.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Change Event</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specified in the first paragraph of this Indenture, and subject to the provisions of Article XI, shall include its successors and assigns.</w:t>
      </w:r>
    </w:p>
    <w:p>
      <w:pPr>
        <w:spacing w:after="0" w:line="162"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order of the Company, signed by the Company’s Chief Executive Officer, Chief Financial Officer, President, Executive or Senior Vice President or any Vice President (whether or not designated by a number or numbers or word or words added before or after the title “Vice President”), Treasurer or Assistant Treasurer or Secretary or any Assistant Secretary, and delivered to the Trustee.</w:t>
      </w:r>
    </w:p>
    <w:p>
      <w:pPr>
        <w:spacing w:after="0" w:line="158" w:lineRule="exact"/>
        <w:rPr>
          <w:sz w:val="20"/>
          <w:szCs w:val="20"/>
          <w:color w:val="auto"/>
        </w:rPr>
      </w:pPr>
    </w:p>
    <w:p>
      <w:pPr>
        <w:jc w:val="right"/>
        <w:ind w:right="5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Agent</w:t>
      </w:r>
      <w:r>
        <w:rPr>
          <w:rFonts w:ascii="Arial" w:cs="Arial" w:eastAsia="Arial" w:hAnsi="Arial"/>
          <w:sz w:val="17"/>
          <w:szCs w:val="17"/>
          <w:color w:val="auto"/>
        </w:rPr>
        <w:t>” shall have the meaning specified in Section 4.02.</w:t>
      </w:r>
    </w:p>
    <w:p>
      <w:pPr>
        <w:spacing w:after="0" w:line="173" w:lineRule="exact"/>
        <w:rPr>
          <w:sz w:val="20"/>
          <w:szCs w:val="20"/>
          <w:color w:val="auto"/>
        </w:rPr>
      </w:pPr>
    </w:p>
    <w:p>
      <w:pPr>
        <w:jc w:val="right"/>
        <w:ind w:right="5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13.02(c).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 shall have the meaning specified in Section 13.01(a).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time, $1,000, divided by the Conversion Rate as of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have the meaning specified in Section 13.01(a).</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designated office of the Trustee at which at any time this Indenture shall be administered, which office at the date hereof is located at U.S. Bank National Association, 1 California Street, Suite 1000, San Francisco, CA 94111 Attention: D. Jason (Dropbox, Inc. 0% Convertible Senior Notes due 2026),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83"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Trustee, as custodian for The Depository Trust Company, with respect to the Global Notes, or any successor entity appointed by the Depositary as custodian for the Global Notes.</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25 consecutive Trading Days during the Observation Period, one-twenty-fifth (1/25) of the product of (a) the Conversion Rate on such Trading Day and (b) the Daily VWAP for such Trading Day.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25 consecutive Trading Days during the Observation Period, shall consist of:</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cash in an amount equal to the lesser of (i) one-twenty-fifth (1/25) of $1,000 and (ii) the Daily Conversion Value on such Trading Day;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40" w:right="440" w:firstLine="547"/>
        <w:spacing w:after="0" w:line="530" w:lineRule="auto"/>
        <w:tabs>
          <w:tab w:leader="none" w:pos="124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the Daily Conversion Value on such Trading Day exceeds one-twenty-fifth (1/25) of $1,000, the Daily Net Settlement Amount. “</w:t>
      </w:r>
      <w:r>
        <w:rPr>
          <w:rFonts w:ascii="Arial" w:cs="Arial" w:eastAsia="Arial" w:hAnsi="Arial"/>
          <w:sz w:val="17"/>
          <w:szCs w:val="17"/>
          <w:b w:val="1"/>
          <w:bCs w:val="1"/>
          <w:color w:val="auto"/>
        </w:rPr>
        <w:t>Daily Net Settlement Amount</w:t>
      </w:r>
      <w:r>
        <w:rPr>
          <w:rFonts w:ascii="Arial" w:cs="Arial" w:eastAsia="Arial" w:hAnsi="Arial"/>
          <w:sz w:val="17"/>
          <w:szCs w:val="17"/>
          <w:color w:val="auto"/>
        </w:rPr>
        <w:t>” for each of the 25 consecutive Trading Days during the Observation Period, means:</w:t>
      </w:r>
    </w:p>
    <w:p>
      <w:pPr>
        <w:spacing w:after="0" w:line="1" w:lineRule="exact"/>
        <w:rPr>
          <w:sz w:val="20"/>
          <w:szCs w:val="20"/>
          <w:color w:val="auto"/>
        </w:rPr>
      </w:pPr>
    </w:p>
    <w:p>
      <w:pPr>
        <w:ind w:right="200" w:firstLine="987"/>
        <w:spacing w:after="0" w:line="277"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does not elect a Cash Percentage, a number of shares of Common Stock equal to (i) the difference between the Daily Conversion Value and one-twenty-fifth (1/25) of $1,000, divided by (ii) the Daily VWAP for such Trading Day;</w:t>
      </w:r>
    </w:p>
    <w:p>
      <w:pPr>
        <w:spacing w:after="0" w:line="170" w:lineRule="exact"/>
        <w:rPr>
          <w:rFonts w:ascii="Arial" w:cs="Arial" w:eastAsia="Arial" w:hAnsi="Arial"/>
          <w:sz w:val="18"/>
          <w:szCs w:val="18"/>
          <w:color w:val="auto"/>
        </w:rPr>
      </w:pPr>
    </w:p>
    <w:p>
      <w:pPr>
        <w:ind w:right="420" w:firstLine="987"/>
        <w:spacing w:after="0" w:line="277"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elects a Cash Percentage of 100% as set forth herein, cash in an amount equal to the difference between the Daily Conversion Value and one-twenty-fifth (1/25) of $1,000; or</w:t>
      </w:r>
    </w:p>
    <w:p>
      <w:pPr>
        <w:spacing w:after="0" w:line="170" w:lineRule="exact"/>
        <w:rPr>
          <w:rFonts w:ascii="Arial" w:cs="Arial" w:eastAsia="Arial" w:hAnsi="Arial"/>
          <w:sz w:val="18"/>
          <w:szCs w:val="18"/>
          <w:color w:val="auto"/>
        </w:rPr>
      </w:pPr>
    </w:p>
    <w:p>
      <w:pPr>
        <w:ind w:right="120" w:firstLine="987"/>
        <w:spacing w:after="0" w:line="259"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elects a Cash Percentage of less than 100% as set forth herein, (i) cash equal to the product of (x) the difference between the Daily Conversion Value and one-twenty-fifth (1/25) of $1,000 and (y) the Cash Percentage, plus (ii) a number of shares of Common Stock equal to the product of (x) (A) the difference between the Daily Conversion Value and one-twenty-fifth (1/25) of $1,000, divided by (B) the Daily VWAP for such Trading Day and (y) 100% minus the Cash Percentage.</w:t>
      </w:r>
    </w:p>
    <w:p>
      <w:pPr>
        <w:spacing w:after="0" w:line="183"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VWAP</w:t>
      </w:r>
      <w:r>
        <w:rPr>
          <w:rFonts w:ascii="Arial" w:cs="Arial" w:eastAsia="Arial" w:hAnsi="Arial"/>
          <w:sz w:val="18"/>
          <w:szCs w:val="18"/>
          <w:color w:val="auto"/>
        </w:rPr>
        <w:t>” means, for each of the 25 consecutive Trading Days during the relevant Observation Period, the per share volume-weighted average price as displayed under the heading “Bloomberg VWAP” on Bloomberg page “DBX &lt;equity&gt; AQR” (or its equivalent successor if such Bloomberg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Arial" w:cs="Arial" w:eastAsia="Arial" w:hAnsi="Arial"/>
          <w:sz w:val="18"/>
          <w:szCs w:val="18"/>
          <w:b w:val="1"/>
          <w:bCs w:val="1"/>
          <w:color w:val="auto"/>
        </w:rPr>
        <w:t>Daily VWAP</w:t>
      </w:r>
      <w:r>
        <w:rPr>
          <w:rFonts w:ascii="Arial" w:cs="Arial" w:eastAsia="Arial" w:hAnsi="Arial"/>
          <w:sz w:val="18"/>
          <w:szCs w:val="18"/>
          <w:color w:val="auto"/>
        </w:rPr>
        <w:t>” shall be determined without regard to after-hours trading or any other trading outside of the regular trading session trading hours.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jc w:val="both"/>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Note (including, without limitation, the Fundamental Change Repurchase Price, principal, and Special Interest) that are payable but are not punctually paid or duly provided for.</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“Depositary” shall mean or include such successor.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Institution</w:t>
      </w:r>
      <w:r>
        <w:rPr>
          <w:rFonts w:ascii="Arial" w:cs="Arial" w:eastAsia="Arial" w:hAnsi="Arial"/>
          <w:sz w:val="18"/>
          <w:szCs w:val="18"/>
          <w:color w:val="auto"/>
        </w:rPr>
        <w:t>” shall have the meaning specified in Section 13.13.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Wholly Owned Subsidiary of the Company that is a corporation organized and existing under the laws of the United States of America, any State thereof or the District of Columbia.</w:t>
      </w:r>
    </w:p>
    <w:p>
      <w:pPr>
        <w:spacing w:after="0" w:line="162"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13.03(d), except that, as used in Section 13.04 and Section 13.05,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right="3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Ex-Dividend Date</w:t>
      </w:r>
      <w:r>
        <w:rPr>
          <w:rFonts w:ascii="Arial" w:cs="Arial" w:eastAsia="Arial" w:hAnsi="Arial"/>
          <w:sz w:val="17"/>
          <w:szCs w:val="17"/>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shall mean the “Form of Assignment and Transfer” attached as Attachment 3 to the Form of Note attached hereto as Exhibit A.</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Repurchase Notice</w:t>
      </w:r>
      <w:r>
        <w:rPr>
          <w:rFonts w:ascii="Arial" w:cs="Arial" w:eastAsia="Arial" w:hAnsi="Arial"/>
          <w:sz w:val="18"/>
          <w:szCs w:val="18"/>
          <w:color w:val="auto"/>
        </w:rPr>
        <w:t>” shall mean the “Form of Fundamental Change Repurchase Notice” attached as Attachment 2 to the Form of Note attached hereto as Exhibit 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Note</w:t>
      </w:r>
      <w:r>
        <w:rPr>
          <w:rFonts w:ascii="Arial" w:cs="Arial" w:eastAsia="Arial" w:hAnsi="Arial"/>
          <w:sz w:val="18"/>
          <w:szCs w:val="18"/>
          <w:color w:val="auto"/>
        </w:rPr>
        <w:t>” shall mean the “Form of Note” attached hereto as Exhibit A.</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Notice of Conversion</w:t>
      </w:r>
      <w:r>
        <w:rPr>
          <w:rFonts w:ascii="Arial" w:cs="Arial" w:eastAsia="Arial" w:hAnsi="Arial"/>
          <w:sz w:val="18"/>
          <w:szCs w:val="18"/>
          <w:color w:val="auto"/>
        </w:rPr>
        <w:t>” shall mean the “Form of Notice of Conversion” attached as Attachment 1 to the Form of Note attached hereto as Exhibit A.</w:t>
      </w:r>
    </w:p>
    <w:p>
      <w:pPr>
        <w:spacing w:after="0" w:line="1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w:t>
      </w:r>
      <w:r>
        <w:rPr>
          <w:rFonts w:ascii="Arial" w:cs="Arial" w:eastAsia="Arial" w:hAnsi="Arial"/>
          <w:sz w:val="18"/>
          <w:szCs w:val="18"/>
          <w:color w:val="auto"/>
        </w:rPr>
        <w:t>” means, for purposes of the definition of a Fundamental Change, each of (a) Andrew W. Houston, (b) any trust, individual retirement account, or business entity (including any corporation, limited liability company, partnership, foundation, or similar entity) for which Andrew W. Houston retains sole voting and dispositive power with respect to the Class A Common Stock or Class B Common Stock held by such trust, individual retirement account, or business entity (including, without limitation, the Houston Remainder Trust dated 12/30/2010, the Andrew W. Houston Revocable Trust dated 9/7/2011, the Houston 2012 Irrevocable Children’s Trust dated 4/12/2012 and the Andrew Houston Revocable Trust u/a/d 9/7/2011), and the trustees, legal representatives, beneficiaries, and/or beneficial owners of such trust, individual retirement account, or business entity, and (c) the estate, heirs, and lineal descendants of Andrew W. Houston.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6" w:name="page17"/>
    <w:bookmarkEnd w:id="16"/>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Fundamental Change</w:t>
      </w:r>
      <w:r>
        <w:rPr>
          <w:rFonts w:ascii="Arial" w:cs="Arial" w:eastAsia="Arial" w:hAnsi="Arial"/>
          <w:sz w:val="17"/>
          <w:szCs w:val="17"/>
          <w:color w:val="auto"/>
        </w:rPr>
        <w:t>” shall be deemed to have occurred at the time after the Notes are originally issued if any of the following occurs:</w:t>
      </w:r>
    </w:p>
    <w:p>
      <w:pPr>
        <w:spacing w:after="0" w:line="241" w:lineRule="exact"/>
        <w:rPr>
          <w:sz w:val="20"/>
          <w:szCs w:val="20"/>
          <w:color w:val="auto"/>
        </w:rPr>
      </w:pPr>
    </w:p>
    <w:p>
      <w:pPr>
        <w:ind w:left="4" w:firstLine="987"/>
        <w:spacing w:after="0" w:line="285" w:lineRule="auto"/>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a “person” or “group” within the meaning of Section 13(d) of the Exchange Act, other than the Company, its direct or indirect Wholly Owned Subsidiaries, the employee benefit plans of the Company or its Wholly Owned Subsidiaries, files a Schedule TO (or any successor schedule, form, or report) or any schedule, form, or report under the Exchange Act disclosing that such person or group has become the direct or indirect “beneficial owner,” as defined in Rule 13d-3 under the Exchange Act, of the Company’s Common Stock representing more than 50% of the voting power of the Company’s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voting power of the Common Stock (or such Common Equity into which the Common Stock has been reclassified), directly or indirectly “beneficially owned,” as defined in Rule 13d-3 under the Exchange Act, by one or more Founders or “group” (that includes the Founders) will exclude (i) any shares of Common Stock (or such Common Equity into which the Common Stock has been reclassified) directly or indirectly beneficially owned by the Founders on the date hereof and (ii) any shares of Common Stock (or such Common Equity into which the Common Stock has been reclassified) directly or indirectly beneficially owned by the Founders as a result of the acquisition by any of the Founders of equity grants (or the exercise or conversion thereof) outstanding on the date hereof or subsequently granted, in each case, made under the Company’s equity incentive plans; provided further, that no person or group shall be deemed to be the beneficial owner of any securities (x) tendered pursuant to a tender or exchange offer made by or on behalf of such “person” or “group” until such tendered securities are accepted for purchase or exchange under such offer or (y) subject to a support, voting, tender or similar agreement, arrangement or understanding (with or without granting a proxy) entered into in connection with a Liquidation Event (as defined in the Company’s Restated Certificate of Incorporation, as in effect on the date hereof), provided that such Liquidation Event was approved by a majority of the Independent Directors (as defined in the Company’s Restated Certificate of Incorporation, as in effect on the date hereof) then in office until such Liquidation Event is consummated;</w:t>
      </w:r>
    </w:p>
    <w:p>
      <w:pPr>
        <w:spacing w:after="0" w:line="176" w:lineRule="exact"/>
        <w:rPr>
          <w:rFonts w:ascii="Arial" w:cs="Arial" w:eastAsia="Arial" w:hAnsi="Arial"/>
          <w:sz w:val="16"/>
          <w:szCs w:val="16"/>
          <w:color w:val="auto"/>
        </w:rPr>
      </w:pPr>
    </w:p>
    <w:p>
      <w:pPr>
        <w:ind w:left="4" w:right="40" w:firstLine="987"/>
        <w:spacing w:after="0" w:line="283" w:lineRule="auto"/>
        <w:tabs>
          <w:tab w:leader="none" w:pos="125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the Common Stock (other than changes resulting from a subdivision or combination or a change in par value, or the reclassification of the Class B Common Stock into Common Stock pursuant to the terms of the Company’s Restated Certificate of Incorporation or the reclassification of the Class C Common Stock into Common Stock pursuant to the terms of the Company’s Restated Certificate of Incorporation, including, in each case, without limitation, any amendment to the Company’s Restated Certificate of Incorporation to remove references to Class A Common Stock, Class B Common Stock or Class C Common Stock and any inoperative provision related to such class of stock or multiple class structure in connection therewith) as a result of which the Common Stock would be converted into, or exchanged for, stock, other securities, or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direct or indirect Wholly Owned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(i) a transaction described in clause (A) or clause</w:t>
      </w:r>
    </w:p>
    <w:p>
      <w:pPr>
        <w:spacing w:after="0" w:line="4" w:lineRule="exact"/>
        <w:rPr>
          <w:rFonts w:ascii="Arial" w:cs="Arial" w:eastAsia="Arial" w:hAnsi="Arial"/>
          <w:sz w:val="16"/>
          <w:szCs w:val="16"/>
          <w:color w:val="auto"/>
        </w:rPr>
      </w:pPr>
    </w:p>
    <w:p>
      <w:pPr>
        <w:ind w:left="4" w:hanging="4"/>
        <w:spacing w:after="0" w:line="292" w:lineRule="auto"/>
        <w:tabs>
          <w:tab w:leader="none" w:pos="28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nor (ii) any merger of the Company solely for the purpose of changing the Company’s jurisdiction of incorporation, that results in a reclassification, conversion, or exchange of outstanding shares of Common Stock solely into shares of common stock of the surviving entity shall be a Fundamental Change pursuant to this clause (b);</w:t>
      </w:r>
    </w:p>
    <w:p>
      <w:pPr>
        <w:spacing w:after="0" w:line="162" w:lineRule="exact"/>
        <w:rPr>
          <w:rFonts w:ascii="Arial" w:cs="Arial" w:eastAsia="Arial" w:hAnsi="Arial"/>
          <w:sz w:val="16"/>
          <w:szCs w:val="16"/>
          <w:color w:val="auto"/>
        </w:rPr>
      </w:pPr>
    </w:p>
    <w:p>
      <w:pPr>
        <w:ind w:left="1244" w:hanging="253"/>
        <w:spacing w:after="0"/>
        <w:tabs>
          <w:tab w:leader="none" w:pos="12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225" w:lineRule="exact"/>
        <w:rPr>
          <w:rFonts w:ascii="Arial" w:cs="Arial" w:eastAsia="Arial" w:hAnsi="Arial"/>
          <w:sz w:val="18"/>
          <w:szCs w:val="18"/>
          <w:color w:val="auto"/>
        </w:rPr>
      </w:pPr>
    </w:p>
    <w:p>
      <w:pPr>
        <w:ind w:left="4" w:right="620" w:firstLine="987"/>
        <w:spacing w:after="0" w:line="308" w:lineRule="auto"/>
        <w:tabs>
          <w:tab w:leader="none" w:pos="125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146" w:lineRule="exact"/>
        <w:rPr>
          <w:sz w:val="20"/>
          <w:szCs w:val="20"/>
          <w:color w:val="auto"/>
        </w:rPr>
      </w:pPr>
    </w:p>
    <w:p>
      <w:pPr>
        <w:jc w:val="both"/>
        <w:ind w:left="4" w:right="2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transaction that constitutes a Fundamental Change pursuant to both clause (a) and clause (b) without giving effect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proviso in clause (b) above shall be deemed a Fundamental Change solely under clause (b) above (subject to the proviso to clause (b));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a transaction or transactions described in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17" w:name="page18"/>
    <w:bookmarkEnd w:id="17"/>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clauses (a) or (b) above shall not constitute a Fundamental Change if at least 90% of the consideration received or to be received by the common stockholders of the Company, excluding cash payments for fractional shares or pursuant to statutory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or pursuant to statutory dissenters’ appraisal rights (subject to the provisions of Section 13.07).</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shall have the meaning specified in Section 14.02(b)(i).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shall have the meaning specified in Section 14.02(a).</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given</w:t>
      </w:r>
      <w:r>
        <w:rPr>
          <w:rFonts w:ascii="Arial" w:cs="Arial" w:eastAsia="Arial" w:hAnsi="Arial"/>
          <w:sz w:val="18"/>
          <w:szCs w:val="18"/>
          <w:color w:val="auto"/>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16.03. Notice so “given” shall be deemed to include any notice to be “mailed” or “delivered,” as applicable, under this Indenture.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2.05(b).</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shall mean any Person in whose name at the time a particular Note is registered on the Note Register.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the initial purchasers identified on Schedule I to the Purchase Agreement.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last quoted bid price per share for the Common Stock in the over-the-counter market on the relevant date as reported by OTC Markets Group Inc. or a similar organization. If the Common Stock is not so quoted,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average of the mid-point of the last bid and last ask prices per share for the Common Stock on the relevant date from each of at least three nationally recognized independent investment banking firms selected by the Company for this purpose.</w:t>
      </w:r>
    </w:p>
    <w:p>
      <w:pPr>
        <w:spacing w:after="0" w:line="17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any transaction or event that constitutes a Fundamental Change (as defined above and determined after giving effect to any exceptions to or exclusions from such definition, but without regard to subclause (i) of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 clause (b) of the definition thereof).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Period</w:t>
      </w:r>
      <w:r>
        <w:rPr>
          <w:rFonts w:ascii="Arial" w:cs="Arial" w:eastAsia="Arial" w:hAnsi="Arial"/>
          <w:sz w:val="18"/>
          <w:szCs w:val="18"/>
          <w:color w:val="auto"/>
        </w:rPr>
        <w:t>” shall have the meaning specified in Section 13.03(b).</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 w:name="page19"/>
    <w:bookmarkEnd w:id="18"/>
    <w:p>
      <w:pPr>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in the aggregate during regular trading hours of any suspension or limitation imposed on trading (by reason of movements in price exceeding limits permitted by the relevant stock exchange or otherwise) in the Common Stock or in any options contracts or futures contracts traded on any U.S. exchange relating to the Common Stock.</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March 1, 2026.</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shall have the meaning specified in Section 13.01(b)(i).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paragraph of the recitals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specified in Section 13.02(b).</w:t>
      </w:r>
    </w:p>
    <w:p>
      <w:pPr>
        <w:spacing w:after="0" w:line="225" w:lineRule="exact"/>
        <w:rPr>
          <w:sz w:val="20"/>
          <w:szCs w:val="20"/>
          <w:color w:val="auto"/>
        </w:rPr>
      </w:pPr>
    </w:p>
    <w:p>
      <w:pPr>
        <w:ind w:left="4" w:right="1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with respect to any Note surrendered for conversion means: (i) if the relevant Conversion Date occurs prior to December 1, 2025, the 25 consecutive Trading Day period beginning on, and including, the second Trading Day immediately succeeding such Conversion Date;</w:t>
      </w:r>
    </w:p>
    <w:p>
      <w:pPr>
        <w:spacing w:after="0" w:line="1" w:lineRule="exact"/>
        <w:rPr>
          <w:sz w:val="20"/>
          <w:szCs w:val="20"/>
          <w:color w:val="auto"/>
        </w:rPr>
      </w:pPr>
    </w:p>
    <w:p>
      <w:pPr>
        <w:ind w:left="4" w:right="120" w:hanging="4"/>
        <w:spacing w:after="0" w:line="253"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relevant Conversion Date occurs during a Redemption Period pursuant to Section 15.02, the 25 consecutive Trading Days beginning on, and including, the 26</w:t>
      </w:r>
      <w:r>
        <w:rPr>
          <w:rFonts w:ascii="Arial" w:cs="Arial" w:eastAsia="Arial" w:hAnsi="Arial"/>
          <w:sz w:val="15"/>
          <w:szCs w:val="15"/>
          <w:color w:val="auto"/>
        </w:rPr>
        <w:t>th</w:t>
      </w:r>
      <w:r>
        <w:rPr>
          <w:rFonts w:ascii="Arial" w:cs="Arial" w:eastAsia="Arial" w:hAnsi="Arial"/>
          <w:sz w:val="18"/>
          <w:szCs w:val="18"/>
          <w:color w:val="auto"/>
        </w:rPr>
        <w:t xml:space="preserve"> Scheduled Trading Day immediately preceding the relevant Redemption Date; and (iii) if the relevant Conversion Date occurs on or after December 1, 2025, the 25 consecutive Trading Days beginning on, and including, the 26</w:t>
      </w:r>
      <w:r>
        <w:rPr>
          <w:rFonts w:ascii="Arial" w:cs="Arial" w:eastAsia="Arial" w:hAnsi="Arial"/>
          <w:sz w:val="15"/>
          <w:szCs w:val="15"/>
          <w:color w:val="auto"/>
        </w:rPr>
        <w:t>th</w:t>
      </w:r>
      <w:r>
        <w:rPr>
          <w:rFonts w:ascii="Arial" w:cs="Arial" w:eastAsia="Arial" w:hAnsi="Arial"/>
          <w:sz w:val="18"/>
          <w:szCs w:val="18"/>
          <w:color w:val="auto"/>
        </w:rPr>
        <w:t xml:space="preserve"> Scheduled Trading Day immediately preceding the Maturity Date.</w:t>
      </w:r>
    </w:p>
    <w:p>
      <w:pPr>
        <w:spacing w:after="0" w:line="189"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preliminary offering memorandum dated February 22, 2021, as supplemented by the related pricing term sheet dated February 23, 2021, relating to the offering and sale of the Notes.</w:t>
      </w:r>
    </w:p>
    <w:p>
      <w:pPr>
        <w:spacing w:after="0" w:line="162"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President, any Chief Executive Officer, the Chief Financial Officer, the Chief Accounting Officer, the Treasurer, the Secretary, any Assistant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when used with respect to the Company, means a certificate that is delivered to the Trustee and that is signed by an Officer of the Company. Each such certificate shall include the statements provided for in Section 16.05 if and to the extent required by the provisions of such Section. The Officer giving an Officer’s Certificate pursuant to Section 4.08 shall be the principal executive, financial or accounting officer of the Company.</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is reasonably satisfactory to the Trustee, who may be an employee of or counsel to the Company, that is delivered to the Trustee, which opinion may contain customary exceptions and qualifications as to the matters set forth therein. Each such opinion shall include the statements provided for in Section 16.05 if and to the extent required by the provisions of such Section 16.05.</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Redemption</w:t>
      </w:r>
      <w:r>
        <w:rPr>
          <w:rFonts w:ascii="Arial" w:cs="Arial" w:eastAsia="Arial" w:hAnsi="Arial"/>
          <w:sz w:val="18"/>
          <w:szCs w:val="18"/>
          <w:color w:val="auto"/>
        </w:rPr>
        <w:t>” shall have the meaning specified in Section 15.01.</w:t>
      </w:r>
    </w:p>
    <w:p>
      <w:pPr>
        <w:spacing w:after="0" w:line="225" w:lineRule="exact"/>
        <w:rPr>
          <w:sz w:val="20"/>
          <w:szCs w:val="20"/>
          <w:color w:val="auto"/>
        </w:rPr>
      </w:pPr>
    </w:p>
    <w:p>
      <w:pPr>
        <w:ind w:left="4"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66" w:lineRule="exact"/>
        <w:rPr>
          <w:sz w:val="20"/>
          <w:szCs w:val="20"/>
          <w:color w:val="auto"/>
        </w:rPr>
      </w:pPr>
    </w:p>
    <w:p>
      <w:pPr>
        <w:ind w:left="1244" w:hanging="253"/>
        <w:spacing w:after="0"/>
        <w:tabs>
          <w:tab w:leader="none" w:pos="124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225" w:lineRule="exact"/>
        <w:rPr>
          <w:rFonts w:ascii="Arial" w:cs="Arial" w:eastAsia="Arial" w:hAnsi="Arial"/>
          <w:sz w:val="18"/>
          <w:szCs w:val="18"/>
          <w:color w:val="auto"/>
        </w:rPr>
      </w:pPr>
    </w:p>
    <w:p>
      <w:pPr>
        <w:ind w:left="4" w:right="120" w:firstLine="987"/>
        <w:spacing w:after="0" w:line="263" w:lineRule="auto"/>
        <w:tabs>
          <w:tab w:leader="none" w:pos="1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9" w:name="page20"/>
    <w:bookmarkEnd w:id="19"/>
    <w:p>
      <w:pPr>
        <w:ind w:right="120" w:firstLine="987"/>
        <w:spacing w:after="0" w:line="263"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converted pursuant to Article XIII and required to be canceled pursuant to Section 2.08;</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redeemed pursuant to Article XV; and</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repurchased by the Company pursuant to the penultimate sentence of Section 2.10.</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specified in Section 4.02.</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62"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Notes</w:t>
      </w:r>
      <w:r>
        <w:rPr>
          <w:rFonts w:ascii="Arial" w:cs="Arial" w:eastAsia="Arial" w:hAnsi="Arial"/>
          <w:sz w:val="18"/>
          <w:szCs w:val="18"/>
          <w:color w:val="auto"/>
        </w:rPr>
        <w:t>” means permanent, certificated Notes in registered, non-global form issued in minimum denominations of $1,000 principal amount and integral multiples thereof.</w:t>
      </w:r>
    </w:p>
    <w:p>
      <w:pPr>
        <w:spacing w:after="0" w:line="162" w:lineRule="exact"/>
        <w:rPr>
          <w:sz w:val="20"/>
          <w:szCs w:val="20"/>
          <w:color w:val="auto"/>
        </w:rPr>
      </w:pPr>
    </w:p>
    <w:p>
      <w:pPr>
        <w:ind w:right="3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4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Purchase Agreement, dated as of February 23, 2021, entered into by the Company and the Initial Purchasers in connection with the sale of the Notes.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 Date</w:t>
      </w:r>
      <w:r>
        <w:rPr>
          <w:rFonts w:ascii="Arial" w:cs="Arial" w:eastAsia="Arial" w:hAnsi="Arial"/>
          <w:sz w:val="17"/>
          <w:szCs w:val="17"/>
          <w:color w:val="auto"/>
        </w:rPr>
        <w:t>” means the date on which a Redemption Notice is delivered to the Holders in accordance with Section 15.02.</w:t>
      </w:r>
    </w:p>
    <w:p>
      <w:pPr>
        <w:spacing w:after="0" w:line="237"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Period</w:t>
      </w:r>
      <w:r>
        <w:rPr>
          <w:rFonts w:ascii="Arial" w:cs="Arial" w:eastAsia="Arial" w:hAnsi="Arial"/>
          <w:sz w:val="18"/>
          <w:szCs w:val="18"/>
          <w:color w:val="auto"/>
        </w:rPr>
        <w:t>” means the period from, and including, the relevant Redemption Notice Date until the close of business on the second Scheduled Trading Day immediately preceding the related Redemption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for any Notes to be redeemed pursuant to an Optional Redemption, 100% of the principal amount of such</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Special Interest, if any, to, but excluding, the Redemption Date (unless the Redemption Date falls after a Special Interest Record Date but on or prior to the immediately succeeding Special Interest Payment Date, in which case Special Interest accrued, if any, to the Special Interest Payment Date will be paid to Holders of record of such Notes on such Special Interest Record Date, and the Redemption Price will be equal to 100% of the principal amount of such Notes).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at the Corporate Trust Office who shall have direct responsibility for the administration of this Indenture, and also means any officer of the Trustee to whom any corporate trust matter relating to this Indenture is referred because of such person’s knowledge of and familiarity with the particular subject.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2.05(c).</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as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8"/>
          <w:szCs w:val="18"/>
          <w:b w:val="1"/>
          <w:bCs w:val="1"/>
          <w:color w:val="auto"/>
        </w:rPr>
        <w:t>Scheduled Trading</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means a Business Day.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shall have the meaning specified in Section 13.02(a)(iv).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 shall have the meaning specified in Section 13.02(a)(iii).</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for purposes of Sections 6.01(g), (h) and (i), a Subsidiary of the Company that is a “significant subsidiary” as defined under Article 1, Rule 1-02(w) of Regulation S-X under the Exchange Act (or any successor rule); (or any successor rule); provided that, in the case of a Subsidiary that meets the criteria of clause (1)(iii) of the definition thereof but not clause (1)(i) or (1)(ii) thereof, in each case as such rule is in effect on the date hereof, then such Subsidiary shall not be deemed to be a Significant Subsidiary unless the Subsidiary’s income from continuing operations before income taxes, exclusive of amounts attributable to any non-controlling interests, for the last completed fiscal year prior to the date of such determination exceeds $35,000,000 (with such amount calculated pursuant to Rule 1-02(w) as in effect on the date hereof). For the avoidance of doubt, for purposes of this definition, to the extent any such Subsidiary would not be deemed to be a “significant subsidiary” under the relevant definition set forth in Rule 1-02(w) of Regulation S-X (or any successor rule) as in effect on the relevant date of determination, such Subsidiary shall not be deemed to be a “Significant Subsidiary” under this Indenture irrespective of whether such Subsidiary would otherwise be deemed to be a “Significant Subsidiary” after giving effect to the proviso in the immediately preceding sentence.</w:t>
      </w:r>
    </w:p>
    <w:p>
      <w:pPr>
        <w:spacing w:after="0" w:line="177" w:lineRule="exact"/>
        <w:rPr>
          <w:sz w:val="20"/>
          <w:szCs w:val="20"/>
          <w:color w:val="auto"/>
        </w:rPr>
      </w:pPr>
    </w:p>
    <w:p>
      <w:pPr>
        <w:ind w:right="8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means all amounts, if any, payable pursuant to Section 2.03(c), Section 4.06(d), Section 4.06(e) and Section 6.03, as applicable.</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 Payment Date</w:t>
      </w:r>
      <w:r>
        <w:rPr>
          <w:rFonts w:ascii="Arial" w:cs="Arial" w:eastAsia="Arial" w:hAnsi="Arial"/>
          <w:sz w:val="18"/>
          <w:szCs w:val="18"/>
          <w:color w:val="auto"/>
        </w:rPr>
        <w:t>” means, if and to the extent that Special Interest is payable on the Notes, each March 1 and September 1 of each year, beginning on September 1, 2021.</w:t>
      </w:r>
    </w:p>
    <w:p>
      <w:pPr>
        <w:spacing w:after="0" w:line="162"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Interest Record Date</w:t>
      </w:r>
      <w:r>
        <w:rPr>
          <w:rFonts w:ascii="Arial" w:cs="Arial" w:eastAsia="Arial" w:hAnsi="Arial"/>
          <w:sz w:val="16"/>
          <w:szCs w:val="16"/>
          <w:color w:val="auto"/>
        </w:rPr>
        <w:t>,” with respect to any Special Interest Payment Date, shall mean the February 15 or August 15 (whether or not such day is a Business Day) immediately preceding the applicable March 1 or September 1 Special Interest Payment Date,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shall have the meaning specified in Section 13.03(d).</w:t>
      </w:r>
    </w:p>
    <w:p>
      <w:pPr>
        <w:spacing w:after="0" w:line="225"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shall have the meaning specified in Section 11.01(a).</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1" w:name="page22"/>
    <w:bookmarkEnd w:id="21"/>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Common Stock (or such other security) is not so listed or traded, “</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 Business Day;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for purposes of determining amounts due upon conversion only, “</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8"/>
          <w:szCs w:val="18"/>
          <w:b w:val="1"/>
          <w:bCs w:val="1"/>
          <w:color w:val="auto"/>
        </w:rPr>
        <w:t>Trading</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means a Business Day.</w:t>
      </w:r>
    </w:p>
    <w:p>
      <w:pPr>
        <w:spacing w:after="0" w:line="19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Price</w:t>
      </w:r>
      <w:r>
        <w:rPr>
          <w:rFonts w:ascii="Arial" w:cs="Arial" w:eastAsia="Arial" w:hAnsi="Arial"/>
          <w:sz w:val="17"/>
          <w:szCs w:val="17"/>
          <w:color w:val="auto"/>
        </w:rPr>
        <w:t xml:space="preserve">” of the Notes on any date of determination means the average of the secondary market bid quotations obtained by the Bid Solicitation Agent for $2,000,000 principal amount of Notes at approximately 3:30 p.m., New York City time and notified to the Company, on such determination date from three independent nationally recognized securities dealers the Company selects for this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then that one bid shall be used. If the Bid Solicitation Agent cannot reasonably obtain at least one bid for $2,000,000 principal amount of Notes from a nationally recognized securities dealer on any determination date, then the Trading Price per $1,000 principal amount of Notes on such determination date shall be deemed to be less than 98% of the product of the Last Reported Sale Price of the Common Stock and the Conversion Rate.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right="4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any Subsidiary of such Person, except that, solely for purposes of this definition, the reference to “50%” in the definition of “Subsidiary” shall be deemed replaced by a reference to “100%” (except for director qualifying shares or similar requirements).</w:t>
      </w:r>
    </w:p>
    <w:p>
      <w:pPr>
        <w:spacing w:after="0" w:line="180"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References to Interest</w:t>
      </w:r>
      <w:r>
        <w:rPr>
          <w:rFonts w:ascii="Arial" w:cs="Arial" w:eastAsia="Arial" w:hAnsi="Arial"/>
          <w:sz w:val="17"/>
          <w:szCs w:val="17"/>
          <w:color w:val="auto"/>
        </w:rPr>
        <w:t>. Unless the context otherwise requires, any reference to interest on, or in respect of, any Note in this Indenture shall be deemed to refer solely to Special Interest if, in such context, Special Interest is, was or would be payable pursuant to any of Section 4.06(d), Section 4.06(e) and Section 6.03 or to any such interest payable on any Defaulted Amounts as set forth in Section 2.03(c).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DESCRIPTION, EXECUTION, REGISTRATION AND EXCHANGE OF NOTES</w:t>
      </w:r>
    </w:p>
    <w:p>
      <w:pPr>
        <w:spacing w:after="0" w:line="103"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Notes shall be designated as the “0% Convertible Senior Notes due 2026.” The aggregate principal amount of Notes that may be authenticated and delivered under this Indenture is initially limited to $653,000,000, subject to Section 2.10 and except for Notes authenticated and delivered upon registration or transfer of, or in exchange for, or in lieu of other Notes pursuant to Section 2.05, Section 2.06, Section 2.07, Section 10.04, Section 13.02 and Section 14.04.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2" w:name="page23"/>
    <w:bookmarkEnd w:id="22"/>
    <w:p>
      <w:pPr>
        <w:ind w:right="1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Form of Notes</w:t>
      </w:r>
      <w:r>
        <w:rPr>
          <w:rFonts w:ascii="Arial" w:cs="Arial" w:eastAsia="Arial" w:hAnsi="Arial"/>
          <w:sz w:val="18"/>
          <w:szCs w:val="18"/>
          <w:color w:val="auto"/>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8"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76"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exchanges or issuances of additional Notes permitted hereby (to the extent such issuances are fungible with the Notes represented by such Global Note for U.S. federal income tax and securities law purposes)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Special Interest on, a Global Note shall be made to the Holder of such Note on the date of payment, unless a record date or other means of determining Holders eligible to receive payment is provided for herein.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Date and Denomination of Notes; No Regular Interest; Special Interest and Defaulted Amounts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Notes shall be issuable in registered form without coupons in denominations of $1,000 principal amount and integral multiples thereof. Each Note shall be dated the date of its authentication and shall not bear regular interest, and the principal amount of the Notes will not accrete. Special Interest on the Notes, if any, shall be computed on the basis of a 360-day year composed of twelve 30-day months and, for partial months, on the basis of the number of days actually elapsed in a 30-day month.</w:t>
      </w:r>
    </w:p>
    <w:p>
      <w:pPr>
        <w:spacing w:after="0" w:line="186" w:lineRule="exact"/>
        <w:rPr>
          <w:rFonts w:ascii="Arial" w:cs="Arial" w:eastAsia="Arial" w:hAnsi="Arial"/>
          <w:sz w:val="18"/>
          <w:szCs w:val="18"/>
          <w:color w:val="auto"/>
        </w:rPr>
      </w:pPr>
    </w:p>
    <w:p>
      <w:pPr>
        <w:ind w:firstLine="987"/>
        <w:spacing w:after="0" w:line="287" w:lineRule="auto"/>
        <w:tabs>
          <w:tab w:leader="none" w:pos="12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Person in whose name any Note (or its Predecessor Note) is registered on the Note Register at the close of business on any Special Interest Record Date with respect to any Special Interest Payment Date shall be entitled to receive any Special Interest payable on such Special Interest Payment Date. The principal amount of any Note shall be payable at the office or agency of the Company maintained by the Company for such purposes in the United States of America, which shall initially be the Corporate Trust Office, or any other office or agency located in the United States of America so designated by the Trustee. The Company shall pay Special Interest, if any, (i) on any Physical Notes (A) to Holders holding Physical Notes having an aggregate principal amount of $5,000,000 or less, by check mailed to the Holders of these Notes at their addresses as they appear in the Note Register and (B) to Holders holding Physical Notes having an aggregate principal amount of more than $5,000,000, either by check mailed to each such Holder or, upon written application by such a Holder to the Note Registrar not later than the relevant Special Interest Record Date, by wire transfer in immediately available funds to that Holder’s account within the United States if such Holder has provided the Company, the Trustee or the Paying Agent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 w:name="page24"/>
    <w:bookmarkEnd w:id="23"/>
    <w:p>
      <w:pPr>
        <w:ind w:right="140" w:firstLine="987"/>
        <w:spacing w:after="0" w:line="257"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Defaulted Amounts shall forthwith cease to be payable to the Holder on the relevant payment date and shall not accrue interest unless Special Interest was payable with respect to such Defaulted Amounts on the relevant payment date, in which case such Defaulted Amounts representing unpaid Special Interest shall accrue interest per annum at the then-applicable Special Interest rate from, and including, such relevant payment date, and such Defaulted Amounts together with any interest thereon shall be paid by the Company, at its election in each case, as provided in clause (i) or (ii) below:</w:t>
      </w:r>
    </w:p>
    <w:p>
      <w:pPr>
        <w:spacing w:after="0" w:line="79" w:lineRule="exact"/>
        <w:rPr>
          <w:rFonts w:ascii="Arial" w:cs="Arial" w:eastAsia="Arial" w:hAnsi="Arial"/>
          <w:sz w:val="18"/>
          <w:szCs w:val="18"/>
          <w:color w:val="auto"/>
        </w:rPr>
      </w:pPr>
    </w:p>
    <w:p>
      <w:pPr>
        <w:ind w:left="440" w:firstLine="948"/>
        <w:spacing w:after="0" w:line="285" w:lineRule="auto"/>
        <w:tabs>
          <w:tab w:leader="none" w:pos="160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in accordance with Section 16.03, not less than 10 days prior to such special record date (provided the Trustee has received such notice at least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68" w:lineRule="exact"/>
        <w:rPr>
          <w:rFonts w:ascii="Arial" w:cs="Arial" w:eastAsia="Arial" w:hAnsi="Arial"/>
          <w:sz w:val="16"/>
          <w:szCs w:val="16"/>
          <w:color w:val="auto"/>
        </w:rPr>
      </w:pPr>
    </w:p>
    <w:p>
      <w:pPr>
        <w:ind w:left="440" w:right="120" w:firstLine="948"/>
        <w:spacing w:after="0" w:line="279" w:lineRule="auto"/>
        <w:tabs>
          <w:tab w:leader="none" w:pos="1657"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7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Authentication and Delivery of Notes</w:t>
      </w:r>
      <w:r>
        <w:rPr>
          <w:rFonts w:ascii="Arial" w:cs="Arial" w:eastAsia="Arial" w:hAnsi="Arial"/>
          <w:sz w:val="18"/>
          <w:szCs w:val="18"/>
          <w:color w:val="auto"/>
        </w:rPr>
        <w:t>. The Notes shall be signed in the name and on behalf of the Company by the manual, electronic or facsimile signature of its Chief Executive Officer, President, Chief Financial Officer, Treasurer, Secretary, any Assistant Secretary or any of its Executive or Senior Vice Presidents.</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provided that, subject to Section 16.05, the Trustee shall be entitled to receive an Officer’s Certificate and an Opinion of Counsel of the Company with respect to the issuance, authentication and delivery of such Note.</w:t>
      </w:r>
    </w:p>
    <w:p>
      <w:pPr>
        <w:spacing w:after="0" w:line="15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Only such Notes as shall bear thereon a certificate of authentication substantially in the form set forth on the form of Note attached as Exhibit A hereto, executed manually or electronically by an authorized signatory of the Trustee (or an authenticating agent appointed by the Trustee as provided by Section 16.10),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4" w:name="page25"/>
    <w:bookmarkEnd w:id="24"/>
    <w:p>
      <w:pPr>
        <w:ind w:right="2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Exchange and Registration of Transfer of Notes; Restrictions on Transfer; Depositary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5" w:lineRule="auto"/>
        <w:tabs>
          <w:tab w:leader="none" w:pos="1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6"/>
          <w:szCs w:val="16"/>
          <w:b w:val="1"/>
          <w:bCs w:val="1"/>
          <w:color w:val="auto"/>
        </w:rPr>
        <w:t>Note Registrar</w:t>
      </w:r>
      <w:r>
        <w:rPr>
          <w:rFonts w:ascii="Arial" w:cs="Arial" w:eastAsia="Arial" w:hAnsi="Arial"/>
          <w:sz w:val="16"/>
          <w:szCs w:val="16"/>
          <w:color w:val="auto"/>
        </w:rPr>
        <w:t>” for the purpose of registering Notes and transfers of Notes as herein provided. The Company may appoint one or more co-Note Registrars in accordance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4.02.</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Upon surrender for registration of transfer of any Note to the Note Registrar or any co-Note Registrar, and satisfaction of the requirements for such transfer set forth in this Section 2.05, the Company shall execute, and, upon Company Order,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upon Company Order, the Trustee shall authenticate and deliver, the Notes that the Holder making the exchange is entitled to receive, bearing registration numbers not contemporaneously outstanding.</w:t>
      </w:r>
    </w:p>
    <w:p>
      <w:pPr>
        <w:spacing w:after="0" w:line="17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6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XIV or (iii) any Notes selected for redemption in accordance with Article XV, except the unredeemed portion of any Note being redeemed in part.</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 w:name="page26"/>
    <w:bookmarkEnd w:id="25"/>
    <w:p>
      <w:pPr>
        <w:ind w:right="120" w:firstLine="987"/>
        <w:spacing w:after="0" w:line="275" w:lineRule="auto"/>
        <w:tabs>
          <w:tab w:leader="none" w:pos="1246"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long as the Notes are eligible for book-entry settlement with the Depositary, unless otherwise required by law, subject to the fifth paragraph from the end of Section 2.05(c) all Notes shall be represented by one or more Notes in global form (each, a “</w:t>
      </w:r>
      <w:r>
        <w:rPr>
          <w:rFonts w:ascii="Arial" w:cs="Arial" w:eastAsia="Arial" w:hAnsi="Arial"/>
          <w:sz w:val="17"/>
          <w:szCs w:val="17"/>
          <w:b w:val="1"/>
          <w:bCs w:val="1"/>
          <w:color w:val="auto"/>
        </w:rPr>
        <w:t>Global Note</w:t>
      </w:r>
      <w:r>
        <w:rPr>
          <w:rFonts w:ascii="Arial" w:cs="Arial" w:eastAsia="Arial" w:hAnsi="Arial"/>
          <w:sz w:val="17"/>
          <w:szCs w:val="17"/>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76" w:lineRule="exact"/>
        <w:rPr>
          <w:rFonts w:ascii="Arial" w:cs="Arial" w:eastAsia="Arial" w:hAnsi="Arial"/>
          <w:sz w:val="17"/>
          <w:szCs w:val="17"/>
          <w:color w:val="auto"/>
        </w:rPr>
      </w:pPr>
    </w:p>
    <w:p>
      <w:pPr>
        <w:ind w:firstLine="987"/>
        <w:spacing w:after="0" w:line="293" w:lineRule="auto"/>
        <w:tabs>
          <w:tab w:leader="none" w:pos="12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shall be subject to the restrictions on transfer set forth in this Section 2.05(c) (including those contained in the legend set forth below),</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transfer or other disposition whatsoever of any Restricted Security.</w:t>
      </w:r>
    </w:p>
    <w:p>
      <w:pPr>
        <w:spacing w:after="0" w:line="16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Until the date (the “</w:t>
      </w:r>
      <w:r>
        <w:rPr>
          <w:rFonts w:ascii="Arial" w:cs="Arial" w:eastAsia="Arial" w:hAnsi="Arial"/>
          <w:sz w:val="17"/>
          <w:szCs w:val="17"/>
          <w:b w:val="1"/>
          <w:bCs w:val="1"/>
          <w:color w:val="auto"/>
        </w:rPr>
        <w:t>Resale Restriction Termination Date</w:t>
      </w:r>
      <w:r>
        <w:rPr>
          <w:rFonts w:ascii="Arial" w:cs="Arial" w:eastAsia="Arial" w:hAnsi="Arial"/>
          <w:sz w:val="17"/>
          <w:szCs w:val="17"/>
          <w:color w:val="auto"/>
        </w:rPr>
        <w:t>”) that is the later of (1) the date that is one year after the last date of original issuance of the Notes,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68"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75" w:lineRule="exact"/>
        <w:rPr>
          <w:sz w:val="20"/>
          <w:szCs w:val="20"/>
          <w:color w:val="auto"/>
        </w:rPr>
      </w:pPr>
    </w:p>
    <w:p>
      <w:pPr>
        <w:ind w:left="440" w:right="720" w:hanging="4"/>
        <w:spacing w:after="0" w:line="266"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w:t>
      </w:r>
      <w:r>
        <w:rPr>
          <w:rFonts w:ascii="Arial" w:cs="Arial" w:eastAsia="Arial" w:hAnsi="Arial"/>
          <w:sz w:val="18"/>
          <w:szCs w:val="18"/>
          <w:b w:val="1"/>
          <w:bCs w:val="1"/>
          <w:color w:val="auto"/>
        </w:rPr>
        <w:t>QUALIFIED INSTITUTIONAL BUYER</w:t>
      </w:r>
      <w:r>
        <w:rPr>
          <w:rFonts w:ascii="Arial" w:cs="Arial" w:eastAsia="Arial" w:hAnsi="Arial"/>
          <w:sz w:val="18"/>
          <w:szCs w:val="18"/>
          <w:color w:val="auto"/>
        </w:rPr>
        <w:t>” (WITHIN THE MEANING OF RULE 144A UNDER THE SECURITIES ACT) AND THAT IT EXERCISES SOLE INVESTMENT DISCRETION WITH RESPECT TO EACH SUCH ACCOUNT, AND</w:t>
      </w:r>
    </w:p>
    <w:p>
      <w:pPr>
        <w:spacing w:after="0" w:line="71" w:lineRule="exact"/>
        <w:rPr>
          <w:rFonts w:ascii="Arial" w:cs="Arial" w:eastAsia="Arial" w:hAnsi="Arial"/>
          <w:sz w:val="18"/>
          <w:szCs w:val="18"/>
          <w:color w:val="auto"/>
        </w:rPr>
      </w:pPr>
    </w:p>
    <w:p>
      <w:pPr>
        <w:ind w:left="440" w:right="40" w:hanging="4"/>
        <w:spacing w:after="0" w:line="274" w:lineRule="auto"/>
        <w:tabs>
          <w:tab w:leader="none" w:pos="6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AGREES FOR THE BENEFIT OF DROPBOX, INC. (THE “COMPANY”) THAT IT WILL NOT OFFER, SELL, PLEDGE OR OTHERWISE TRANSFER THIS SECURITY OR ANY BENEFICIAL INTEREST HEREIN PRIOR TO THE DATE THAT IS THE LATER OF</w:t>
      </w:r>
    </w:p>
    <w:p>
      <w:pPr>
        <w:ind w:left="440" w:right="240"/>
        <w:spacing w:after="0" w:line="255" w:lineRule="auto"/>
        <w:rPr>
          <w:rFonts w:ascii="Arial" w:cs="Arial" w:eastAsia="Arial" w:hAnsi="Arial"/>
          <w:sz w:val="17"/>
          <w:szCs w:val="17"/>
          <w:color w:val="auto"/>
        </w:rPr>
      </w:pPr>
      <w:r>
        <w:rPr>
          <w:rFonts w:ascii="Arial" w:cs="Arial" w:eastAsia="Arial" w:hAnsi="Arial"/>
          <w:sz w:val="18"/>
          <w:szCs w:val="18"/>
          <w:color w:val="auto"/>
        </w:rPr>
        <w:t>(X)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81" w:lineRule="exact"/>
        <w:rPr>
          <w:rFonts w:ascii="Arial" w:cs="Arial" w:eastAsia="Arial" w:hAnsi="Arial"/>
          <w:sz w:val="17"/>
          <w:szCs w:val="17"/>
          <w:color w:val="auto"/>
        </w:rPr>
      </w:pPr>
    </w:p>
    <w:p>
      <w:pPr>
        <w:ind w:left="1680" w:hanging="292"/>
        <w:spacing w:after="0"/>
        <w:tabs>
          <w:tab w:leader="none" w:pos="1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OR</w:t>
      </w:r>
    </w:p>
    <w:p>
      <w:pPr>
        <w:spacing w:after="0" w:line="102" w:lineRule="exact"/>
        <w:rPr>
          <w:rFonts w:ascii="Arial" w:cs="Arial" w:eastAsia="Arial" w:hAnsi="Arial"/>
          <w:sz w:val="17"/>
          <w:szCs w:val="17"/>
          <w:color w:val="auto"/>
        </w:rPr>
      </w:pPr>
    </w:p>
    <w:p>
      <w:pPr>
        <w:ind w:left="5420" w:right="60" w:hanging="4032"/>
        <w:spacing w:after="0" w:line="449" w:lineRule="auto"/>
        <w:tabs>
          <w:tab w:leader="none" w:pos="16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 14</w:t>
      </w:r>
    </w:p>
    <w:p>
      <w:pPr>
        <w:sectPr>
          <w:pgSz w:w="11900" w:h="16838" w:orient="portrait"/>
          <w:cols w:equalWidth="0" w:num="1">
            <w:col w:w="11000"/>
          </w:cols>
          <w:pgMar w:left="440" w:top="274" w:right="459" w:bottom="1440" w:gutter="0" w:footer="0" w:header="0"/>
        </w:sectPr>
      </w:pPr>
    </w:p>
    <w:bookmarkStart w:id="26" w:name="page27"/>
    <w:bookmarkEnd w:id="26"/>
    <w:p>
      <w:pPr>
        <w:ind w:left="980" w:right="180" w:firstLine="408"/>
        <w:spacing w:after="0" w:line="308" w:lineRule="auto"/>
        <w:tabs>
          <w:tab w:leader="none" w:pos="1676"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AN EXEMPTION FROM REGISTRATION PROVIDED BY RULE 144 UNDER THE SECURITIES ACT OR ANY OTHER AVAILABLE EXEMPTION FROM THE REGISTRATION REQUIREMENTS OF THE SECURITIES ACT.</w:t>
      </w:r>
    </w:p>
    <w:p>
      <w:pPr>
        <w:spacing w:after="0" w:line="38"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84" w:lineRule="exact"/>
        <w:rPr>
          <w:sz w:val="20"/>
          <w:szCs w:val="20"/>
          <w:color w:val="auto"/>
        </w:rPr>
      </w:pPr>
    </w:p>
    <w:p>
      <w:pPr>
        <w:ind w:left="980" w:right="120"/>
        <w:spacing w:after="0" w:line="268" w:lineRule="auto"/>
        <w:rPr>
          <w:sz w:val="20"/>
          <w:szCs w:val="20"/>
          <w:color w:val="auto"/>
        </w:rPr>
      </w:pPr>
      <w:r>
        <w:rPr>
          <w:rFonts w:ascii="Arial" w:cs="Arial" w:eastAsia="Arial" w:hAnsi="Arial"/>
          <w:sz w:val="17"/>
          <w:szCs w:val="17"/>
          <w:color w:val="auto"/>
        </w:rPr>
        <w:t>BY ITS ACQUISITION OF THIS SECURITY, THE HOLDER HEREOF WILL BE DEEMED TO HAVE REPRESENTED AND WARRANTED THAT EITHER (1) NO PORTION OF THE ASSETS USED BY SUCH HOLDER TO ACQUIRE OR HOLD THIS SECURITY CONSTITUTES THE ASSETS OF (A) AN EMPLOYEE BENEFIT PLAN THAT IS SUBJECT TO TITLE I OF THE U.S. EMPLOYEE RETIREMENT INCOME SECURITY ACT OF 1974, AS AMENDED (“ERISA”), (B) A PLAN, INDIVIDUAL RETIREMENT ACCOUNT OR OTHER ARRANGEMENT THAT IS SUBJECT TO SECTION 4975 OF THE U.S. INTERNAL REVENUE CODE OF 1986, AS AMENDED (THE “CODE”), OR PROVISIONS UNDER ANY OTHER U.S. OR NON-U.S.</w:t>
      </w:r>
    </w:p>
    <w:p>
      <w:pPr>
        <w:spacing w:after="0" w:line="1" w:lineRule="exact"/>
        <w:rPr>
          <w:sz w:val="20"/>
          <w:szCs w:val="20"/>
          <w:color w:val="auto"/>
        </w:rPr>
      </w:pPr>
    </w:p>
    <w:p>
      <w:pPr>
        <w:ind w:left="980" w:right="80"/>
        <w:spacing w:after="0" w:line="270" w:lineRule="auto"/>
        <w:rPr>
          <w:sz w:val="20"/>
          <w:szCs w:val="20"/>
          <w:color w:val="auto"/>
        </w:rPr>
      </w:pPr>
      <w:r>
        <w:rPr>
          <w:rFonts w:ascii="Arial" w:cs="Arial" w:eastAsia="Arial" w:hAnsi="Arial"/>
          <w:sz w:val="17"/>
          <w:szCs w:val="17"/>
          <w:color w:val="auto"/>
        </w:rPr>
        <w:t>FEDERAL, STATE, LOCAL, NON-U.S. OR OTHER LAWS OR REGULATIONS THAT ARE SIMILAR TO SUCH PROVISIONS OF ERISA OR THE CODE (“COLLECTIVELY, SIMILAR LAWS”), OR OF AN ENTITY WHOSE UNDERLYING ASSETS ARE CONSIDERED TO INCLUDE “PLAN ASSETS” OF ANY SUCH PLAN, ACCOUNT OR ARRANGEMENT, OR (2) THE ACQUISITION, HOLDING AND SUBSEQUENT DISPOSITION OR CONVERSION OF THIS SECURITY DOES NOT AND WILL NOT CONSTITUTE A NON-EXEMPT PROHIBITED TRANSACTION UNDER SECTION 406 OF ERISA OR SECTION 4975 OF THE CODE OR A SIMILAR VIOLATION UNDER ANY APPLICABLE SIMILAR LAWS.</w:t>
      </w:r>
    </w:p>
    <w:p>
      <w:pPr>
        <w:spacing w:after="0" w:line="17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surrender any Global Note as to which such restrictions on transfer shall have expired in accordance with their terms for exchange,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upon the occurrence of the Resale Restriction Termination Date and promptly after a registration statement, if any, with respect to the Notes or any Common Stock issued upon conversion of the Notes has been declared effective under the Securities Act. Any exchange pursuant to the foregoing paragraph shall be in accordance with the applicable procedures of the Depositary.</w:t>
      </w:r>
    </w:p>
    <w:p>
      <w:pPr>
        <w:spacing w:after="0" w:line="185"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portion thereof for one or more Physical Notes in accordance with the second immediately succeeding paragraph.</w:t>
      </w:r>
    </w:p>
    <w:p>
      <w:pPr>
        <w:spacing w:after="0" w:line="157"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The Depositary shall be a clearing agency registered under the Exchange Act. The Company has initially appointed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7" w:name="page28"/>
    <w:bookmarkEnd w:id="27"/>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subject to the Depositary’s applicable procedures, and a beneficial owner of any Note requests that its beneficial interest therein be exchanged for a Physical Note, the Company shall execute, and the Trustee, upon receipt of an Officer’s Certificate, Opinion of Counsel and a Company Order for the authentication and delivery of Notes, shall authenticate and deliver, at the Company’s expense, (x) in the case of clause (iii), a Physical Note to such beneficial owner in a principal amount equal to the principal amount of such Note corresponding to such beneficial owner’s beneficial interest and (y) in the case of clause</w:t>
      </w:r>
    </w:p>
    <w:p>
      <w:pPr>
        <w:spacing w:after="0" w:line="2" w:lineRule="exact"/>
        <w:rPr>
          <w:sz w:val="20"/>
          <w:szCs w:val="20"/>
          <w:color w:val="auto"/>
        </w:rPr>
      </w:pPr>
    </w:p>
    <w:p>
      <w:pPr>
        <w:ind w:left="4" w:right="140" w:hanging="4"/>
        <w:spacing w:after="0" w:line="255"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9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shall instruct the Trustee. Upon execution and authentication, the Trustee shall deliver, at the Company’s expense, such Physical Notes to the Persons in whose names such Physical Notes are so registered.</w:t>
      </w:r>
    </w:p>
    <w:p>
      <w:pPr>
        <w:spacing w:after="0" w:line="187"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At such time as all interests in a Global Note have been redeemed, converted, canceled, repurchased or transferred, such Global Note shall be, upon receipt thereof, canceled by the Trustee in accordance with its customary procedures and instructions existing between the Depositary and the Custodian. At any time prior to such cancellation, if any interest in a Global Note is exchanged for Physical Notes, converted, canceled, redeemed,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6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None of the Company, the Trustee (including in its capacity as Paying Agent) or any agent of the Company or the Trustee shall have any responsibility or liability for any act or omission of the Depositary or for the payment of amounts to owners of beneficial interest in a Global Note, or for any aspect of the records relating to or payments made on account of beneficial ownership interests of a Global Note or maintaining, supervising or reviewing any records relating to such beneficial ownership interests.</w:t>
      </w:r>
    </w:p>
    <w:p>
      <w:pPr>
        <w:spacing w:after="0" w:line="18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None of the Trustee or any agent shall have any responsibility or obligation to any beneficial owner of an interest in a Global Note, a member of, or a participant in, the Depositary or other Person with respect to the accuracy of the records of the Depositary or its nominee or of any participant member thereof, with respect to any ownership interest in the Notes or with respect to the delivery to any participant, member, beneficial owner or other person (other than the Depositary) of any notice (including any Redemption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the Depositary or its nominee in the case of a Global Note). The rights of beneficial owners in any Global Note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81" w:lineRule="exact"/>
        <w:rPr>
          <w:sz w:val="20"/>
          <w:szCs w:val="20"/>
          <w:color w:val="auto"/>
        </w:rPr>
      </w:pPr>
    </w:p>
    <w:p>
      <w:pPr>
        <w:jc w:val="both"/>
        <w:ind w:left="4" w:right="220" w:firstLine="987"/>
        <w:spacing w:after="0" w:line="301" w:lineRule="auto"/>
        <w:tabs>
          <w:tab w:leader="none" w:pos="12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8" w:name="page29"/>
    <w:bookmarkEnd w:id="2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has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79"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6" w:lineRule="exact"/>
        <w:rPr>
          <w:sz w:val="20"/>
          <w:szCs w:val="20"/>
          <w:color w:val="auto"/>
        </w:rPr>
      </w:pPr>
    </w:p>
    <w:p>
      <w:pPr>
        <w:ind w:left="440" w:hanging="4"/>
        <w:spacing w:after="0" w:line="26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5" w:lineRule="exact"/>
        <w:rPr>
          <w:rFonts w:ascii="Arial" w:cs="Arial" w:eastAsia="Arial" w:hAnsi="Arial"/>
          <w:sz w:val="18"/>
          <w:szCs w:val="18"/>
          <w:color w:val="auto"/>
        </w:rPr>
      </w:pPr>
    </w:p>
    <w:p>
      <w:pPr>
        <w:ind w:left="440" w:right="20" w:hanging="4"/>
        <w:spacing w:after="0" w:line="274" w:lineRule="auto"/>
        <w:tabs>
          <w:tab w:leader="none" w:pos="6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AGREES FOR THE BENEFIT OF DROPBOX, INC. (THE “COMPANY”) THAT IT WILL NOT OFFER, SELL, PLEDGE OR OTHERWISE TRANSFER THIS SECURITY OR ANY BENEFICIAL INTEREST HEREIN PRIOR TO THE DATE THAT IS THE LATER OF</w:t>
      </w:r>
    </w:p>
    <w:p>
      <w:pPr>
        <w:ind w:left="440" w:right="160"/>
        <w:spacing w:after="0" w:line="253" w:lineRule="auto"/>
        <w:rPr>
          <w:rFonts w:ascii="Arial" w:cs="Arial" w:eastAsia="Arial" w:hAnsi="Arial"/>
          <w:sz w:val="17"/>
          <w:szCs w:val="17"/>
          <w:color w:val="auto"/>
        </w:rPr>
      </w:pPr>
      <w:r>
        <w:rPr>
          <w:rFonts w:ascii="Arial" w:cs="Arial" w:eastAsia="Arial" w:hAnsi="Arial"/>
          <w:sz w:val="18"/>
          <w:szCs w:val="18"/>
          <w:color w:val="auto"/>
        </w:rPr>
        <w:t>(X)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84" w:lineRule="exact"/>
        <w:rPr>
          <w:rFonts w:ascii="Arial" w:cs="Arial" w:eastAsia="Arial" w:hAnsi="Arial"/>
          <w:sz w:val="17"/>
          <w:szCs w:val="17"/>
          <w:color w:val="auto"/>
        </w:rPr>
      </w:pPr>
    </w:p>
    <w:p>
      <w:pPr>
        <w:ind w:left="1680" w:hanging="292"/>
        <w:spacing w:after="0"/>
        <w:tabs>
          <w:tab w:leader="none" w:pos="1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OR</w:t>
      </w:r>
    </w:p>
    <w:p>
      <w:pPr>
        <w:spacing w:after="0" w:line="102" w:lineRule="exact"/>
        <w:rPr>
          <w:rFonts w:ascii="Arial" w:cs="Arial" w:eastAsia="Arial" w:hAnsi="Arial"/>
          <w:sz w:val="17"/>
          <w:szCs w:val="17"/>
          <w:color w:val="auto"/>
        </w:rPr>
      </w:pPr>
    </w:p>
    <w:p>
      <w:pPr>
        <w:ind w:left="1680" w:hanging="292"/>
        <w:spacing w:after="0"/>
        <w:tabs>
          <w:tab w:leader="none" w:pos="16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A QUALIFIED INSTITUTIONAL BUYER IN COMPLIANCE WITH RULE 144A UNDER THE SECURITIES ACT, OR</w:t>
      </w:r>
    </w:p>
    <w:p>
      <w:pPr>
        <w:spacing w:after="0" w:line="128" w:lineRule="exact"/>
        <w:rPr>
          <w:rFonts w:ascii="Arial" w:cs="Arial" w:eastAsia="Arial" w:hAnsi="Arial"/>
          <w:sz w:val="17"/>
          <w:szCs w:val="17"/>
          <w:color w:val="auto"/>
        </w:rPr>
      </w:pPr>
    </w:p>
    <w:p>
      <w:pPr>
        <w:ind w:left="980" w:right="180" w:firstLine="408"/>
        <w:spacing w:after="0" w:line="308" w:lineRule="auto"/>
        <w:tabs>
          <w:tab w:leader="none" w:pos="1676" w:val="left"/>
        </w:tabs>
        <w:numPr>
          <w:ilvl w:val="1"/>
          <w:numId w:val="18"/>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38"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w:t>
      </w:r>
    </w:p>
    <w:p>
      <w:pPr>
        <w:spacing w:after="0" w:line="79" w:lineRule="exact"/>
        <w:rPr>
          <w:sz w:val="20"/>
          <w:szCs w:val="20"/>
          <w:color w:val="auto"/>
        </w:rPr>
      </w:pPr>
    </w:p>
    <w:p>
      <w:pPr>
        <w:ind w:left="440" w:right="220"/>
        <w:spacing w:after="0" w:line="263" w:lineRule="auto"/>
        <w:rPr>
          <w:sz w:val="20"/>
          <w:szCs w:val="20"/>
          <w:color w:val="auto"/>
        </w:rPr>
      </w:pPr>
      <w:r>
        <w:rPr>
          <w:rFonts w:ascii="Arial" w:cs="Arial" w:eastAsia="Arial" w:hAnsi="Arial"/>
          <w:sz w:val="18"/>
          <w:szCs w:val="18"/>
          <w:color w:val="auto"/>
        </w:rPr>
        <w:t>TRANSFER IS BEING MADE IN COMPLIANCE WITH THE SECURITIES ACT AND APPLICABLE STATE SECURITIES LAWS. NO REPRESENTATION IS MADE AS TO THE AVAILABILITY OF ANY EXEMPTION FROM THE REGISTRATION REQUIREMENTS OF THE SECURITIES ACT.</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9" w:name="page30"/>
    <w:bookmarkEnd w:id="29"/>
    <w:p>
      <w:pPr>
        <w:ind w:right="80" w:firstLine="987"/>
        <w:spacing w:after="0" w:line="254" w:lineRule="auto"/>
        <w:tabs>
          <w:tab w:leader="none" w:pos="1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Note or Common Stock issued upon the conversion or exchange of a Note that is repurchased or owned by any Affiliate of the Company (or any Person who was an Affiliate of the Company at any time during the three months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Any Note that is repurchased or owned by the Company or any Affiliate of the Company will be considered outstanding for all purposes under this Indenture (other than as set forth in Section 8.04) unless and until such Note is surrendered to the Trustee for cancellation in accordance with Section 2.08.</w:t>
      </w:r>
    </w:p>
    <w:p>
      <w:pPr>
        <w:spacing w:after="0" w:line="194" w:lineRule="exact"/>
        <w:rPr>
          <w:rFonts w:ascii="Arial" w:cs="Arial" w:eastAsia="Arial" w:hAnsi="Arial"/>
          <w:sz w:val="18"/>
          <w:szCs w:val="18"/>
          <w:color w:val="auto"/>
        </w:rPr>
      </w:pPr>
    </w:p>
    <w:p>
      <w:pPr>
        <w:ind w:right="420" w:firstLine="987"/>
        <w:spacing w:after="0" w:line="257" w:lineRule="auto"/>
        <w:tabs>
          <w:tab w:leader="none" w:pos="12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or holders of any Global Note) other than to require delivery of such certificates and other documentation or evidence as are expressly required by the terms of this Indenture, and to examine the same to determine substantial compliance as to form with the express requirements thereof.</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Neither the Trustee nor any agent shall have any responsibility or liability for any actions taken or not taken by the Depositary.</w:t>
      </w:r>
    </w:p>
    <w:p>
      <w:pPr>
        <w:spacing w:after="0" w:line="23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Mutilated, Destroyed, Lost or Stolen Notes</w:t>
      </w:r>
      <w:r>
        <w:rPr>
          <w:rFonts w:ascii="Arial" w:cs="Arial" w:eastAsia="Arial" w:hAnsi="Arial"/>
          <w:sz w:val="17"/>
          <w:szCs w:val="17"/>
          <w:color w:val="auto"/>
        </w:rPr>
        <w:t>. In case any Note shall become mutilated or be destroyed, lost or stolen, the Company in its discretion may execute, and upon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7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XIII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Note and of the ownership thereof.</w:t>
      </w:r>
    </w:p>
    <w:p>
      <w:pPr>
        <w:spacing w:after="0" w:line="168"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redemption or repurchase of mutilated, destroyed, lost or stolen Notes and shall preclude any and all other rights or remedies notwithstanding any law or statute existing or hereafter enacted to the contrary with respect to the replacement, payment, repurchase, redemption or conversion of negotiable instruments or other securities without their surrender.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0" w:name="page31"/>
    <w:bookmarkEnd w:id="30"/>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2.07 </w:t>
      </w:r>
      <w:r>
        <w:rPr>
          <w:rFonts w:ascii="Arial" w:cs="Arial" w:eastAsia="Arial" w:hAnsi="Arial"/>
          <w:sz w:val="16"/>
          <w:szCs w:val="16"/>
          <w:u w:val="single" w:color="auto"/>
          <w:color w:val="auto"/>
        </w:rPr>
        <w:t>Temporary Notes</w:t>
      </w:r>
      <w:r>
        <w:rPr>
          <w:rFonts w:ascii="Arial" w:cs="Arial" w:eastAsia="Arial" w:hAnsi="Arial"/>
          <w:sz w:val="16"/>
          <w:szCs w:val="16"/>
          <w:color w:val="auto"/>
        </w:rPr>
        <w:t>. Pending the preparation of Physical Notes, the Company may execute and the Trustee or an authenticating agent appointed by the Trustee shall, upon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72"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 of Notes Paid, Converted, Etc</w:t>
      </w:r>
      <w:r>
        <w:rPr>
          <w:rFonts w:ascii="Arial" w:cs="Arial" w:eastAsia="Arial" w:hAnsi="Arial"/>
          <w:sz w:val="18"/>
          <w:szCs w:val="18"/>
          <w:color w:val="auto"/>
        </w:rPr>
        <w:t>. The Company shall cause all Notes surrendered for the purpose of payment at maturity, redemption, registration of transfer or exchange or conversion, if surrendered to any of the Company’s agents, Subsidiaries, or Affiliates, to be surrendered to the Trustee for cancellation and they will no longer be considered “outstanding” under this Indenture upon their payment at maturity, redemption, registration of transfer or exchange or conversion. All Notes delivered to the Trustee shall be canceled by it in accordance with its customary procedures. Except for any Notes surrendered for registration of transfer or exchange, no Notes shall be authenticated in exchange therefor except as expressly permitted by any of the provisions of this Indenture. The Trustee shall dispose of canceled Notes in accordance with its customary procedures and, after such disposition, shall deliver a certificate of such disposition to the Company, at the Company’s written request in a Company Order.</w:t>
      </w:r>
    </w:p>
    <w:p>
      <w:pPr>
        <w:spacing w:after="0" w:line="192"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CUSIP Numbers</w:t>
      </w:r>
      <w:r>
        <w:rPr>
          <w:rFonts w:ascii="Arial" w:cs="Arial" w:eastAsia="Arial" w:hAnsi="Arial"/>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for any defect in the “CUSIP” numbers as they appear on any Note, notice or elsewhere,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Additional Notes; Repurchases</w:t>
      </w:r>
      <w:r>
        <w:rPr>
          <w:rFonts w:ascii="Arial" w:cs="Arial" w:eastAsia="Arial" w:hAnsi="Arial"/>
          <w:sz w:val="16"/>
          <w:szCs w:val="16"/>
          <w:color w:val="auto"/>
        </w:rPr>
        <w:t xml:space="preserve">. The Company may, without the consent of the Holders and notwithstanding Section 2.01, reopen this Indenture and issue additional Notes hereunder with the same terms as the Notes initially issued hereunder (except for any differences in the issue date, issue price and, if applicable, restrictions on transfer in respect of such additional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16.05. In addition, the Company may, to the extent permitted by law, and directly or indirectly (regardless of whether such Notes are surrendered to the Company), repurchase Notes in the open market or otherwise, with or without notice to Holders, whether by the Company or its Subsidiaries or through a private or public tender or exchange offer or through counterparties pursuant to private agreements, including by cash-settled swaps or other derivatives. The Company may, at its option and to the extent permitted by applicable law, reissue, resell, hold or surrender to the Trustee for cancellation, any Notes that it may repurchase, in the case of a reissuance or resale, so long as the Notes do not constitute “restricted securities” within the meaning of Rule 144(a)(3) under the Securities Act upon such reissuance or resale. Any Notes that the Company or its Subsidiaries may repurchase will be considered outstanding for all purposes under this Indenture (other than, at any time when such Notes are held by the Company, any of its Subsidiaries or its Affiliates or any Subsidiary of any of such Affiliates, for the purpose of determining whether Holders of the requisite aggregate principal amount of Notes have concurred in any direction, consent, waiver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1" w:name="page32"/>
    <w:bookmarkEnd w:id="31"/>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other action under this Indenture, such Notes shall be disregarded as set forth in Section 8.04) unless and until such time as the Company surrenders such Notes to the Trustee for cancellation and, upon receipt of a Company Order, the Trustee will cancel all Notes so surrendered in accordance with Section 2.08.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10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Satisfaction and Discharge</w:t>
      </w:r>
      <w:r>
        <w:rPr>
          <w:rFonts w:ascii="Arial" w:cs="Arial" w:eastAsia="Arial" w:hAnsi="Arial"/>
          <w:sz w:val="17"/>
          <w:szCs w:val="17"/>
          <w:color w:val="auto"/>
        </w:rPr>
        <w:t>. This Indenture shall upon request of the Company contained in an Officer’s Certificate cease to be of further effect, and the Trustee, at the expense of the Company, shall execute such instruments reasonably requested by the Company acknowledging satisfaction and discharge of this Indenture, when (a) (i) all Notes theretofore authenticated and delivered (other than (x) Notes which have been destroyed, lost or stolen and which have been replaced, paid or converted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and shares of Common Stock, if any,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 COVENANTS OF THE COMPANY</w:t>
      </w:r>
    </w:p>
    <w:p>
      <w:pPr>
        <w:spacing w:after="0" w:line="103"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Payment of Principal and Special Interest</w:t>
      </w:r>
      <w:r>
        <w:rPr>
          <w:rFonts w:ascii="Arial" w:cs="Arial" w:eastAsia="Arial" w:hAnsi="Arial"/>
          <w:sz w:val="17"/>
          <w:szCs w:val="17"/>
          <w:color w:val="auto"/>
        </w:rPr>
        <w:t>. The Company covenants and agrees that it will cause to be paid the principal (including the Redemption Price and the Fundamental Change Repurchase Price, if applicable) of, and any accrued and unpaid Special Interest on, each of the Notes at the places, at the respective times and in the manner provided herein and in the Notes.</w:t>
      </w:r>
    </w:p>
    <w:p>
      <w:pPr>
        <w:spacing w:after="0" w:line="165"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an office or agency, which initially shall be the Corporate Trust Office, where the Notes may be surrendered for registration of transfer or exchange or for presentation for payment or repurchase (“</w:t>
      </w:r>
      <w:r>
        <w:rPr>
          <w:rFonts w:ascii="Arial" w:cs="Arial" w:eastAsia="Arial" w:hAnsi="Arial"/>
          <w:sz w:val="16"/>
          <w:szCs w:val="16"/>
          <w:b w:val="1"/>
          <w:bCs w:val="1"/>
          <w:color w:val="auto"/>
        </w:rPr>
        <w:t>Paying 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w:t>
      </w:r>
    </w:p>
    <w:p>
      <w:pPr>
        <w:spacing w:after="0" w:line="15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designation or rescission shall in any manner relieve the Company of its obligation to maintain an office or agency in the United States of America so designated by the Trustee as a place for such purposes. The Company will give prompt written notice to the Trustee of any such designation or rescission and of any change in the location of any such other office or agency. The terms “</w:t>
      </w:r>
      <w:r>
        <w:rPr>
          <w:rFonts w:ascii="Arial" w:cs="Arial" w:eastAsia="Arial" w:hAnsi="Arial"/>
          <w:sz w:val="18"/>
          <w:szCs w:val="18"/>
          <w:b w:val="1"/>
          <w:bCs w:val="1"/>
          <w:color w:val="auto"/>
        </w:rPr>
        <w:t>Paying Agent</w:t>
      </w:r>
      <w:r>
        <w:rPr>
          <w:rFonts w:ascii="Arial" w:cs="Arial" w:eastAsia="Arial" w:hAnsi="Arial"/>
          <w:sz w:val="18"/>
          <w:szCs w:val="18"/>
          <w:color w:val="auto"/>
        </w:rPr>
        <w:t>” and “</w:t>
      </w:r>
      <w:r>
        <w:rPr>
          <w:rFonts w:ascii="Arial" w:cs="Arial" w:eastAsia="Arial" w:hAnsi="Arial"/>
          <w:sz w:val="18"/>
          <w:szCs w:val="18"/>
          <w:b w:val="1"/>
          <w:bCs w:val="1"/>
          <w:color w:val="auto"/>
        </w:rPr>
        <w:t>Conversion Agent</w:t>
      </w:r>
      <w:r>
        <w:rPr>
          <w:rFonts w:ascii="Arial" w:cs="Arial" w:eastAsia="Arial" w:hAnsi="Arial"/>
          <w:sz w:val="18"/>
          <w:szCs w:val="18"/>
          <w:color w:val="auto"/>
        </w:rPr>
        <w:t>” include any such additional or other offices or agencies, as applicable.</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The Company hereby initially designates the Trustee as the Paying Agent, Note Registrar and Conversion Agent and the Corporate Trust Office as the office or agency in the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Corporate Trust Office shall not be a place for service of legal process for the Company.</w:t>
      </w:r>
    </w:p>
    <w:p>
      <w:pPr>
        <w:spacing w:after="0" w:line="171"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Appointments to Fill Vacancies in Trustee’s Office</w:t>
      </w:r>
      <w:r>
        <w:rPr>
          <w:rFonts w:ascii="Arial" w:cs="Arial" w:eastAsia="Arial" w:hAnsi="Arial"/>
          <w:sz w:val="17"/>
          <w:szCs w:val="17"/>
          <w:color w:val="auto"/>
        </w:rPr>
        <w:t>. The Company, whenever necessary to avoid or fill a vacancy in the office of Trustee, will appoint, in the manner provided in Section 7.09, a Trustee, so that there shall at all times be a Trustee hereunder.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2" w:name="page33"/>
    <w:bookmarkEnd w:id="32"/>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4.04 </w:t>
      </w:r>
      <w:r>
        <w:rPr>
          <w:rFonts w:ascii="Arial" w:cs="Arial" w:eastAsia="Arial" w:hAnsi="Arial"/>
          <w:sz w:val="18"/>
          <w:szCs w:val="18"/>
          <w:u w:val="single" w:color="auto"/>
          <w:color w:val="auto"/>
        </w:rPr>
        <w:t>Provisions as to Paying Agent</w:t>
      </w:r>
      <w:r>
        <w:rPr>
          <w:rFonts w:ascii="Arial" w:cs="Arial" w:eastAsia="Arial" w:hAnsi="Arial"/>
          <w:sz w:val="18"/>
          <w:szCs w:val="18"/>
          <w:color w:val="auto"/>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76" w:lineRule="exact"/>
        <w:rPr>
          <w:sz w:val="20"/>
          <w:szCs w:val="20"/>
          <w:color w:val="auto"/>
        </w:rPr>
      </w:pPr>
    </w:p>
    <w:p>
      <w:pPr>
        <w:ind w:left="440" w:right="160" w:firstLine="948"/>
        <w:spacing w:after="0" w:line="263" w:lineRule="auto"/>
        <w:tabs>
          <w:tab w:leader="none" w:pos="16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(including the Redemption Price and Fundamental Change Repurchase Price, if applicable) of, and any accrued and unpaid Special Interest on, the Notes in trust for the benefit of the Holders of the Notes;</w:t>
      </w:r>
    </w:p>
    <w:p>
      <w:pPr>
        <w:spacing w:after="0" w:line="75"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it will give the Trustee prompt notice of any failure by the Company to make any payment of the principal (including the Redemption Price and Fundamental Change Repurchase Price, if applicable) of, and accrued and unpaid Special Interest on, the Notes when the same shall be due and payable; and</w:t>
      </w:r>
    </w:p>
    <w:p>
      <w:pPr>
        <w:spacing w:after="0" w:line="75" w:lineRule="exact"/>
        <w:rPr>
          <w:rFonts w:ascii="Arial" w:cs="Arial" w:eastAsia="Arial" w:hAnsi="Arial"/>
          <w:sz w:val="18"/>
          <w:szCs w:val="18"/>
          <w:color w:val="auto"/>
        </w:rPr>
      </w:pPr>
    </w:p>
    <w:p>
      <w:pPr>
        <w:ind w:left="440" w:firstLine="948"/>
        <w:spacing w:after="0" w:line="277" w:lineRule="auto"/>
        <w:tabs>
          <w:tab w:leader="none" w:pos="17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17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The Company shall, on or before each due date of the principal (including the Redemption Price and the Fundamental Change Repurchase Price, if applicable) of, or any accrued and unpaid Special Interest on, the Notes, deposit with the Paying Agent a sum sufficient to pay such principal (including the Redemption Price and the Fundamental Change Repurchase Price, if applicable) or any such accrued and unpaid Special Interest, and (unless such Paying Agent is the Trustee) the Company will promptly notify the Trustee of any failure to take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deposit is made on the due date, such deposit must be received by the Paying Agent by 11:00 a.m., New York City time, on such date.</w:t>
      </w:r>
    </w:p>
    <w:p>
      <w:pPr>
        <w:spacing w:after="0" w:line="161" w:lineRule="exact"/>
        <w:rPr>
          <w:sz w:val="20"/>
          <w:szCs w:val="20"/>
          <w:color w:val="auto"/>
        </w:rPr>
      </w:pPr>
    </w:p>
    <w:p>
      <w:pPr>
        <w:ind w:right="40" w:firstLine="987"/>
        <w:spacing w:after="0" w:line="254"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Company shall act as its own Paying Agent, it will, on or before each due date of the principal (including the Redemption Price and the Fundamental Change Repurchase Price, if applicable) of, and any accrued and unpaid Special Interest on, the Notes, set aside, segregate and hold in trust for the benefit of the Holders of the Notes a sum sufficient to pay such principal (including the Redemption Price and the Fundamental Change Repurchase Price, if applicable) and any accrued and unpaid Special Interest so becoming due and will promptly notify the Trustee in writing of any failure to take such action and of any failure by the Company to make any payment of the principal (including the Redemption Price and the Fundamental Change Repurchase Price, if applicable) of, or any accrued and unpaid Special Interest on, the Notes when the same shall become due and payable.</w:t>
      </w:r>
    </w:p>
    <w:p>
      <w:pPr>
        <w:spacing w:after="0" w:line="194" w:lineRule="exact"/>
        <w:rPr>
          <w:rFonts w:ascii="Arial" w:cs="Arial" w:eastAsia="Arial" w:hAnsi="Arial"/>
          <w:sz w:val="18"/>
          <w:szCs w:val="18"/>
          <w:color w:val="auto"/>
        </w:rPr>
      </w:pPr>
    </w:p>
    <w:p>
      <w:pPr>
        <w:ind w:right="40" w:firstLine="987"/>
        <w:spacing w:after="0" w:line="257"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7" w:lineRule="exact"/>
        <w:rPr>
          <w:rFonts w:ascii="Arial" w:cs="Arial" w:eastAsia="Arial" w:hAnsi="Arial"/>
          <w:sz w:val="18"/>
          <w:szCs w:val="18"/>
          <w:color w:val="auto"/>
        </w:rPr>
      </w:pPr>
    </w:p>
    <w:p>
      <w:pPr>
        <w:ind w:right="20" w:firstLine="987"/>
        <w:spacing w:after="0" w:line="268" w:lineRule="auto"/>
        <w:tabs>
          <w:tab w:leader="none" w:pos="124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Subject to applicable abandoned property laws, any money and shares of Common Stock deposited with the Trustee or any Paying Agent, or then held by the Company, in trust for the payment of the principal (including the Redemption Price and the Fundamental Change Repurchase Price, if applicable) of, any accrued and unpaid Special Interest on and the consideration due upon conversion of any Note and remaining unclaimed for two years after such principal (including the Redemption Price and the Fundamental Change Repurchase Price, if applicable), Special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(but shall not be obligated) at the expense of the Company cause to be published once, in a newspaper published in the English language, customarily published on each Business Day and of general circulation in The Borough of Manhattan, The City of New York, notice that such money and shares of Common Stock remains unclaimed and that, after a date specified therein, which shall not be less than 30 days from the date of such publication, any unclaimed balance of such money and shares of Common Stock then remaining will be repaid or delivered to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 w:name="page34"/>
    <w:bookmarkEnd w:id="3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Upon any Event of Default pursuant to Section 6.01(h) or (i), the Trustee shall automatically be the Paying Agent.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Existence</w:t>
      </w:r>
      <w:r>
        <w:rPr>
          <w:rFonts w:ascii="Arial" w:cs="Arial" w:eastAsia="Arial" w:hAnsi="Arial"/>
          <w:sz w:val="18"/>
          <w:szCs w:val="18"/>
          <w:color w:val="auto"/>
        </w:rPr>
        <w:t>. Subject to Article XI, the Company shall do or cause to be done all things necessary to preserve and keep in full force and effect its corporate existence.</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Rule 144A Information Requirement and Annual Reports</w:t>
      </w:r>
      <w:r>
        <w:rPr>
          <w:rFonts w:ascii="Arial" w:cs="Arial" w:eastAsia="Arial" w:hAnsi="Arial"/>
          <w:sz w:val="18"/>
          <w:szCs w:val="18"/>
          <w:color w:val="auto"/>
        </w:rPr>
        <w:t>.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will, upon written request, provide to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92" w:lineRule="exact"/>
        <w:rPr>
          <w:sz w:val="20"/>
          <w:szCs w:val="20"/>
          <w:color w:val="auto"/>
        </w:rPr>
      </w:pPr>
    </w:p>
    <w:p>
      <w:pPr>
        <w:ind w:firstLine="987"/>
        <w:spacing w:after="0" w:line="254" w:lineRule="auto"/>
        <w:tabs>
          <w:tab w:leader="none" w:pos="1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file with the Trustee, within 15 days after the same are required to be filed with the Commission (giving effect to any grace period provided by Rule 12b-25 (or any successor rule) under the Exchange Act), copies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shall be deemed to be filed with the Trustee for purposes of this Section 4.06(b) at the time such documents are filed via the EDGAR system (or any successor thereto), it being understood that the Trustee shall not be responsible for determining whether such filings have been made.</w:t>
      </w:r>
    </w:p>
    <w:p>
      <w:pPr>
        <w:spacing w:after="0" w:line="194" w:lineRule="exact"/>
        <w:rPr>
          <w:rFonts w:ascii="Arial" w:cs="Arial" w:eastAsia="Arial" w:hAnsi="Arial"/>
          <w:sz w:val="18"/>
          <w:szCs w:val="18"/>
          <w:color w:val="auto"/>
        </w:rPr>
      </w:pPr>
    </w:p>
    <w:p>
      <w:pPr>
        <w:ind w:right="400" w:firstLine="987"/>
        <w:spacing w:after="0" w:line="259"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Delivery of the reports and documents described in subsection (b) above to the Trustee is for informational purposes only, and the Trustee’s receipt of such shall not constitute actual or constructive notice of any information contained therein or determinable from information contained therein, including the Company’s compliance with any of the Company’s covenants hereunder (as to which the Trustee is entitled to conclusively rely on an Officer’s Certificate).</w:t>
      </w:r>
    </w:p>
    <w:p>
      <w:pPr>
        <w:spacing w:after="0" w:line="186" w:lineRule="exact"/>
        <w:rPr>
          <w:rFonts w:ascii="Arial" w:cs="Arial" w:eastAsia="Arial" w:hAnsi="Arial"/>
          <w:sz w:val="18"/>
          <w:szCs w:val="18"/>
          <w:color w:val="auto"/>
        </w:rPr>
      </w:pPr>
    </w:p>
    <w:p>
      <w:pPr>
        <w:ind w:right="20" w:firstLine="987"/>
        <w:spacing w:after="0" w:line="287" w:lineRule="auto"/>
        <w:tabs>
          <w:tab w:leader="none" w:pos="12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by Holders other than the Company’s Affiliates or Holders that were the Company’s Affiliates at any time during the three months preceding (as a result of restrictions pursuant to U.S. securities laws or the terms of this Indenture or the Notes), the Company shall pay Special Interest on the Notes. Such Special Interest shall accrue on the Notes at the rate of 0.50% per annum of the principal amount of the Notes outstanding for each day during such period for which the Company’s failure to file has occurred and is continuing or the Notes are not otherwise freely tradable by Holders other than the Company’s Affiliates (or Holders that have been the Company’s Affiliates at any time during the three months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171" w:lineRule="exact"/>
        <w:rPr>
          <w:rFonts w:ascii="Arial" w:cs="Arial" w:eastAsia="Arial" w:hAnsi="Arial"/>
          <w:sz w:val="16"/>
          <w:szCs w:val="16"/>
          <w:color w:val="auto"/>
        </w:rPr>
      </w:pPr>
    </w:p>
    <w:p>
      <w:pPr>
        <w:ind w:right="20" w:firstLine="987"/>
        <w:spacing w:after="0" w:line="288" w:lineRule="auto"/>
        <w:tabs>
          <w:tab w:leader="none" w:pos="12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and for so long as, the restrictive legend on the Notes specified in Section 2.05(c) has not been removed, the Notes are assigned a restricted CUSIP number or the Notes are not otherwise freely tradable by Holders other than the Company’s Affiliates or Holders that were the Company’s Affiliates at any time during the three months preceding (without restrictions pursuant to U.S. securities laws or the terms of this Indenture or the Notes) as of the 380th day after the last date of original issuance of the Notes, the Company shall pay Special Interest on the Notes at a rate equal to 0.50% per annum of the principal amount of Notes outstanding until the restrictive legend on the Notes has been removed in accordance with Section 2.05(c), the Notes are assigned an unrestricted CUSIP and the Notes are freely tradable by Holders other than the Company’s Affiliates (or Holders that were the Company’s Affiliates at any time during the three months preceding) (without restrictions pursuant to U.S. securities laws or the terms of this Indenture or the Notes). For purposes of this clause (e), “freely tradable” shall mean that the Notes are eligible for sale and transfer without registration under the Securities Act pursuant to Rule 144 without regard to any of the conditions specified therein (other than the holding period requirement in paragraph (d) of Rule 144 so long as such holding period requirement is satisfied at the time of determination).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4" w:name="page35"/>
    <w:bookmarkEnd w:id="34"/>
    <w:p>
      <w:pPr>
        <w:ind w:left="1220" w:hanging="233"/>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Special Interest will be payable in arrears on each Special Interest Payment Date as set forth in Section 2.03(b).</w:t>
      </w:r>
    </w:p>
    <w:p>
      <w:pPr>
        <w:spacing w:after="0" w:line="225" w:lineRule="exact"/>
        <w:rPr>
          <w:rFonts w:ascii="Arial" w:cs="Arial" w:eastAsia="Arial" w:hAnsi="Arial"/>
          <w:sz w:val="18"/>
          <w:szCs w:val="18"/>
          <w:color w:val="auto"/>
        </w:rPr>
      </w:pPr>
    </w:p>
    <w:p>
      <w:pPr>
        <w:ind w:firstLine="987"/>
        <w:spacing w:after="0" w:line="273" w:lineRule="auto"/>
        <w:tabs>
          <w:tab w:leader="none" w:pos="12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Special Interest that is payable in accordance with Section 4.06(d) or Section 4.06(e) shall be in addition to, and not in lieu of, any Special Interest that may be payable as a result of the Company’s election pursuant to Section 6.03. Notwithstanding the foregoing, in no event shall Special Interest accrue under the terms of this Indenture (aggregating any Special Interest payable pursuant to Section 4.06(d) or Section 4.06(e) with any Special Interest payable pursuant to Section 6.03) at a rate per year in excess of 0.50%, regardless of the number of events or circumstances giving rise to the requirement to pay such Special Interest. The Trustee shall have no duty to verify the Company’s determination of whether Special Interest is due or the Company’s calculations as to the amount of Special Interest.</w:t>
      </w:r>
    </w:p>
    <w:p>
      <w:pPr>
        <w:spacing w:after="0" w:line="177" w:lineRule="exact"/>
        <w:rPr>
          <w:rFonts w:ascii="Arial" w:cs="Arial" w:eastAsia="Arial" w:hAnsi="Arial"/>
          <w:sz w:val="17"/>
          <w:szCs w:val="17"/>
          <w:color w:val="auto"/>
        </w:rPr>
      </w:pPr>
    </w:p>
    <w:p>
      <w:pPr>
        <w:ind w:right="20" w:firstLine="987"/>
        <w:spacing w:after="0" w:line="275" w:lineRule="auto"/>
        <w:tabs>
          <w:tab w:leader="none" w:pos="12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a certificate, the Trustee may assume without inquiry that no such Special Interest is payable. If the Company has paid Special Interest directly to the Persons entitled to it, the Company shall deliver to the Trustee an Officer’s Certificate setting forth the particulars of such payment.</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Special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9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Compliance Certificate; Statements as to Defaults</w:t>
      </w:r>
      <w:r>
        <w:rPr>
          <w:rFonts w:ascii="Arial" w:cs="Arial" w:eastAsia="Arial" w:hAnsi="Arial"/>
          <w:sz w:val="18"/>
          <w:szCs w:val="18"/>
          <w:color w:val="auto"/>
        </w:rPr>
        <w:t>. The Company shall deliver to the Trustee within 120 days after the end of each fiscal year of the Company (beginning with the fiscal year ending on December 31, 2021) an Officer’s Certificate stating whether the signers thereof have knowledge of any failure by the Company to comply with all conditions and covenants then required to be performed under this Indenture and, if so, specifying each such failure and the nature thereof.</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In addition, the Company shall deliver to the Trustee, as soon as possible, and in any event within 30 days after the occurrence of any Event of Default or Default, an Officer’s Certificate setting forth the details of such Event of Default or Default, its status and the action that the Company is taking or proposing to take in respect thereof; provided, that the Company is not required to deliver such notice if such Default or Event of Default has been cured within the applicable grace period (if any) as provided for in this Indenture.</w:t>
      </w:r>
    </w:p>
    <w:p>
      <w:pPr>
        <w:spacing w:after="0" w:line="18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Further Instruments and Acts</w:t>
      </w:r>
      <w:r>
        <w:rPr>
          <w:rFonts w:ascii="Arial" w:cs="Arial" w:eastAsia="Arial" w:hAnsi="Arial"/>
          <w:sz w:val="17"/>
          <w:szCs w:val="17"/>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LISTS OF HOLDERS AND REPORTS BY THE COMPANY AND THE TRUSTEE</w:t>
      </w:r>
    </w:p>
    <w:p>
      <w:pPr>
        <w:spacing w:after="0" w:line="211" w:lineRule="exact"/>
        <w:rPr>
          <w:sz w:val="20"/>
          <w:szCs w:val="20"/>
          <w:color w:val="auto"/>
        </w:rPr>
      </w:pPr>
    </w:p>
    <w:p>
      <w:pPr>
        <w:jc w:val="both"/>
        <w:ind w:right="280" w:firstLine="440"/>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Lists of Holders</w:t>
      </w:r>
      <w:r>
        <w:rPr>
          <w:rFonts w:ascii="Arial" w:cs="Arial" w:eastAsia="Arial" w:hAnsi="Arial"/>
          <w:sz w:val="18"/>
          <w:szCs w:val="18"/>
          <w:color w:val="auto"/>
        </w:rPr>
        <w:t>. The Company covenants and agrees that it will furnish or cause to be furnished to the Trustee and any Paying Agent, semi-annually, not more than 15 days after each February 15 and August 15 in each year beginning with August 15, 2021, and at such other times as the Trustee may request in writing, within 30 days after receipt by the Company of any such request (or such lesser time as the Trustee may reasonably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35" w:name="page36"/>
    <w:bookmarkEnd w:id="3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and Disclosure of Lists</w:t>
      </w:r>
      <w:r>
        <w:rPr>
          <w:rFonts w:ascii="Arial" w:cs="Arial" w:eastAsia="Arial" w:hAnsi="Arial"/>
          <w:sz w:val="18"/>
          <w:szCs w:val="18"/>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events shall be an “Event of Default” with respect to the Notes:</w:t>
      </w:r>
    </w:p>
    <w:p>
      <w:pPr>
        <w:spacing w:after="0" w:line="225" w:lineRule="exact"/>
        <w:rPr>
          <w:sz w:val="20"/>
          <w:szCs w:val="20"/>
          <w:color w:val="auto"/>
        </w:rPr>
      </w:pPr>
    </w:p>
    <w:p>
      <w:pPr>
        <w:ind w:left="1240" w:hanging="253"/>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default in any payment of Special Interest on any Note when due and payable, and the default continues for a period of 30 days;</w:t>
      </w:r>
    </w:p>
    <w:p>
      <w:pPr>
        <w:spacing w:after="0" w:line="236" w:lineRule="exact"/>
        <w:rPr>
          <w:rFonts w:ascii="Arial" w:cs="Arial" w:eastAsia="Arial" w:hAnsi="Arial"/>
          <w:sz w:val="17"/>
          <w:szCs w:val="17"/>
          <w:color w:val="auto"/>
        </w:rPr>
      </w:pPr>
    </w:p>
    <w:p>
      <w:pPr>
        <w:ind w:right="360" w:firstLine="987"/>
        <w:spacing w:after="0" w:line="277"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on the Maturity Date, upon Optional Redemption, upon any required repurchase, upon declaration of acceleration, or otherwise;</w:t>
      </w:r>
    </w:p>
    <w:p>
      <w:pPr>
        <w:spacing w:after="0" w:line="170" w:lineRule="exact"/>
        <w:rPr>
          <w:rFonts w:ascii="Arial" w:cs="Arial" w:eastAsia="Arial" w:hAnsi="Arial"/>
          <w:sz w:val="18"/>
          <w:szCs w:val="18"/>
          <w:color w:val="auto"/>
        </w:rPr>
      </w:pPr>
    </w:p>
    <w:p>
      <w:pPr>
        <w:ind w:right="640" w:firstLine="987"/>
        <w:spacing w:after="0" w:line="277"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in accordance with this Indenture upon exercise of a Holder’s conversion right and such failure continues for a period of three Business Days;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Article XI;</w:t>
      </w:r>
    </w:p>
    <w:p>
      <w:pPr>
        <w:spacing w:after="0" w:line="225" w:lineRule="exact"/>
        <w:rPr>
          <w:rFonts w:ascii="Arial" w:cs="Arial" w:eastAsia="Arial" w:hAnsi="Arial"/>
          <w:sz w:val="18"/>
          <w:szCs w:val="18"/>
          <w:color w:val="auto"/>
        </w:rPr>
      </w:pPr>
    </w:p>
    <w:p>
      <w:pPr>
        <w:jc w:val="both"/>
        <w:ind w:right="160" w:firstLine="987"/>
        <w:spacing w:after="0" w:line="263"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the Company to issue a Fundamental Change Company Notice in accordance with Section 14.02(c) or notice of a specified corporate event in accordance with Section 13.01(b)(ii) or Section 13.01(b)(iii), in each case when due and such failure continues for a period of three Business Days;</w:t>
      </w:r>
    </w:p>
    <w:p>
      <w:pPr>
        <w:spacing w:after="0" w:line="183" w:lineRule="exact"/>
        <w:rPr>
          <w:rFonts w:ascii="Arial" w:cs="Arial" w:eastAsia="Arial" w:hAnsi="Arial"/>
          <w:sz w:val="18"/>
          <w:szCs w:val="18"/>
          <w:color w:val="auto"/>
        </w:rPr>
      </w:pPr>
    </w:p>
    <w:p>
      <w:pPr>
        <w:ind w:firstLine="987"/>
        <w:spacing w:after="0" w:line="308" w:lineRule="auto"/>
        <w:tabs>
          <w:tab w:leader="none" w:pos="12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46" w:lineRule="exact"/>
        <w:rPr>
          <w:rFonts w:ascii="Arial" w:cs="Arial" w:eastAsia="Arial" w:hAnsi="Arial"/>
          <w:sz w:val="17"/>
          <w:szCs w:val="17"/>
          <w:color w:val="auto"/>
        </w:rPr>
      </w:pPr>
    </w:p>
    <w:p>
      <w:pPr>
        <w:ind w:firstLine="987"/>
        <w:spacing w:after="0" w:line="289" w:lineRule="auto"/>
        <w:tabs>
          <w:tab w:leader="none" w:pos="12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by the Company or any Significant Subsidiary with respect to any mortgage, agreement, or other instrument under which there may be outstanding, or by which there may be secured or evidenced, any indebtedness for money borrowed in excess of $75,000,000 (or its foreign currency equivalent) in the aggregate of the Company and/or any such Significant Subsidiary, whether such indebtedness now exists or shall hereafter be created (i) resulting in such indebtedness becoming or being declared due and payable or (ii) constituting a failure to pay the principal of any such indebtedness when due and payable at its stated maturity, upon required repurchase, upon declaration of acceleration or otherwise, and in the cases of clauses (i) and (ii) such acceleration shall not, after the expiration of any applicable grace period, have been rescinded or annulled or such failure to pay or default shall not have been cured or waived, or such indebtedness shall not have been paid or discharged, as the case may be, within 30 days after written notice of such acceleration or failure to pay, as the case may be, has been received by the Company or such Subsidiary of the Company from the Trustee, or by the Trustee and the Company from the Holders of at least 25% in principal amount of the Notes then outstanding;</w:t>
      </w:r>
    </w:p>
    <w:p>
      <w:pPr>
        <w:spacing w:after="0" w:line="166" w:lineRule="exact"/>
        <w:rPr>
          <w:rFonts w:ascii="Arial" w:cs="Arial" w:eastAsia="Arial" w:hAnsi="Arial"/>
          <w:sz w:val="16"/>
          <w:szCs w:val="16"/>
          <w:color w:val="auto"/>
        </w:rPr>
      </w:pPr>
    </w:p>
    <w:p>
      <w:pPr>
        <w:ind w:right="20" w:firstLine="987"/>
        <w:spacing w:after="0" w:line="255"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6" w:name="page37"/>
    <w:bookmarkEnd w:id="36"/>
    <w:p>
      <w:pPr>
        <w:ind w:right="60" w:firstLine="987"/>
        <w:spacing w:after="0" w:line="257" w:lineRule="auto"/>
        <w:tabs>
          <w:tab w:leader="none" w:pos="1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188"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Acceleration; Rescission and Annulment</w:t>
      </w:r>
      <w:r>
        <w:rPr>
          <w:rFonts w:ascii="Arial" w:cs="Arial" w:eastAsia="Arial" w:hAnsi="Arial"/>
          <w:sz w:val="16"/>
          <w:szCs w:val="16"/>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any accrued and unpaid Special Interest on, all the Notes to be due and payable immediately, and upon any such declaration the same shall become and shall automatically be immediately due and payable, anything in this Indenture or in the Notes contained to the contrary notwithstanding. If an Event of Default specified in Section 6.01(h) or Section 6.01(i) with respect to the Company occurs and is continuing, 100% of the principal of, and accrued and unpaid Special Interest, if any, on, all Notes shall become and shall automatically be immediately due and payable.</w:t>
      </w:r>
    </w:p>
    <w:p>
      <w:pPr>
        <w:spacing w:after="0" w:line="168" w:lineRule="exact"/>
        <w:rPr>
          <w:sz w:val="20"/>
          <w:szCs w:val="20"/>
          <w:color w:val="auto"/>
        </w:rPr>
      </w:pPr>
    </w:p>
    <w:p>
      <w:pPr>
        <w:ind w:right="80" w:firstLine="440"/>
        <w:spacing w:after="0" w:line="285" w:lineRule="auto"/>
        <w:rPr>
          <w:sz w:val="20"/>
          <w:szCs w:val="20"/>
          <w:color w:val="auto"/>
        </w:rPr>
      </w:pPr>
      <w:r>
        <w:rPr>
          <w:rFonts w:ascii="Arial" w:cs="Arial" w:eastAsia="Arial" w:hAnsi="Arial"/>
          <w:sz w:val="16"/>
          <w:szCs w:val="16"/>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any accrued and unpaid Special Interest upon all Notes and the principal of any and all Notes that shall have become due otherwise than by acceleration (with interest on overdue installments of any accrued and unpaid Special Interest, and on such principal at the then-applicable Special Interest rate only and to the extent any Special Interest is payable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Special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any accrued and unpaid Special Interest on, any Notes, (ii) a failure to repurchase any Notes when required or (iii) a failure to pay or deliver, as the case may be, the consideration due upon conversion of the Notes.</w:t>
      </w:r>
    </w:p>
    <w:p>
      <w:pPr>
        <w:spacing w:after="0" w:line="3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Special Interest</w:t>
      </w:r>
      <w:r>
        <w:rPr>
          <w:rFonts w:ascii="Arial" w:cs="Arial" w:eastAsia="Arial" w:hAnsi="Arial"/>
          <w:sz w:val="17"/>
          <w:szCs w:val="17"/>
          <w:color w:val="auto"/>
        </w:rPr>
        <w:t>. Notwithstanding anything in this Indenture or in the Notes to the contrary, to the extent the Company elects, the sole remedy for an Event of Default relating to the Company’s failure to comply with its obligations as set forth in Section 4.06(b) shall, for the first 360 days after the occurrence of such an Event of Default, consist exclusively of the right to receive Special Interest on the Notes at a rate equal to (i) 0.25% per annum of the principal amount of the Notes outstanding for each day during the first 180 calendar days on which such Event of Default is continuing beginning on, and including, the date on which such Event of Default first occurs (or, if earlier, the date on which such Event of Default is cured or waived as provided for in this Indenture)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Special Interest payable pursuant to this Section 6.03 shall be in addition to, not in lieu of, any Special Interest payable pursuant to</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4.06(d) or Section 4.06(e). If the Company so elects, such Special Interest shall be payable as set forth in Section 2.03(b). On the 361st day after such Event of Default (if the Event of Default relating to the Company’s failure to comply with its obligations as set forth in Section 4.06(b) is not cured or waived prior to such 361st day), the Notes shall be immediately subject to acceleration as provided in Section 6.02. In the event the Company does not elect to pay Special Interest following an Event of Default in accordance with this Section 6.03 or the Company elected to make such payment but does not pay the Special Interest when due, the Notes shall be immediately subject to acceleration as provided in Section 6.02.</w:t>
      </w:r>
    </w:p>
    <w:p>
      <w:pPr>
        <w:spacing w:after="0" w:line="16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In order to elect to pay Special Interest as the sole remedy during the first 360 days after the occurrence of any Event of Default described in the immediately preceding paragraph, the Company must notify all Holders of the Notes, the Trustee and the Paying Agent of such election in writing prior to the beginning of such 360-day period. Upon the failure to timely give such notice, the Notes shall be immediately subject to acceleration as provided in Section 6.02.</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no event shall Special Interest accrue under the terms of this Indenture (aggregating any Special Interest payable pursuant to this Section 6.03 with any Special Interest payable pursuant to Section 4.06(d) or Section 4.06(e)) at a rate per year in excess of 0.50%, regardless of the number of events or circumstances giving rise to the requirement to pay such Special Interest.</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Payments of Notes on Default; Suit Therefor</w:t>
      </w:r>
      <w:r>
        <w:rPr>
          <w:rFonts w:ascii="Arial" w:cs="Arial" w:eastAsia="Arial" w:hAnsi="Arial"/>
          <w:sz w:val="17"/>
          <w:szCs w:val="17"/>
          <w:color w:val="auto"/>
        </w:rPr>
        <w:t>. If an Event of Default described in clause (a) or (b) of Section 6.01 shall have occurred, the Company shall, upon demand of the Trustee, pay to the Trustee, for the benefit of the Holders of the Notes, the whole amount then due and payable on the Notes for principal and Special Interest, if any, with no interest accruing on any overdue principal unless Special Interest was payable on the required payment date, in which case such payments will accrue interest at the then-applicable Special Interest rate from such required payment date,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Special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8" w:name="page39"/>
    <w:bookmarkEnd w:id="38"/>
    <w:p>
      <w:pPr>
        <w:jc w:val="both"/>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4"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5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Application of Monies Collected by Trustee</w:t>
      </w:r>
      <w:r>
        <w:rPr>
          <w:rFonts w:ascii="Arial" w:cs="Arial" w:eastAsia="Arial" w:hAnsi="Arial"/>
          <w:sz w:val="17"/>
          <w:szCs w:val="17"/>
          <w:color w:val="auto"/>
        </w:rPr>
        <w:t>. Any monies or property collected by the Trustee pursuant to this Article VI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(in each of its capacities) under Section 7.06;</w:t>
      </w:r>
    </w:p>
    <w:p>
      <w:pPr>
        <w:spacing w:after="0" w:line="117" w:lineRule="exact"/>
        <w:rPr>
          <w:sz w:val="20"/>
          <w:szCs w:val="20"/>
          <w:color w:val="auto"/>
        </w:rPr>
      </w:pPr>
    </w:p>
    <w:p>
      <w:pPr>
        <w:ind w:left="440" w:right="20"/>
        <w:spacing w:after="0" w:line="258"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Notes shall not have become due and be unpaid, to the payment of any Special Interest on,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cash due upon conversion of, the Notes in default in the order of the date due of the payments of such interest and cash due upon conversion, as the case may be, with interest (to the extent that any interest is payable on such Notes and has been collected by the Trustee) payable upon such overdue amounts at the rate of Special Interest then payable on such Notes, if any, such payments to be made ratably to the Persons entitled thereto;</w:t>
      </w:r>
    </w:p>
    <w:p>
      <w:pPr>
        <w:spacing w:after="0" w:line="75" w:lineRule="exact"/>
        <w:rPr>
          <w:sz w:val="20"/>
          <w:szCs w:val="20"/>
          <w:color w:val="auto"/>
        </w:rPr>
      </w:pPr>
    </w:p>
    <w:p>
      <w:pPr>
        <w:ind w:left="440" w:right="80"/>
        <w:spacing w:after="0" w:line="269" w:lineRule="auto"/>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in case the principal of the outstanding Notes shall have become due, by declaration or otherwise, and be unpaid to the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whole amount (including, if applicable, the payment of the Redemption Price and the Fundamental Change Repurchase Price and any cash due upon conversion) then owing and unpaid upon the Notes for principal and Special Interest, if any, with interest (to the extent that any interest is payable on such Notes and has been collected by the Trustee) on the overdue principal to the extent that such interest has been collected by the Trustee, payable upon such overdue installments of interest at the rate of Special Interest then payable on such Notes, if any, and in case such monies shall be insufficient to pay in full the whole amounts so due and unpaid upon the Notes, then to the payment of such principal (including, if applicable, the Redemption Price and the Fundamental Change Repurchase Price and the cash due upon conversion) and any Special Interest without preference or priority of principal over such Special Interest, or of any Special Interest over principal or of any installment of Special Interest over any other installment of Special Interest, or of any Note over any other Note, ratably to the aggregate of such principal (including, if applicable, the Redemption Price and the Fundamental Change Repurchase Price and any cash due upon conversion) and any accrued and unpaid Special Interest;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9" w:name="page40"/>
    <w:bookmarkEnd w:id="39"/>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Fourth</w:t>
      </w:r>
      <w:r>
        <w:rPr>
          <w:rFonts w:ascii="Arial" w:cs="Arial" w:eastAsia="Arial" w:hAnsi="Arial"/>
          <w:sz w:val="16"/>
          <w:szCs w:val="16"/>
          <w:color w:val="auto"/>
        </w:rPr>
        <w:t>, to the payment of the remainder, if any, to the Company or as a court of competent jurisdiction may direct in a final non-appealable order.</w:t>
      </w:r>
    </w:p>
    <w:p>
      <w:pPr>
        <w:spacing w:after="0" w:line="25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Proceedings by Holders</w:t>
      </w:r>
      <w:r>
        <w:rPr>
          <w:rFonts w:ascii="Arial" w:cs="Arial" w:eastAsia="Arial" w:hAnsi="Arial"/>
          <w:sz w:val="18"/>
          <w:szCs w:val="18"/>
          <w:color w:val="auto"/>
        </w:rPr>
        <w:t>.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such Holder previously shall have given to the Trustee written notice of an Event of Default and of the continuance thereof, as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provided;</w:t>
      </w:r>
    </w:p>
    <w:p>
      <w:pPr>
        <w:spacing w:after="0" w:line="211" w:lineRule="exact"/>
        <w:rPr>
          <w:sz w:val="20"/>
          <w:szCs w:val="20"/>
          <w:color w:val="auto"/>
        </w:rPr>
      </w:pPr>
    </w:p>
    <w:p>
      <w:pPr>
        <w:ind w:right="140" w:firstLine="987"/>
        <w:spacing w:after="0" w:line="277"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70"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Holders shall have offered to the Trustee such indemnity or security satisfactory to it against any loss, liability, or expense to be incurred therein or thereby;</w:t>
      </w:r>
    </w:p>
    <w:p>
      <w:pPr>
        <w:spacing w:after="0" w:line="170"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such indemnity or security, shall have neglected or refused to institute any such action, suit or proceeding; and</w:t>
      </w:r>
    </w:p>
    <w:p>
      <w:pPr>
        <w:spacing w:after="0" w:line="170" w:lineRule="exact"/>
        <w:rPr>
          <w:rFonts w:ascii="Arial" w:cs="Arial" w:eastAsia="Arial" w:hAnsi="Arial"/>
          <w:sz w:val="18"/>
          <w:szCs w:val="18"/>
          <w:color w:val="auto"/>
        </w:rPr>
      </w:pPr>
    </w:p>
    <w:p>
      <w:pPr>
        <w:ind w:right="380" w:firstLine="987"/>
        <w:spacing w:after="0" w:line="342" w:lineRule="auto"/>
        <w:tabs>
          <w:tab w:leader="none" w:pos="12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77"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Notwithstanding any other provision of this Indenture and any provision of any Note, the right of any Holder to receive payment or delivery, as the case may be, of (x) the principal (including the Redemption Price and the Fundamental Change Repurchase Price, if applicable) of, (y) accrued and unpaid Special Interest, if any,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spacing w:after="0" w:line="17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Proceedings by Trustee</w:t>
      </w:r>
      <w:r>
        <w:rPr>
          <w:rFonts w:ascii="Arial" w:cs="Arial" w:eastAsia="Arial" w:hAnsi="Arial"/>
          <w:sz w:val="18"/>
          <w:szCs w:val="18"/>
          <w:color w:val="auto"/>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Remedies Cumulative and Continuing</w:t>
      </w:r>
      <w:r>
        <w:rPr>
          <w:rFonts w:ascii="Arial" w:cs="Arial" w:eastAsia="Arial" w:hAnsi="Arial"/>
          <w:sz w:val="18"/>
          <w:szCs w:val="18"/>
          <w:color w:val="auto"/>
        </w:rPr>
        <w:t>. Except as provided in the last paragraph of Section 2.06, all powers and remedies given by this Article VI to the Trustee or to the Holders shall, to the extent permitted by law, be deemed cumulative and not exclusive of any thereof or of any other powers and remedies available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40" w:name="page41"/>
    <w:bookmarkEnd w:id="40"/>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VI or by law to the Trustee or to the Holders may be exercised from time to time, and as often as shall be deemed expedient, by the Trustee or by the Holders.</w:t>
      </w:r>
    </w:p>
    <w:p>
      <w:pPr>
        <w:spacing w:after="0" w:line="16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Direction of Proceedings and Waiver of Defaults by Majority of Holders</w:t>
      </w:r>
      <w:r>
        <w:rPr>
          <w:rFonts w:ascii="Arial" w:cs="Arial" w:eastAsia="Arial" w:hAnsi="Arial"/>
          <w:sz w:val="16"/>
          <w:szCs w:val="16"/>
          <w:color w:val="auto"/>
        </w:rPr>
        <w:t xml:space="preserve">. Subject to the Trustee’s right to receive security or indemnity from the relevant Holders as described therein,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in conflict with any rule of law or this Indenture,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Special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X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74"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The Trustee shall, within 90 days after a Responsible Officer receives written notice of the occurrence and continuance of a Default of which it has actual knowledge, send to all Holders in accordance with Section 16.03, notice of all such Defaults, unless such Defaults shall have been cured or waived before the giving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a Default in the payment of the principal of (including the Redemption Price and the Fundamental Change Repurchase Price, if applicable), or any accrued and unpaid Special Interest on, any of the Notes or a Default in the payment or delivery of the consideration due upon conversion, the Trustee shall be protected in withholding such notice if and so long as it in good faith determines that the withholding of such notice is in the interests of the Holders.</w:t>
      </w:r>
    </w:p>
    <w:p>
      <w:pPr>
        <w:spacing w:after="0" w:line="16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Undertaking to Pay Costs</w:t>
      </w:r>
      <w:r>
        <w:rPr>
          <w:rFonts w:ascii="Arial" w:cs="Arial" w:eastAsia="Arial" w:hAnsi="Arial"/>
          <w:sz w:val="16"/>
          <w:szCs w:val="16"/>
          <w:color w:val="auto"/>
        </w:rPr>
        <w:t>.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Special Interest, if any, on any Note (including, but not limited to, the Redemption Price with respect to Notes being redeemed and the Fundamental Change Repurchase Price with respect to the Notes being repurchased as provided in this Indenture) on or after the due date expressed or provided for in such Note or to any suit for the enforcement of the right to convert any Note (including the right to receive the consideration due upon conversion) in accordance with the provisions of Article XIII.</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1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and Responsibilities of Trustee</w:t>
      </w:r>
      <w:r>
        <w:rPr>
          <w:rFonts w:ascii="Arial" w:cs="Arial" w:eastAsia="Arial" w:hAnsi="Arial"/>
          <w:sz w:val="18"/>
          <w:szCs w:val="18"/>
          <w:color w:val="auto"/>
        </w:rPr>
        <w:t>.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or expense that might be incurred by it in compliance with such request or direction.</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70" w:lineRule="exact"/>
        <w:rPr>
          <w:sz w:val="20"/>
          <w:szCs w:val="20"/>
          <w:color w:val="auto"/>
        </w:rPr>
      </w:pPr>
    </w:p>
    <w:p>
      <w:pPr>
        <w:ind w:left="1240" w:hanging="253"/>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the occurrence of an Event of Default and after the curing or waiving of all Events of Default that may have occurred:</w:t>
      </w:r>
    </w:p>
    <w:p>
      <w:pPr>
        <w:spacing w:after="0" w:line="128" w:lineRule="exact"/>
        <w:rPr>
          <w:rFonts w:ascii="Arial" w:cs="Arial" w:eastAsia="Arial" w:hAnsi="Arial"/>
          <w:sz w:val="17"/>
          <w:szCs w:val="17"/>
          <w:color w:val="auto"/>
        </w:rPr>
      </w:pPr>
    </w:p>
    <w:p>
      <w:pPr>
        <w:ind w:left="440" w:right="20" w:firstLine="948"/>
        <w:spacing w:after="0" w:line="263" w:lineRule="auto"/>
        <w:tabs>
          <w:tab w:leader="none" w:pos="160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440" w:right="60" w:firstLine="948"/>
        <w:spacing w:after="0" w:line="296" w:lineRule="auto"/>
        <w:tabs>
          <w:tab w:leader="none" w:pos="1657"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61" w:lineRule="exact"/>
        <w:rPr>
          <w:rFonts w:ascii="Arial" w:cs="Arial" w:eastAsia="Arial" w:hAnsi="Arial"/>
          <w:sz w:val="16"/>
          <w:szCs w:val="16"/>
          <w:color w:val="auto"/>
        </w:rPr>
      </w:pPr>
    </w:p>
    <w:p>
      <w:pPr>
        <w:ind w:right="120" w:firstLine="987"/>
        <w:spacing w:after="0" w:line="277"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70"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70" w:lineRule="exact"/>
        <w:rPr>
          <w:rFonts w:ascii="Arial" w:cs="Arial" w:eastAsia="Arial" w:hAnsi="Arial"/>
          <w:sz w:val="18"/>
          <w:szCs w:val="18"/>
          <w:color w:val="auto"/>
        </w:rPr>
      </w:pPr>
    </w:p>
    <w:p>
      <w:pPr>
        <w:ind w:right="280" w:firstLine="987"/>
        <w:spacing w:after="0" w:line="263"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83" w:lineRule="exact"/>
        <w:rPr>
          <w:rFonts w:ascii="Arial" w:cs="Arial" w:eastAsia="Arial" w:hAnsi="Arial"/>
          <w:sz w:val="18"/>
          <w:szCs w:val="18"/>
          <w:color w:val="auto"/>
        </w:rPr>
      </w:pPr>
    </w:p>
    <w:p>
      <w:pPr>
        <w:ind w:right="20" w:firstLine="987"/>
        <w:spacing w:after="0" w:line="263" w:lineRule="auto"/>
        <w:tabs>
          <w:tab w:leader="none" w:pos="12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has received written notice of such event;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42" w:name="page43"/>
    <w:bookmarkEnd w:id="42"/>
    <w:p>
      <w:pPr>
        <w:ind w:right="440" w:firstLine="987"/>
        <w:spacing w:after="0" w:line="277"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cash received by the Trustee shall be placed in a non-interest bearing trust account, and all cash shall remain uninvested unless otherwise agreed in writing by the Company and the Trustee; and</w:t>
      </w:r>
    </w:p>
    <w:p>
      <w:pPr>
        <w:spacing w:after="0" w:line="170"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Trustee is also acting as Custodian, Note Registrar, Paying Agent, Conversion Agent or Bid Solicitation Agent hereunder, the rights and protections afforded to the Trustee pursuant to this Article VII shall also be afforded to such Custodian, Note Registrar, Paying Agent, Conversion Agent or Bid Solicitation Agent.</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The Trustee shall not be required to give any bond or surety in respect of the performance of its powers or duties 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Reliance on Documents, Opinions, Etc</w:t>
      </w:r>
      <w:r>
        <w:rPr>
          <w:rFonts w:ascii="Arial" w:cs="Arial" w:eastAsia="Arial" w:hAnsi="Arial"/>
          <w:sz w:val="18"/>
          <w:szCs w:val="18"/>
          <w:color w:val="auto"/>
        </w:rPr>
        <w:t>. Subject to Section 7.01:</w:t>
      </w:r>
    </w:p>
    <w:p>
      <w:pPr>
        <w:spacing w:after="0" w:line="117" w:lineRule="exact"/>
        <w:rPr>
          <w:sz w:val="20"/>
          <w:szCs w:val="20"/>
          <w:color w:val="auto"/>
        </w:rPr>
      </w:pPr>
    </w:p>
    <w:p>
      <w:pPr>
        <w:ind w:right="220" w:firstLine="987"/>
        <w:spacing w:after="0" w:line="263"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83" w:lineRule="exact"/>
        <w:rPr>
          <w:rFonts w:ascii="Arial" w:cs="Arial" w:eastAsia="Arial" w:hAnsi="Arial"/>
          <w:sz w:val="18"/>
          <w:szCs w:val="18"/>
          <w:color w:val="auto"/>
        </w:rPr>
      </w:pPr>
    </w:p>
    <w:p>
      <w:pPr>
        <w:ind w:right="280" w:firstLine="987"/>
        <w:spacing w:after="0" w:line="263"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resolution of the Board of Directors of the Company shall be evidenced by a Board Resolution;</w:t>
      </w:r>
    </w:p>
    <w:p>
      <w:pPr>
        <w:spacing w:after="0" w:line="183" w:lineRule="exact"/>
        <w:rPr>
          <w:rFonts w:ascii="Arial" w:cs="Arial" w:eastAsia="Arial" w:hAnsi="Arial"/>
          <w:sz w:val="18"/>
          <w:szCs w:val="18"/>
          <w:color w:val="auto"/>
        </w:rPr>
      </w:pPr>
    </w:p>
    <w:p>
      <w:pPr>
        <w:ind w:right="320" w:firstLine="987"/>
        <w:spacing w:after="0" w:line="263"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provided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83"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83" w:lineRule="exact"/>
        <w:rPr>
          <w:rFonts w:ascii="Arial" w:cs="Arial" w:eastAsia="Arial" w:hAnsi="Arial"/>
          <w:sz w:val="18"/>
          <w:szCs w:val="18"/>
          <w:color w:val="auto"/>
        </w:rPr>
      </w:pPr>
    </w:p>
    <w:p>
      <w:pPr>
        <w:ind w:right="100" w:firstLine="987"/>
        <w:spacing w:after="0" w:line="275" w:lineRule="auto"/>
        <w:tabs>
          <w:tab w:leader="none" w:pos="12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76" w:lineRule="exact"/>
        <w:rPr>
          <w:rFonts w:ascii="Arial" w:cs="Arial" w:eastAsia="Arial" w:hAnsi="Arial"/>
          <w:sz w:val="17"/>
          <w:szCs w:val="17"/>
          <w:color w:val="auto"/>
        </w:rPr>
      </w:pPr>
    </w:p>
    <w:p>
      <w:pPr>
        <w:ind w:firstLine="987"/>
        <w:spacing w:after="0" w:line="263" w:lineRule="auto"/>
        <w:tabs>
          <w:tab w:leader="none" w:pos="12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rFonts w:ascii="Arial" w:cs="Arial" w:eastAsia="Arial" w:hAnsi="Arial"/>
          <w:sz w:val="18"/>
          <w:szCs w:val="18"/>
          <w:color w:val="auto"/>
        </w:rPr>
      </w:pPr>
    </w:p>
    <w:p>
      <w:pPr>
        <w:jc w:val="both"/>
        <w:ind w:right="140" w:firstLine="987"/>
        <w:spacing w:after="0" w:line="311" w:lineRule="auto"/>
        <w:tabs>
          <w:tab w:leader="none" w:pos="12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costs, expenses and liabilities which might be incurred by it in compliance with such request or direction;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3" w:name="page44"/>
    <w:bookmarkEnd w:id="43"/>
    <w:p>
      <w:pPr>
        <w:ind w:right="160" w:firstLine="987"/>
        <w:spacing w:after="0" w:line="277" w:lineRule="auto"/>
        <w:tabs>
          <w:tab w:leader="none" w:pos="1206"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shall not be liable for any action taken, suffered, or omitted to be taken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right="80" w:firstLine="987"/>
        <w:spacing w:after="0" w:line="277" w:lineRule="auto"/>
        <w:tabs>
          <w:tab w:leader="none" w:pos="12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170" w:lineRule="exact"/>
        <w:rPr>
          <w:rFonts w:ascii="Arial" w:cs="Arial" w:eastAsia="Arial" w:hAnsi="Arial"/>
          <w:sz w:val="18"/>
          <w:szCs w:val="18"/>
          <w:color w:val="auto"/>
        </w:rPr>
      </w:pPr>
    </w:p>
    <w:p>
      <w:pPr>
        <w:jc w:val="both"/>
        <w:ind w:right="280" w:firstLine="987"/>
        <w:spacing w:after="0" w:line="263"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 shall not be obligated to take possession of any Common Stock, whether upon conversion of the Notes or in connection with any discharge of this Indenture pursuant to Article III hereof, but shall satisfy its obligation as Conversion Agent by working through the stock transfer agent of the Company from time to time as directed by the Company.</w:t>
      </w:r>
    </w:p>
    <w:p>
      <w:pPr>
        <w:spacing w:after="0" w:line="183" w:lineRule="exact"/>
        <w:rPr>
          <w:rFonts w:ascii="Arial" w:cs="Arial" w:eastAsia="Arial" w:hAnsi="Arial"/>
          <w:sz w:val="18"/>
          <w:szCs w:val="18"/>
          <w:color w:val="auto"/>
        </w:rPr>
      </w:pPr>
    </w:p>
    <w:p>
      <w:pPr>
        <w:ind w:right="40" w:firstLine="987"/>
        <w:spacing w:after="0" w:line="275" w:lineRule="auto"/>
        <w:tabs>
          <w:tab w:leader="none" w:pos="1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76"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In no event shall the Trustee be liable for any special, indirect, consequential or punitive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a Responsible Officer shall have received written notice of such Default or Event of Default by the Company or by any Holder of the Notes.</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No Responsibility for Recitals, Etc</w:t>
      </w:r>
      <w:r>
        <w:rPr>
          <w:rFonts w:ascii="Arial" w:cs="Arial" w:eastAsia="Arial" w:hAnsi="Arial"/>
          <w:sz w:val="17"/>
          <w:szCs w:val="17"/>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or of any Common Stock underlying the Notes. The Trustee shall not be accountable for the use or application by the Company of any Notes or the proceeds of any Notes authenticated and delivered by the Trustee in conformity with the provisions of this Indenture. Neither the Trustee nor any agent appointed pursuant to this Indenture will be accountable for the use or application by the Company of the Notes or the proceeds thereof, or for any funds received and disbursed in accordance with this Indenture. The Trustee shall have no responsibility or liability with respect to any information, statement or recital in the Offering Memorandum or other disclosure material prepared or distributed with respect to the issuance of the Notes.</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 Paying Agents, Conversion Agents, Bid Solicitation Agent or Note Registrar May Own Notes</w:t>
      </w:r>
      <w:r>
        <w:rPr>
          <w:rFonts w:ascii="Arial" w:cs="Arial" w:eastAsia="Arial" w:hAnsi="Arial"/>
          <w:sz w:val="18"/>
          <w:szCs w:val="18"/>
          <w:color w:val="auto"/>
        </w:rPr>
        <w:t>. The Trustee, any Paying Agent, any Conversion Agent, Bid Solicitation Agent (if other than the Company) or Note Registrar, in its individual or any other capacity, may become the owner or pledgee of Notes with the same rights it would have if it were not the Trustee, Paying Agent, Conversion Agent, Bid Solicitation Agent or Note Registrar.</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Monies to Be Held in Trust</w:t>
      </w:r>
      <w:r>
        <w:rPr>
          <w:rFonts w:ascii="Arial" w:cs="Arial" w:eastAsia="Arial" w:hAnsi="Arial"/>
          <w:sz w:val="18"/>
          <w:szCs w:val="18"/>
          <w:color w:val="auto"/>
        </w:rPr>
        <w:t>. All monies received by the Trustee shall, until used or applied as herein provided, be held in trust for the purposes for which they were received. Money held by the Trustee in trust hereunder need not be segregated from other funds or property except to the extent required by law. The Trustee shall be under no liability for interest on any money received by it hereunder except as may be agreed from time to time by the Company and the Trustee in writing.</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Compensation and Expenses of Trustee</w:t>
      </w:r>
      <w:r>
        <w:rPr>
          <w:rFonts w:ascii="Arial" w:cs="Arial" w:eastAsia="Arial" w:hAnsi="Arial"/>
          <w:sz w:val="17"/>
          <w:szCs w:val="17"/>
          <w:color w:val="auto"/>
        </w:rPr>
        <w:t>. The Company covenants and agrees to pay to the Trustee, in any capacity under this Indenture,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44" w:name="page45"/>
    <w:bookmarkEnd w:id="44"/>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Indenture in any capacity thereunder (including the reasonable compensation and the expenses and disbursements of its agents and counsel and of all Persons not regularly in its employ) except any such expense, disbursement or advance as shall have been determined to have been caused by its own gross negligence or willful misconduct, as determined by a final, non-appealable decision of a court of competent jurisdiction. The Company also covenants to indemnify the Trustee in any capacity under this Indenture and any other document or transaction entered into in connection herewith and its officers, directors, employees and agents and any authenticating agent for, and to hold them harmless against, any loss, claim, damage, liability or expense including taxes (other than taxes based upon, measured by or determined by the income of the Trustee) incurred without gross negligence or willful misconduct on the part of the Trustee, its officers, directors, agents or employees, or such agent or authenticating agent, as the case may be, as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lien prior to the Notes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6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Officer’s Certificate and Opinion of Counsel as Evidence</w:t>
      </w:r>
      <w:r>
        <w:rPr>
          <w:rFonts w:ascii="Arial" w:cs="Arial" w:eastAsia="Arial" w:hAnsi="Arial"/>
          <w:sz w:val="18"/>
          <w:szCs w:val="18"/>
          <w:color w:val="auto"/>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willful misconduct, recklessness and bad faith on the part of the Trustee, be deemed to be conclusively proved and established by an Officer’s Certificate and Opinion of Counsel delivered to the Trustee, and such Officer’s Certificate and Opinion of Counsel, in the absence of gross negligence, willful misconduct and bad faith on the part of the Trustee, shall be full warrant to the Trustee for any action taken or omitted by it under the provisions of this Indenture upon the faith thereof.</w:t>
      </w:r>
    </w:p>
    <w:p>
      <w:pPr>
        <w:spacing w:after="0" w:line="195"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Eligibility of Trustee</w:t>
      </w:r>
      <w:r>
        <w:rPr>
          <w:rFonts w:ascii="Arial" w:cs="Arial" w:eastAsia="Arial" w:hAnsi="Arial"/>
          <w:sz w:val="18"/>
          <w:szCs w:val="18"/>
          <w:color w:val="auto"/>
        </w:rPr>
        <w:t>.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9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Resignation or Removal of Trustee</w:t>
      </w:r>
      <w:r>
        <w:rPr>
          <w:rFonts w:ascii="Arial" w:cs="Arial" w:eastAsia="Arial" w:hAnsi="Arial"/>
          <w:sz w:val="16"/>
          <w:szCs w:val="16"/>
          <w:color w:val="auto"/>
        </w:rPr>
        <w:t>. (a) The Trustee may at any time resign by giving written notice of such resignation to the Company and by delivering notice thereof to the Holders as provided in this Indenture.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delivering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5" w:name="page46"/>
    <w:bookmarkEnd w:id="45"/>
    <w:p>
      <w:pPr>
        <w:ind w:left="1240" w:hanging="253"/>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at any time any of the following shall occur:</w:t>
      </w:r>
    </w:p>
    <w:p>
      <w:pPr>
        <w:spacing w:after="0" w:line="117" w:lineRule="exact"/>
        <w:rPr>
          <w:rFonts w:ascii="Arial" w:cs="Arial" w:eastAsia="Arial" w:hAnsi="Arial"/>
          <w:sz w:val="18"/>
          <w:szCs w:val="18"/>
          <w:color w:val="auto"/>
        </w:rPr>
      </w:pPr>
    </w:p>
    <w:p>
      <w:pPr>
        <w:ind w:left="440" w:right="60" w:firstLine="948"/>
        <w:spacing w:after="0" w:line="277" w:lineRule="auto"/>
        <w:tabs>
          <w:tab w:leader="none" w:pos="16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7.08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left="440" w:right="260" w:firstLine="948"/>
        <w:spacing w:after="0" w:line="263" w:lineRule="auto"/>
        <w:tabs>
          <w:tab w:leader="none" w:pos="165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6"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8" w:lineRule="exact"/>
        <w:rPr>
          <w:sz w:val="20"/>
          <w:szCs w:val="20"/>
          <w:color w:val="auto"/>
        </w:rPr>
      </w:pPr>
    </w:p>
    <w:p>
      <w:pPr>
        <w:ind w:right="40" w:firstLine="987"/>
        <w:spacing w:after="0" w:line="301" w:lineRule="auto"/>
        <w:tabs>
          <w:tab w:leader="none" w:pos="12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57" w:lineRule="exact"/>
        <w:rPr>
          <w:rFonts w:ascii="Arial" w:cs="Arial" w:eastAsia="Arial" w:hAnsi="Arial"/>
          <w:sz w:val="16"/>
          <w:szCs w:val="16"/>
          <w:color w:val="auto"/>
        </w:rPr>
      </w:pPr>
    </w:p>
    <w:p>
      <w:pPr>
        <w:ind w:right="60" w:firstLine="987"/>
        <w:spacing w:after="0" w:line="277"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Acceptance by Successor Trustee</w:t>
      </w:r>
      <w:r>
        <w:rPr>
          <w:rFonts w:ascii="Arial" w:cs="Arial" w:eastAsia="Arial" w:hAnsi="Arial"/>
          <w:sz w:val="16"/>
          <w:szCs w:val="16"/>
          <w:color w:val="auto"/>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6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70" w:lineRule="exact"/>
        <w:rPr>
          <w:sz w:val="20"/>
          <w:szCs w:val="20"/>
          <w:color w:val="auto"/>
        </w:rPr>
      </w:pPr>
    </w:p>
    <w:p>
      <w:pPr>
        <w:ind w:right="340" w:firstLine="440"/>
        <w:spacing w:after="0" w:line="279" w:lineRule="auto"/>
        <w:rPr>
          <w:sz w:val="20"/>
          <w:szCs w:val="20"/>
          <w:color w:val="auto"/>
        </w:rPr>
      </w:pPr>
      <w:r>
        <w:rPr>
          <w:rFonts w:ascii="Arial" w:cs="Arial" w:eastAsia="Arial" w:hAnsi="Arial"/>
          <w:sz w:val="17"/>
          <w:szCs w:val="17"/>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as provided in this Indenture. If the Company fails to deliver such notice within ten days after acceptance of appointment by the successor trustee, the successor trustee shall cause such notice to be delivered at the expense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6" w:name="page47"/>
    <w:bookmarkEnd w:id="46"/>
    <w:p>
      <w:pPr>
        <w:ind w:left="4"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7.11 </w:t>
      </w:r>
      <w:r>
        <w:rPr>
          <w:rFonts w:ascii="Arial" w:cs="Arial" w:eastAsia="Arial" w:hAnsi="Arial"/>
          <w:sz w:val="17"/>
          <w:szCs w:val="17"/>
          <w:u w:val="single" w:color="auto"/>
          <w:color w:val="auto"/>
        </w:rPr>
        <w:t>Succession by Merger, Etc</w:t>
      </w:r>
      <w:r>
        <w:rPr>
          <w:rFonts w:ascii="Arial" w:cs="Arial" w:eastAsia="Arial" w:hAnsi="Arial"/>
          <w:sz w:val="17"/>
          <w:szCs w:val="17"/>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78"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 to adopt the certificate of authentication of any predecessor trustee or to authenticate Notes in the name of any predecessor trustee shall apply only to its successor or successors by merger, conversion or consolidation.</w:t>
      </w:r>
    </w:p>
    <w:p>
      <w:pPr>
        <w:spacing w:after="0" w:line="178"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Trustee’s Application for Instructions from the Company</w:t>
      </w:r>
      <w:r>
        <w:rPr>
          <w:rFonts w:ascii="Arial" w:cs="Arial" w:eastAsia="Arial" w:hAnsi="Arial"/>
          <w:sz w:val="16"/>
          <w:szCs w:val="16"/>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CONCERNING THE HOLDERS</w:t>
      </w:r>
    </w:p>
    <w:p>
      <w:pPr>
        <w:spacing w:after="0" w:line="211"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Action by Holders</w:t>
      </w:r>
      <w:r>
        <w:rPr>
          <w:rFonts w:ascii="Arial" w:cs="Arial" w:eastAsia="Arial" w:hAnsi="Arial"/>
          <w:sz w:val="16"/>
          <w:szCs w:val="16"/>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2" w:lineRule="exact"/>
        <w:rPr>
          <w:sz w:val="20"/>
          <w:szCs w:val="20"/>
          <w:color w:val="auto"/>
        </w:rPr>
      </w:pPr>
    </w:p>
    <w:p>
      <w:pPr>
        <w:ind w:left="4" w:right="180" w:hanging="4"/>
        <w:spacing w:after="0" w:line="281"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IX, or</w:t>
      </w:r>
    </w:p>
    <w:p>
      <w:pPr>
        <w:spacing w:after="0" w:line="1" w:lineRule="exact"/>
        <w:rPr>
          <w:rFonts w:ascii="Arial" w:cs="Arial" w:eastAsia="Arial" w:hAnsi="Arial"/>
          <w:sz w:val="16"/>
          <w:szCs w:val="16"/>
          <w:color w:val="auto"/>
        </w:rPr>
      </w:pPr>
    </w:p>
    <w:p>
      <w:pPr>
        <w:ind w:left="4" w:right="20" w:hanging="4"/>
        <w:spacing w:after="0" w:line="253"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93" w:lineRule="exact"/>
        <w:rPr>
          <w:sz w:val="20"/>
          <w:szCs w:val="20"/>
          <w:color w:val="auto"/>
        </w:rPr>
      </w:pPr>
    </w:p>
    <w:p>
      <w:pPr>
        <w:ind w:left="4" w:right="300" w:firstLine="440"/>
        <w:spacing w:after="0" w:line="301"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Proof of Execution by Holders</w:t>
      </w:r>
      <w:r>
        <w:rPr>
          <w:rFonts w:ascii="Arial" w:cs="Arial" w:eastAsia="Arial" w:hAnsi="Arial"/>
          <w:sz w:val="16"/>
          <w:szCs w:val="16"/>
          <w:color w:val="auto"/>
        </w:rPr>
        <w:t>.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57"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Who Are Deemed Absolute Owners</w:t>
      </w:r>
      <w:r>
        <w:rPr>
          <w:rFonts w:ascii="Arial" w:cs="Arial" w:eastAsia="Arial" w:hAnsi="Arial"/>
          <w:sz w:val="17"/>
          <w:szCs w:val="17"/>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any accrued and unpaid Special Interest on such Note, for conversion of such Note and for all other purposes under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4" w:right="439" w:bottom="1440" w:gutter="0" w:footer="0" w:header="0"/>
        </w:sectPr>
      </w:pPr>
    </w:p>
    <w:bookmarkStart w:id="47" w:name="page48"/>
    <w:bookmarkEnd w:id="4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owner’s right to exchange such beneficial interest for a Physical Note in accordance with the provisions of this Indenture.</w:t>
      </w:r>
    </w:p>
    <w:p>
      <w:pPr>
        <w:spacing w:after="0" w:line="17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Company-Owned Notes Disregarded</w:t>
      </w:r>
      <w:r>
        <w:rPr>
          <w:rFonts w:ascii="Arial" w:cs="Arial" w:eastAsia="Arial" w:hAnsi="Arial"/>
          <w:sz w:val="17"/>
          <w:szCs w:val="17"/>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7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Revocation of Consents; Future Holders Bound</w:t>
      </w:r>
      <w:r>
        <w:rPr>
          <w:rFonts w:ascii="Arial" w:cs="Arial" w:eastAsia="Arial" w:hAnsi="Arial"/>
          <w:sz w:val="18"/>
          <w:szCs w:val="18"/>
          <w:color w:val="auto"/>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MEETINGS</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 of Meetings</w:t>
      </w:r>
      <w:r>
        <w:rPr>
          <w:rFonts w:ascii="Arial" w:cs="Arial" w:eastAsia="Arial" w:hAnsi="Arial"/>
          <w:sz w:val="18"/>
          <w:szCs w:val="18"/>
          <w:color w:val="auto"/>
        </w:rPr>
        <w:t>. A meeting of Holders may be called at any time and from time to time pursuant to the provisions of this Article IX for any of the following purposes:</w:t>
      </w:r>
    </w:p>
    <w:p>
      <w:pPr>
        <w:spacing w:after="0" w:line="62" w:lineRule="exact"/>
        <w:rPr>
          <w:sz w:val="20"/>
          <w:szCs w:val="20"/>
          <w:color w:val="auto"/>
        </w:rPr>
      </w:pPr>
    </w:p>
    <w:p>
      <w:pPr>
        <w:ind w:firstLine="987"/>
        <w:spacing w:after="0" w:line="263" w:lineRule="auto"/>
        <w:tabs>
          <w:tab w:leader="none" w:pos="12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VI;</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VII;</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consent to the execution of an indenture or indentures supplemental hereto pursuant to the provisions of Section 10.02; or</w:t>
      </w:r>
    </w:p>
    <w:p>
      <w:pPr>
        <w:spacing w:after="0" w:line="236" w:lineRule="exact"/>
        <w:rPr>
          <w:rFonts w:ascii="Arial" w:cs="Arial" w:eastAsia="Arial" w:hAnsi="Arial"/>
          <w:sz w:val="17"/>
          <w:szCs w:val="17"/>
          <w:color w:val="auto"/>
        </w:rPr>
      </w:pPr>
    </w:p>
    <w:p>
      <w:pPr>
        <w:ind w:right="80" w:firstLine="987"/>
        <w:spacing w:after="0" w:line="27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8" w:name="page49"/>
    <w:bookmarkEnd w:id="48"/>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9.02 </w:t>
      </w:r>
      <w:r>
        <w:rPr>
          <w:rFonts w:ascii="Arial" w:cs="Arial" w:eastAsia="Arial" w:hAnsi="Arial"/>
          <w:sz w:val="17"/>
          <w:szCs w:val="17"/>
          <w:u w:val="single" w:color="auto"/>
          <w:color w:val="auto"/>
        </w:rPr>
        <w:t>Call of Meetings by Trustee</w:t>
      </w:r>
      <w:r>
        <w:rPr>
          <w:rFonts w:ascii="Arial" w:cs="Arial" w:eastAsia="Arial" w:hAnsi="Arial"/>
          <w:sz w:val="17"/>
          <w:szCs w:val="17"/>
          <w:color w:val="auto"/>
        </w:rPr>
        <w:t>.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in accordance with Section 16.03. Such notice shall also be given to the Company in accordance with Section 16.03. Such notices shall be delivered not less than 20 nor more than 90 days prior to the date fixed for the meeting. 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Call of Meetings by Company or Holders</w:t>
      </w:r>
      <w:r>
        <w:rPr>
          <w:rFonts w:ascii="Arial" w:cs="Arial" w:eastAsia="Arial" w:hAnsi="Arial"/>
          <w:sz w:val="17"/>
          <w:szCs w:val="17"/>
          <w:color w:val="auto"/>
        </w:rPr>
        <w:t>.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76" w:lineRule="exact"/>
        <w:rPr>
          <w:sz w:val="20"/>
          <w:szCs w:val="20"/>
          <w:color w:val="auto"/>
        </w:rPr>
      </w:pPr>
    </w:p>
    <w:p>
      <w:pPr>
        <w:jc w:val="both"/>
        <w:ind w:right="40" w:firstLine="440"/>
        <w:spacing w:after="0" w:line="30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Qualifications for Voting</w:t>
      </w:r>
      <w:r>
        <w:rPr>
          <w:rFonts w:ascii="Arial" w:cs="Arial" w:eastAsia="Arial" w:hAnsi="Arial"/>
          <w:sz w:val="16"/>
          <w:szCs w:val="16"/>
          <w:color w:val="auto"/>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Regulations</w:t>
      </w:r>
      <w:r>
        <w:rPr>
          <w:rFonts w:ascii="Arial" w:cs="Arial" w:eastAsia="Arial" w:hAnsi="Arial"/>
          <w:sz w:val="18"/>
          <w:szCs w:val="18"/>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7" w:lineRule="exact"/>
        <w:rPr>
          <w:sz w:val="20"/>
          <w:szCs w:val="20"/>
          <w:color w:val="auto"/>
        </w:rPr>
      </w:pPr>
    </w:p>
    <w:p>
      <w:pPr>
        <w:jc w:val="both"/>
        <w:ind w:right="320" w:firstLine="440"/>
        <w:spacing w:after="0" w:line="301" w:lineRule="auto"/>
        <w:rPr>
          <w:sz w:val="20"/>
          <w:szCs w:val="20"/>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5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Subject to the provisions of Section 8.04, at any meeting of Holders each Holder or proxyholder shall be entitled to one vote for each $1,000 principal amount of Notes held or represented by him or her;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outstanding Notes represented at the meeting, whether or not constituting a quorum, and the meeting may be held as so adjourned without further notice.</w:t>
      </w:r>
    </w:p>
    <w:p>
      <w:pPr>
        <w:spacing w:after="0" w:line="17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Voting</w:t>
      </w:r>
      <w:r>
        <w:rPr>
          <w:rFonts w:ascii="Arial" w:cs="Arial" w:eastAsia="Arial" w:hAnsi="Arial"/>
          <w:sz w:val="18"/>
          <w:szCs w:val="18"/>
          <w:color w:val="auto"/>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9" w:name="page50"/>
    <w:bookmarkEnd w:id="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notice of the meeting and showing that said notice was given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 Nothing contained in this Article IX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Nothing contained in this Article IX shall be deemed or construed to limit any Holder’s actions pursuant to the applicable procedures of the Depositary so long as the Notes are Global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Supplemental Indentures Without Consent of Holders</w:t>
      </w:r>
      <w:r>
        <w:rPr>
          <w:rFonts w:ascii="Arial" w:cs="Arial" w:eastAsia="Arial" w:hAnsi="Arial"/>
          <w:sz w:val="17"/>
          <w:szCs w:val="17"/>
          <w:color w:val="auto"/>
        </w:rPr>
        <w:t>. The Company and the Trustee, at the Company’s expense, may from time to time and at any time enter into an indenture or indentures supplemental hereto for one or more of the following purposes:</w:t>
      </w:r>
    </w:p>
    <w:p>
      <w:pPr>
        <w:spacing w:after="0" w:line="38" w:lineRule="exact"/>
        <w:rPr>
          <w:sz w:val="20"/>
          <w:szCs w:val="20"/>
          <w:color w:val="auto"/>
        </w:rPr>
      </w:pPr>
    </w:p>
    <w:p>
      <w:pPr>
        <w:ind w:left="1240" w:hanging="253"/>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provide for the assumption by a Successor Company of the obligations of the Company under this Indenture and the Notes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Article XI;</w:t>
      </w:r>
    </w:p>
    <w:p>
      <w:pPr>
        <w:spacing w:after="0" w:line="211" w:lineRule="exact"/>
        <w:rPr>
          <w:sz w:val="20"/>
          <w:szCs w:val="20"/>
          <w:color w:val="auto"/>
        </w:rPr>
      </w:pPr>
    </w:p>
    <w:p>
      <w:pPr>
        <w:ind w:left="1240" w:hanging="253"/>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guarantees with respect to the Notes;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225"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the covenants or Events of Default of the Company for the benefit of the Holders or surrender any right or power conferred upon the Company;</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increase the Conversion Rate as provided in this Indenture;</w:t>
      </w:r>
    </w:p>
    <w:p>
      <w:pPr>
        <w:spacing w:after="0" w:line="225"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pursuant to Section 7.09 or to facilitate the administration of the trusts by more than one trustee;</w:t>
      </w:r>
    </w:p>
    <w:p>
      <w:pPr>
        <w:spacing w:after="0" w:line="170" w:lineRule="exact"/>
        <w:rPr>
          <w:rFonts w:ascii="Arial" w:cs="Arial" w:eastAsia="Arial" w:hAnsi="Arial"/>
          <w:sz w:val="18"/>
          <w:szCs w:val="18"/>
          <w:color w:val="auto"/>
        </w:rPr>
      </w:pPr>
    </w:p>
    <w:p>
      <w:pPr>
        <w:ind w:right="280" w:firstLine="987"/>
        <w:spacing w:after="0" w:line="308" w:lineRule="auto"/>
        <w:tabs>
          <w:tab w:leader="none" w:pos="12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irrevocably elect a Cash Percentage with respect to conversions of Notes; provided, however, that no such election will affect any Cash Percentage theretofore elected (or deemed to be elected) with respect to any Note pursuant the provisions of Section 13.02;</w:t>
      </w:r>
    </w:p>
    <w:p>
      <w:pPr>
        <w:spacing w:after="0" w:line="146" w:lineRule="exact"/>
        <w:rPr>
          <w:rFonts w:ascii="Arial" w:cs="Arial" w:eastAsia="Arial" w:hAnsi="Arial"/>
          <w:sz w:val="17"/>
          <w:szCs w:val="17"/>
          <w:color w:val="auto"/>
        </w:rPr>
      </w:pPr>
    </w:p>
    <w:p>
      <w:pPr>
        <w:ind w:right="320" w:firstLine="987"/>
        <w:spacing w:after="0" w:line="342" w:lineRule="auto"/>
        <w:tabs>
          <w:tab w:leader="none" w:pos="1206"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connection with any Common Stock Change Event, provide that the Notes are convertible into Reference Property, subject to the provisions of Section 13.02, and make such related changes to the terms of the Notes to the extent expressly required by Section 13.07;</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comply with the rules of any applicable Depositary in a manner that does not materially adversely affect the rights of any Holder; or</w:t>
      </w:r>
    </w:p>
    <w:p>
      <w:pPr>
        <w:spacing w:after="0" w:line="248" w:lineRule="exact"/>
        <w:rPr>
          <w:rFonts w:ascii="Arial" w:cs="Arial" w:eastAsia="Arial" w:hAnsi="Arial"/>
          <w:sz w:val="16"/>
          <w:szCs w:val="16"/>
          <w:color w:val="auto"/>
        </w:rPr>
      </w:pPr>
    </w:p>
    <w:p>
      <w:pPr>
        <w:ind w:left="1200" w:hanging="213"/>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conform the provisions of this Indenture or the Notes to the “Description of Notes” section of the Offering Memorandum.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0" w:name="page51"/>
    <w:bookmarkEnd w:id="50"/>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written request of the Company and subject to Section 10.05, the Trustee is hereby authorized to, and shall join with the Company in the execution of any such supplemental indenture, to make any further appropriate agreements and stipulations that may be therein contained, except that the Trustee shall not be obligated to, but may in its discretion, enter into any supplemental indenture that affects the Trustee’s own rights, duties or immunities under this Indenture or otherwise.</w:t>
      </w:r>
    </w:p>
    <w:p>
      <w:pPr>
        <w:spacing w:after="0" w:line="18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 After any such supplemental indenture becomes effective, the Company shall give to the Holders and the Trustee a notice briefly describing such supplemental indenture. However, the failure to give such notice to all the Holders, or any defect in the notice, will not impair or affect the validity of the supplemental indenture.</w:t>
      </w:r>
    </w:p>
    <w:p>
      <w:pPr>
        <w:spacing w:after="0" w:line="15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 xml:space="preserve">. With the consent (evidenced as provided in Article VIII) of the Holders of at least a majority of the aggregate principal amount of the Notes then outstanding (determined in accordance with Article VIII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without the consent of each Holder of an outstanding Note affected, no such supplemental indenture shall:</w:t>
      </w:r>
    </w:p>
    <w:p>
      <w:pPr>
        <w:spacing w:after="0" w:line="56" w:lineRule="exact"/>
        <w:rPr>
          <w:sz w:val="20"/>
          <w:szCs w:val="20"/>
          <w:color w:val="auto"/>
        </w:rPr>
      </w:pPr>
    </w:p>
    <w:p>
      <w:pPr>
        <w:ind w:left="1240" w:hanging="253"/>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rate of or extend the stated time for payment of any Special Interest on any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principal of or extend the Maturity Date of any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provided in Section 13.07, make any change that impairs or adversely affects the conversion rights of any Notes;</w:t>
      </w:r>
    </w:p>
    <w:p>
      <w:pPr>
        <w:spacing w:after="0" w:line="236" w:lineRule="exact"/>
        <w:rPr>
          <w:rFonts w:ascii="Arial" w:cs="Arial" w:eastAsia="Arial" w:hAnsi="Arial"/>
          <w:sz w:val="17"/>
          <w:szCs w:val="17"/>
          <w:color w:val="auto"/>
        </w:rPr>
      </w:pPr>
    </w:p>
    <w:p>
      <w:pPr>
        <w:jc w:val="both"/>
        <w:ind w:right="140" w:firstLine="987"/>
        <w:spacing w:after="0" w:line="263" w:lineRule="auto"/>
        <w:tabs>
          <w:tab w:leader="none" w:pos="12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83" w:lineRule="exact"/>
        <w:rPr>
          <w:rFonts w:ascii="Arial" w:cs="Arial" w:eastAsia="Arial" w:hAnsi="Arial"/>
          <w:sz w:val="18"/>
          <w:szCs w:val="18"/>
          <w:color w:val="auto"/>
        </w:rPr>
      </w:pPr>
    </w:p>
    <w:p>
      <w:pPr>
        <w:ind w:left="1220" w:hanging="233"/>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any Note payable in a currency or at a place of payment other than that stated in the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and Special Interest, if any, on such Holder’s Notes on or after the due dates therefor or to institute suit for the enforcement of any payment on or with respect to such Holder’s Notes; or</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make any change in this Article X that requires each Holder’s consent or in the waiver provisions in Section 6.02 or Section 6.09.</w:t>
      </w:r>
    </w:p>
    <w:p>
      <w:pPr>
        <w:spacing w:after="0" w:line="237"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51" w:name="page52"/>
    <w:bookmarkEnd w:id="51"/>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do not need under this Section 10.02 to approve the particular form of any proposed supplemental indenture. It shall be sufficient if such Holders approve the substance thereof. After any such supplemental indenture becomes effective, the Company shall send to the Holders a notice briefly describing such supplemental indenture. However, the failure to give such notice to all the Holders, or any defect in the notice, will not impair or affect the validity of the supplemental indenture.</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 Upon the execution of any supplemental indenture pursuant to the provisions of this Article X,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Notation on Notes</w:t>
      </w:r>
      <w:r>
        <w:rPr>
          <w:rFonts w:ascii="Arial" w:cs="Arial" w:eastAsia="Arial" w:hAnsi="Arial"/>
          <w:sz w:val="17"/>
          <w:szCs w:val="17"/>
          <w:color w:val="auto"/>
        </w:rPr>
        <w:t>. Notes authenticated and delivered after the execution of any supplemental indenture pursuant to the provisions of this Article X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16.10) and delivered in exchange for the Notes then outstanding, upon surrender of such Notes then outstanding.</w:t>
      </w:r>
    </w:p>
    <w:p>
      <w:pPr>
        <w:spacing w:after="0" w:line="178" w:lineRule="exact"/>
        <w:rPr>
          <w:sz w:val="20"/>
          <w:szCs w:val="20"/>
          <w:color w:val="auto"/>
        </w:rPr>
      </w:pPr>
    </w:p>
    <w:p>
      <w:pPr>
        <w:ind w:right="320" w:firstLine="440"/>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Evidence of Compliance of Supplemental Indenture to Be Furnished to Trustee</w:t>
      </w:r>
      <w:r>
        <w:rPr>
          <w:rFonts w:ascii="Arial" w:cs="Arial" w:eastAsia="Arial" w:hAnsi="Arial"/>
          <w:sz w:val="18"/>
          <w:szCs w:val="18"/>
          <w:color w:val="auto"/>
        </w:rPr>
        <w:t>. In addition to the documents required by Section 16.05, the Trustee shall receive an Officer’s Certificate and an Opinion of Counsel as conclusive evidence that any supplemental indenture executed pursuant hereto complies with the requirements of this Article X and is permitted or authorized by this Indenture and that the supplemental indenture constitutes the valid and binding obligation of the Company, enforceable in accordance with its terms, subject to customary bankruptcy exceptions for opinions of this type.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SALE, CONVEYANCE AND LEASE</w:t>
      </w:r>
    </w:p>
    <w:p>
      <w:pPr>
        <w:spacing w:after="0" w:line="211" w:lineRule="exact"/>
        <w:rPr>
          <w:sz w:val="20"/>
          <w:szCs w:val="20"/>
          <w:color w:val="auto"/>
        </w:rPr>
      </w:pPr>
    </w:p>
    <w:p>
      <w:pPr>
        <w:ind w:right="480" w:firstLine="440"/>
        <w:spacing w:after="0" w:line="311"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Company May Consolidate, Etc. on Certain Terms</w:t>
      </w:r>
      <w:r>
        <w:rPr>
          <w:rFonts w:ascii="Arial" w:cs="Arial" w:eastAsia="Arial" w:hAnsi="Arial"/>
          <w:sz w:val="16"/>
          <w:szCs w:val="16"/>
          <w:color w:val="auto"/>
        </w:rPr>
        <w:t>. Subject to the provisions of Section 11.02, the Company shall not, in a transaction or series of transactions, consolidate with, merge with or into, or sell, convey, transfer or lease all or substantially all of the Company’s properties and assets to, another Person (other than one or more of the Company’s direct or indirect Domestic Subsidiaries), unless:</w:t>
      </w:r>
    </w:p>
    <w:p>
      <w:pPr>
        <w:spacing w:after="0" w:line="149" w:lineRule="exact"/>
        <w:rPr>
          <w:sz w:val="20"/>
          <w:szCs w:val="20"/>
          <w:color w:val="auto"/>
        </w:rPr>
      </w:pPr>
    </w:p>
    <w:p>
      <w:pPr>
        <w:ind w:right="120" w:firstLine="987"/>
        <w:spacing w:after="0" w:line="255" w:lineRule="auto"/>
        <w:tabs>
          <w:tab w:leader="none" w:pos="12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 (i) the Company is the Person surviving such merger or consolidation, or (ii) the Person (if not the Company) formed by such consolidation or into which the Company is merged or the Person which acquires by conveyance or transfer, or which leases, all or substantially all of the Company’s properties and assets (such Person or such Person described in clause (ii), the “</w:t>
      </w:r>
      <w:r>
        <w:rPr>
          <w:rFonts w:ascii="Arial" w:cs="Arial" w:eastAsia="Arial" w:hAnsi="Arial"/>
          <w:sz w:val="18"/>
          <w:szCs w:val="18"/>
          <w:b w:val="1"/>
          <w:bCs w:val="1"/>
          <w:color w:val="auto"/>
        </w:rPr>
        <w:t>Successor Company</w:t>
      </w:r>
      <w:r>
        <w:rPr>
          <w:rFonts w:ascii="Arial" w:cs="Arial" w:eastAsia="Arial" w:hAnsi="Arial"/>
          <w:sz w:val="18"/>
          <w:szCs w:val="18"/>
          <w:color w:val="auto"/>
        </w:rPr>
        <w:t>”) shall be a corporation organized and existing under the laws of the United States of America, any State thereof or the District of Columbia, and, in the case where there is a Successor Company, the Successor Company (if not the Company) shall expressly assume by supplemental indenture all of the obligations of the Company under the Notes and this Indenture; and</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under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Successor Corporation to Be Substituted</w:t>
      </w:r>
      <w:r>
        <w:rPr>
          <w:rFonts w:ascii="Arial" w:cs="Arial" w:eastAsia="Arial" w:hAnsi="Arial"/>
          <w:sz w:val="16"/>
          <w:szCs w:val="16"/>
          <w:color w:val="auto"/>
        </w:rPr>
        <w:t>. In case of any such consolidation, merger, sale, conveyance, transfer, or lease in which there is a Successor Company and upon the assumption by the Successor Company, by supplemental indenture, executed and delivered to the Trustee and satisfactory in form to the Trustee, of the due and punctual payment of the principal of and any accrued and unpaid Special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or any of the Company’s direct or indirect Domestic Subsidiaries) shall succeed to and, except in the case of a lease of all or substantially all of the Company’s properties and assets shall be substituted for the Company, with the same effect as if it had been named herein as the party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2" w:name="page53"/>
    <w:bookmarkEnd w:id="5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XI the Person named as the “Company” in the first paragraph of this Indenture (or any successor that shall thereafter have become such in the manner prescribed in this Article XI)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7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case of any such consolidation, merger, sale, conveyance, transfer, or lease, such changes in phraseology and form (but not in substance) may be made in the Notes thereafter to be issued as may be appropriate.</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Officer’s Certification and Opinion of Counsel to Be Given to Trustee</w:t>
      </w:r>
      <w:r>
        <w:rPr>
          <w:rFonts w:ascii="Arial" w:cs="Arial" w:eastAsia="Arial" w:hAnsi="Arial"/>
          <w:sz w:val="18"/>
          <w:szCs w:val="18"/>
          <w:color w:val="auto"/>
        </w:rPr>
        <w:t>. No such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XI, and in the case of the Opinion of Counsel, that such supplemental indenture is the valid and binding obligation of such Successor Company, enforceable in accordance with its terms, subject to customary bankruptcy exceptions for opinions of this type.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1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Indenture and Notes Solely Corporate Obligations</w:t>
      </w:r>
      <w:r>
        <w:rPr>
          <w:rFonts w:ascii="Arial" w:cs="Arial" w:eastAsia="Arial" w:hAnsi="Arial"/>
          <w:sz w:val="16"/>
          <w:szCs w:val="16"/>
          <w:color w:val="auto"/>
        </w:rPr>
        <w:t>. No recourse for the payment of the principal of or any accrued and unpaid Special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NOTES</w:t>
      </w:r>
    </w:p>
    <w:p>
      <w:pPr>
        <w:spacing w:after="0" w:line="211"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Conversion Privilege</w:t>
      </w:r>
      <w:r>
        <w:rPr>
          <w:rFonts w:ascii="Arial" w:cs="Arial" w:eastAsia="Arial" w:hAnsi="Arial"/>
          <w:sz w:val="17"/>
          <w:szCs w:val="17"/>
          <w:color w:val="auto"/>
        </w:rPr>
        <w:t>. (a) Subject to and upon compliance with the provisions of this Article XIII, each Holder of a Note shall have the right, at such Holder’s option, to convert all or any portion (if the portion to be converted is $1,000 principal amount or an integral multiple thereof) of such Note (i) subject to satisfaction of the conditions described in Section 13.01(b), at any time prior to the close of business on the Business Day immediately preceding December 1, 2025 under the circumstances and during the periods set forth in Section 13.01(b), and (ii) regardless of the conditions described in Section 13.01(b), on or after December 1, 2025 and prior to the close of business on the second Scheduled Trading Day immediately preceding the Maturity Date, in each case, at an initial conversion rate of 26.1458 shares of Common Stock (subject to adjustment as provided in this Article XIII, the “</w:t>
      </w:r>
      <w:r>
        <w:rPr>
          <w:rFonts w:ascii="Arial" w:cs="Arial" w:eastAsia="Arial" w:hAnsi="Arial"/>
          <w:sz w:val="17"/>
          <w:szCs w:val="17"/>
          <w:b w:val="1"/>
          <w:bCs w:val="1"/>
          <w:color w:val="auto"/>
        </w:rPr>
        <w:t>Conversion Rate</w:t>
      </w:r>
      <w:r>
        <w:rPr>
          <w:rFonts w:ascii="Arial" w:cs="Arial" w:eastAsia="Arial" w:hAnsi="Arial"/>
          <w:sz w:val="17"/>
          <w:szCs w:val="17"/>
          <w:color w:val="auto"/>
        </w:rPr>
        <w:t>”) per $1,000 principal amount of Notes (subject to, and in accordance with, the settlement provisions of Section 13.02, the “</w:t>
      </w:r>
      <w:r>
        <w:rPr>
          <w:rFonts w:ascii="Arial" w:cs="Arial" w:eastAsia="Arial" w:hAnsi="Arial"/>
          <w:sz w:val="17"/>
          <w:szCs w:val="17"/>
          <w:b w:val="1"/>
          <w:bCs w:val="1"/>
          <w:color w:val="auto"/>
        </w:rPr>
        <w:t>Conversion Obligation</w:t>
      </w:r>
      <w:r>
        <w:rPr>
          <w:rFonts w:ascii="Arial" w:cs="Arial" w:eastAsia="Arial" w:hAnsi="Arial"/>
          <w:sz w:val="17"/>
          <w:szCs w:val="17"/>
          <w:color w:val="auto"/>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3" w:name="page54"/>
    <w:bookmarkEnd w:id="53"/>
    <w:p>
      <w:pPr>
        <w:ind w:right="20" w:firstLine="948"/>
        <w:spacing w:after="0" w:line="284" w:lineRule="auto"/>
        <w:tabs>
          <w:tab w:leader="none" w:pos="1167"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the close of business on the Business Day immediately preceding December 1, 2025, a Holder may surrender all or any portion of its Notes for conversion at any time during the five Business Day period immediately after any five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in which the Trading Price per $1,000 principal amount of Notes, as determined following a request by a Holder of Notes in accordance with this Section 13.01(b)(i), for each Trading Day of the Measurement Period was less than 98% of the product of the Last Reported Sale Price of the Common Stock and the Conversion Rate on each such Trading Day.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and shall direct such securities dealers to provide the required information to the Bid Solicitation Agent, who shall deliver such bid quotations to the Company.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provides the Company with reasonable evidence that the Trading Price per $1,000 principal amount of Notes would be less than 98% of the product of the Last Reported Sale Price of the Common Stock and the Conversion Rate, at which time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or if the Company instructs the Bid Solicitation Agent to obtain bids and the Bid Solicitation Agent fails to obtain such bids,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of the Notes, the Trustee and the Conversion Agent (if other than the Trustee) in writing. None of the Trustee, the Bid Solicitation Agent or the Conversion Agent shall have any duty to determine or verify the Company’s determination of whether the Trading Price Condition set forth above has been met.</w:t>
      </w:r>
    </w:p>
    <w:p>
      <w:pPr>
        <w:spacing w:after="0" w:line="65" w:lineRule="exact"/>
        <w:rPr>
          <w:rFonts w:ascii="Arial" w:cs="Arial" w:eastAsia="Arial" w:hAnsi="Arial"/>
          <w:sz w:val="16"/>
          <w:szCs w:val="16"/>
          <w:color w:val="auto"/>
        </w:rPr>
      </w:pPr>
    </w:p>
    <w:p>
      <w:pPr>
        <w:ind w:left="1220" w:hanging="272"/>
        <w:spacing w:after="0"/>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prior to the close of business on the Business Day immediately preceding December 1, 2025, the Company elects to:</w:t>
      </w:r>
    </w:p>
    <w:p>
      <w:pPr>
        <w:spacing w:after="0" w:line="128" w:lineRule="exact"/>
        <w:rPr>
          <w:rFonts w:ascii="Arial" w:cs="Arial" w:eastAsia="Arial" w:hAnsi="Arial"/>
          <w:sz w:val="17"/>
          <w:szCs w:val="17"/>
          <w:color w:val="auto"/>
        </w:rPr>
      </w:pPr>
    </w:p>
    <w:p>
      <w:pPr>
        <w:ind w:right="60" w:firstLine="1371"/>
        <w:spacing w:after="0" w:line="257" w:lineRule="auto"/>
        <w:tabs>
          <w:tab w:leader="none" w:pos="1669"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issue to all or substantially all holders of the Common Stock any rights, options, or warrants (other than in connection with a stockholder rights plan) entitling them, for a period of not more than 45 calendar days after the declaration date for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declaration date for such issuance; or</w:t>
      </w:r>
    </w:p>
    <w:p>
      <w:pPr>
        <w:spacing w:after="0" w:line="79" w:lineRule="exact"/>
        <w:rPr>
          <w:rFonts w:ascii="Arial" w:cs="Arial" w:eastAsia="Arial" w:hAnsi="Arial"/>
          <w:sz w:val="18"/>
          <w:szCs w:val="18"/>
          <w:color w:val="auto"/>
        </w:rPr>
      </w:pPr>
    </w:p>
    <w:p>
      <w:pPr>
        <w:jc w:val="both"/>
        <w:ind w:right="300" w:firstLine="1371"/>
        <w:spacing w:after="0" w:line="311" w:lineRule="auto"/>
        <w:tabs>
          <w:tab w:leader="none" w:pos="1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the Common Stock the Company’s assets, securities, or rights to purchase securities of the Company, which distribution has a per share value, as reasonably determined by the Board of Directors, exceeding 10% of the Last Reported Sale Price of the Common Stock on the Trading Day immediately preceding the declaration date for such distribution,</w:t>
      </w:r>
    </w:p>
    <w:p>
      <w:pPr>
        <w:spacing w:after="0" w:line="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then, in either case, the Company shall notify all Holders of the Notes, the Trustee, and the Conversion Agent (if other than the Trustee) in writing at least 33 Scheduled Trading Days prior to the Ex-Dividend Date for such issuance or distribution (or, if later in the case of any such separation of rights issued pursuant to a stockholder rights plan as soon as reasonably practicable after the Company becomes aware that such separation or triggering event has occurred or will occur). Once the Company has given such notice, a Holder</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80"/>
          </w:cols>
          <w:pgMar w:left="880" w:top="274" w:right="439" w:bottom="1440" w:gutter="0" w:footer="0" w:header="0"/>
        </w:sectPr>
      </w:pPr>
    </w:p>
    <w:bookmarkStart w:id="54" w:name="page55"/>
    <w:bookmarkEnd w:id="5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(or in the case of a separation or triggering event pursuant to a stockholder rights plan, until the 20</w:t>
      </w:r>
      <w:r>
        <w:rPr>
          <w:rFonts w:ascii="Arial" w:cs="Arial" w:eastAsia="Arial" w:hAnsi="Arial"/>
          <w:sz w:val="14"/>
          <w:szCs w:val="14"/>
          <w:color w:val="auto"/>
        </w:rPr>
        <w:t>th</w:t>
      </w:r>
      <w:r>
        <w:rPr>
          <w:rFonts w:ascii="Arial" w:cs="Arial" w:eastAsia="Arial" w:hAnsi="Arial"/>
          <w:sz w:val="17"/>
          <w:szCs w:val="17"/>
          <w:color w:val="auto"/>
        </w:rPr>
        <w:t xml:space="preserve"> Trading Day following the date that the Company has given such aforementioned notice), in each case, even if the Notes are not otherwise convertible at such time. Holders of the Notes may not exercise this right if they participate (other than in the case of a share split or share combination), at the same time and upon the same terms as holders of the Common Stock and solely as a result of holding the Notes, in any of the transactions described above without having to convert their Notes as if they held a number of shares of Common Stock equal to the applicable Conversion Rate multiplied by the principal amount (expressed in thousands) of Notes held by such Holder. None of the Trustee, the Bid Solicitation Agent or the Conversion Agent shall have any duty to determine or verify the Company’s determination of whether an issuance or distribution described in this clause (ii) has occurred.</w:t>
      </w:r>
    </w:p>
    <w:p>
      <w:pPr>
        <w:spacing w:after="0" w:line="77" w:lineRule="exact"/>
        <w:rPr>
          <w:sz w:val="20"/>
          <w:szCs w:val="20"/>
          <w:color w:val="auto"/>
        </w:rPr>
      </w:pPr>
    </w:p>
    <w:p>
      <w:pPr>
        <w:ind w:right="20" w:firstLine="948"/>
        <w:spacing w:after="0" w:line="268" w:lineRule="auto"/>
        <w:tabs>
          <w:tab w:leader="none" w:pos="12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(i) a transaction or event that constitutes (x) a Fundamental Change or (y) a Make-Whole Fundamental Change occurs prior to the close of business on the Business Day immediately preceding December 1, 2025, regardless of whether a Holder has the right to require the Company to repurchase the Notes pursuant to Section 14.02, or (ii) if the Company is a party to a consolidation, merger, combination, statutory share exchange, or sale, lease, or other transfer to a third party of all or substantially all of its and its Subsidiaries’ consolidated assets, taken as a whole (other than a merger effected solely to change the Company’s jurisdiction of incorporation that does not otherwise constitute a Fundamental Change or Make-Whole Fundamental Change), prior to the close of business on the Business Day immediately preceding December 1, 2025, pursuant to which the Common Stock would be converted into shares of stock, other securities, or other property or assets (including cash or any combination thereof), then, in each case, all or any portion of a Holder’s Notes may be surrendered for conversion at any time after the effective date of such transaction or event until the earlier of (x) the 35th Trading Day after the effective date of such transaction or event or, if such transaction or event also constitutes a Fundamental Change, until the related Fundamental Change Repurchase Date and (y) the close of business on the Business Day immediately preceding the Maturity Date. The Company shall notify Holders, the Trustee, and the Conversion Agent (if other than the Trustee) no later than the effective date of such transaction or event. None of the Trustee, the Bid Solicitation Agent or the Conversion Agent shall have any duty to determine or verify the Company’s determination of whether a Fundamental Change or a Make-Whole Fundamental Change has occurred.</w:t>
      </w:r>
    </w:p>
    <w:p>
      <w:pPr>
        <w:spacing w:after="0" w:line="76" w:lineRule="exact"/>
        <w:rPr>
          <w:rFonts w:ascii="Arial" w:cs="Arial" w:eastAsia="Arial" w:hAnsi="Arial"/>
          <w:sz w:val="17"/>
          <w:szCs w:val="17"/>
          <w:color w:val="auto"/>
        </w:rPr>
      </w:pPr>
    </w:p>
    <w:p>
      <w:pPr>
        <w:ind w:firstLine="948"/>
        <w:spacing w:after="0" w:line="289" w:lineRule="auto"/>
        <w:tabs>
          <w:tab w:leader="none" w:pos="1257"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Prior to the close of business on the Business Day immediately preceding December 1, 2025, a Holder may surrender all or any portion of its Notes for conversion at any time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as determined by the Company. The Company shall determine at the beginning of each calendar quarter commencing after June 30, 2021 whether the Notes may be surrendered for conversion in accordance with this clause (iv) and shall notify the Trustee and the Conversion Agent (if other than the Trustee) in writing if the Notes become convertible in accordance with this clause (iv). None of the Trustee, the Bid Solicitation Agent or the Conversion Agent shall have any duty to determine or verify the Company’s determination of whether the condition set forth in this clause (iv) has occurred.</w:t>
      </w:r>
    </w:p>
    <w:p>
      <w:pPr>
        <w:spacing w:after="0" w:line="58" w:lineRule="exact"/>
        <w:rPr>
          <w:rFonts w:ascii="Arial" w:cs="Arial" w:eastAsia="Arial" w:hAnsi="Arial"/>
          <w:sz w:val="16"/>
          <w:szCs w:val="16"/>
          <w:color w:val="auto"/>
        </w:rPr>
      </w:pPr>
    </w:p>
    <w:p>
      <w:pPr>
        <w:ind w:right="20" w:firstLine="948"/>
        <w:spacing w:after="0" w:line="271" w:lineRule="auto"/>
        <w:tabs>
          <w:tab w:leader="none" w:pos="12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Company calls any Note for Optional Redemption pursuant to Article XV prior to the Maturity Date, then a Holder of such Note called for Optional Redemption may surrender all or any portion of such Note for conversion at any time prior to the close of business on the second Scheduled Trading Day prior to the Redemption Date on account of the Company’s delivery of a Redemption Notice, even if the Note is not otherwise convertible at such time. After that time, the right to convert such Note on account of the Company’s delivery of a Redemption Notice shall expire, unless the Company defaults in the payment of the Redemption Price, in which case a Holder of the Note called for Optional Redemption may convert such Note (or any portion thereof) until the close of business on the Business Day immediately preceding the date on which the Redemption Price has been paid or duly provided for. If the Company elects to redeem less than all of the outstanding Notes and the Holder of any Note (or any owner of a beneficial</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0"/>
          </w:cols>
          <w:pgMar w:left="880" w:top="274" w:right="459" w:bottom="1440" w:gutter="0" w:footer="0" w:header="0"/>
        </w:sectPr>
      </w:pPr>
    </w:p>
    <w:bookmarkStart w:id="55" w:name="page56"/>
    <w:bookmarkEnd w:id="55"/>
    <w:p>
      <w:pPr>
        <w:ind w:left="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in any Global Note) is reasonably not able to determine, before the close of business on the 29th Scheduled Trading Day immediately before the relevant Redemption Date, whether such Note or beneficial interest, as applicable, is to be redeemed pursuant to such Optional Redemption, then such Holder or owner, as applicable, will be entitled to convert such Note or beneficial interest, as applicable, at any time before the close of business on the second Scheduled Trading Day prior to such Redemption Date, unless the Company defaults in the payment of the Redemption Price, in which case such Holder or owner, as applicable, will be entitled to convert such Note or beneficial interest, as applicable, until the close of business on the Business Day immediately preceding the date on which the Redemption Price has been paid or duly provided for, and each such conversion will be deemed to be of a Note called for Optional Redemption. The Trustee shall not be obligated to make any determination in connection with the foregoing.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Conversion Procedure; Settlement Upon Conversion</w:t>
      </w:r>
      <w:r>
        <w:rPr>
          <w:rFonts w:ascii="Arial" w:cs="Arial" w:eastAsia="Arial" w:hAnsi="Arial"/>
          <w:sz w:val="18"/>
          <w:szCs w:val="18"/>
          <w:color w:val="auto"/>
        </w:rPr>
        <w:t>.</w:t>
      </w:r>
    </w:p>
    <w:p>
      <w:pPr>
        <w:spacing w:after="0" w:line="117" w:lineRule="exact"/>
        <w:rPr>
          <w:sz w:val="20"/>
          <w:szCs w:val="20"/>
          <w:color w:val="auto"/>
        </w:rPr>
      </w:pPr>
    </w:p>
    <w:p>
      <w:pPr>
        <w:ind w:left="-20" w:right="160" w:firstLine="987"/>
        <w:spacing w:after="0" w:line="275" w:lineRule="auto"/>
        <w:tabs>
          <w:tab w:leader="none" w:pos="12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Subject to this Section 13.02, Section 13.03(d) and Section 13.07(a), upon conversion of any Note on the second Business Day immediately following the last Trading Day of the Observation Period, the Company shall pay or deliver, as the case may be, to the converting Holder, in respect of each $1,000 principal amount of Notes being converted, a “</w:t>
      </w:r>
      <w:r>
        <w:rPr>
          <w:rFonts w:ascii="Arial" w:cs="Arial" w:eastAsia="Arial" w:hAnsi="Arial"/>
          <w:sz w:val="17"/>
          <w:szCs w:val="17"/>
          <w:b w:val="1"/>
          <w:bCs w:val="1"/>
          <w:color w:val="auto"/>
        </w:rPr>
        <w:t>Settlement Amount</w:t>
      </w:r>
      <w:r>
        <w:rPr>
          <w:rFonts w:ascii="Arial" w:cs="Arial" w:eastAsia="Arial" w:hAnsi="Arial"/>
          <w:sz w:val="17"/>
          <w:szCs w:val="17"/>
          <w:color w:val="auto"/>
        </w:rPr>
        <w:t>” equal to the sum of the Daily Settlement Amounts for each of the 25 Trading Days during the relevant Observation Period for such Note, if any, together with cash, if applicable, in lieu of delivering any fractional share of Common Stock in accordance with subsection (j) of this Section 13.02.</w:t>
      </w:r>
    </w:p>
    <w:p>
      <w:pPr>
        <w:spacing w:after="0" w:line="68" w:lineRule="exact"/>
        <w:rPr>
          <w:rFonts w:ascii="Arial" w:cs="Arial" w:eastAsia="Arial" w:hAnsi="Arial"/>
          <w:sz w:val="17"/>
          <w:szCs w:val="17"/>
          <w:color w:val="auto"/>
        </w:rPr>
      </w:pPr>
    </w:p>
    <w:p>
      <w:pPr>
        <w:ind w:left="420" w:right="320" w:firstLine="948"/>
        <w:spacing w:after="0" w:line="277" w:lineRule="auto"/>
        <w:tabs>
          <w:tab w:leader="none" w:pos="15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conversions for which the relevant Conversion Date occurs (x) on or after December 1, 2025 and (y) during a Redemption Period shall be settled using the same forms and amounts of consideration.</w:t>
      </w:r>
    </w:p>
    <w:p>
      <w:pPr>
        <w:spacing w:after="0" w:line="62" w:lineRule="exact"/>
        <w:rPr>
          <w:rFonts w:ascii="Arial" w:cs="Arial" w:eastAsia="Arial" w:hAnsi="Arial"/>
          <w:sz w:val="18"/>
          <w:szCs w:val="18"/>
          <w:color w:val="auto"/>
        </w:rPr>
      </w:pPr>
    </w:p>
    <w:p>
      <w:pPr>
        <w:ind w:left="420" w:firstLine="948"/>
        <w:spacing w:after="0" w:line="259" w:lineRule="auto"/>
        <w:tabs>
          <w:tab w:leader="none" w:pos="1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for any conversions for which the relevant Conversion Date occurs during a Redemption Period and any conversions for which the relevant Conversion Date occurs on or after December 1, 2025, the Company shall use the same forms and amounts of consideration for all conversions with the same Conversion Date, but the Company shall not have any obligation to use the same forms and amounts of consideration with respect to conversions with different Conversion Dates.</w:t>
      </w:r>
    </w:p>
    <w:p>
      <w:pPr>
        <w:spacing w:after="0" w:line="78" w:lineRule="exact"/>
        <w:rPr>
          <w:rFonts w:ascii="Arial" w:cs="Arial" w:eastAsia="Arial" w:hAnsi="Arial"/>
          <w:sz w:val="18"/>
          <w:szCs w:val="18"/>
          <w:color w:val="auto"/>
        </w:rPr>
      </w:pPr>
    </w:p>
    <w:p>
      <w:pPr>
        <w:ind w:left="420" w:right="20" w:firstLine="948"/>
        <w:spacing w:after="0" w:line="269" w:lineRule="auto"/>
        <w:tabs>
          <w:tab w:leader="none" w:pos="1687" w:val="left"/>
        </w:tabs>
        <w:numPr>
          <w:ilvl w:val="1"/>
          <w:numId w:val="42"/>
        </w:numPr>
        <w:rPr>
          <w:rFonts w:ascii="Arial" w:cs="Arial" w:eastAsia="Arial" w:hAnsi="Arial"/>
          <w:sz w:val="17"/>
          <w:szCs w:val="17"/>
          <w:color w:val="auto"/>
        </w:rPr>
      </w:pPr>
      <w:r>
        <w:rPr>
          <w:rFonts w:ascii="Arial" w:cs="Arial" w:eastAsia="Arial" w:hAnsi="Arial"/>
          <w:sz w:val="17"/>
          <w:szCs w:val="17"/>
          <w:color w:val="auto"/>
        </w:rPr>
        <w:t>If, in respect of any Conversion Date (or the period described in the third immediately succeeding set of parentheses, as the case may be), the Company elects to deliver a notice to settle all or a portion of the Conversion Obligation for the Notes in excess of the principle portion of the Notes being converted in cash (the “</w:t>
      </w:r>
      <w:r>
        <w:rPr>
          <w:rFonts w:ascii="Arial" w:cs="Arial" w:eastAsia="Arial" w:hAnsi="Arial"/>
          <w:sz w:val="17"/>
          <w:szCs w:val="17"/>
          <w:b w:val="1"/>
          <w:bCs w:val="1"/>
          <w:color w:val="auto"/>
        </w:rPr>
        <w:t>Settlement Notice</w:t>
      </w:r>
      <w:r>
        <w:rPr>
          <w:rFonts w:ascii="Arial" w:cs="Arial" w:eastAsia="Arial" w:hAnsi="Arial"/>
          <w:sz w:val="17"/>
          <w:szCs w:val="17"/>
          <w:color w:val="auto"/>
        </w:rPr>
        <w:t>”)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for which the relevant Conversion Date occurs (x) during a Redemption Period, in such Redemption Notice or (y) on or after December 1, 2025, no later than the close of business on the Scheduled Trading Day immediately preceding December 1, 2025) and the Company shall indicate in such Settlement Notice the Cash Percentage. If the Company does not elect a Cash Percentage prior to the deadline set forth in the immediately preceding sentence, the Company shall no longer have the right to elect a Cash Percentage with respect to such conversion or during such period and the Company shall settle its Conversion Obligation by paying cash in respect of the principal portion of the converted Notes and delivering shares of Common Stock in respect of the remainder, if any, of the Conversion Obligation in excess of the aggregate principal portion of the Notes being converted.</w:t>
      </w:r>
    </w:p>
    <w:p>
      <w:pPr>
        <w:spacing w:after="0" w:line="70" w:lineRule="exact"/>
        <w:rPr>
          <w:rFonts w:ascii="Arial" w:cs="Arial" w:eastAsia="Arial" w:hAnsi="Arial"/>
          <w:sz w:val="17"/>
          <w:szCs w:val="17"/>
          <w:color w:val="auto"/>
        </w:rPr>
      </w:pPr>
    </w:p>
    <w:p>
      <w:pPr>
        <w:ind w:left="420" w:right="80" w:firstLine="948"/>
        <w:spacing w:after="0" w:line="272" w:lineRule="auto"/>
        <w:tabs>
          <w:tab w:leader="none" w:pos="1677"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Daily Settlement Amounts (if applicable), the Daily Net Settlement Amounts (if applicable) and the Daily Conversion Values (if applicable) shall be determined by the Company promptly following the last day of the Observation Period. Promptly after such determination of the Daily Settlement Amounts, the Daily Net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the Daily Net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60" w:top="274" w:right="459" w:bottom="1440" w:gutter="0" w:footer="0" w:header="0"/>
        </w:sectPr>
      </w:pPr>
    </w:p>
    <w:bookmarkStart w:id="56" w:name="page57"/>
    <w:bookmarkEnd w:id="56"/>
    <w:p>
      <w:pPr>
        <w:ind w:left="440" w:right="140" w:firstLine="948"/>
        <w:spacing w:after="0" w:line="273" w:lineRule="auto"/>
        <w:tabs>
          <w:tab w:leader="none" w:pos="1647" w:val="left"/>
        </w:tabs>
        <w:numPr>
          <w:ilvl w:val="1"/>
          <w:numId w:val="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close of business on the Scheduled Trading Day immediately preceding December 1, 2025 (other than during a Redemption Period), the Company may, at its election, by notice ( an “</w:t>
      </w:r>
      <w:r>
        <w:rPr>
          <w:rFonts w:ascii="Arial" w:cs="Arial" w:eastAsia="Arial" w:hAnsi="Arial"/>
          <w:sz w:val="17"/>
          <w:szCs w:val="17"/>
          <w:b w:val="1"/>
          <w:bCs w:val="1"/>
          <w:color w:val="auto"/>
        </w:rPr>
        <w:t>Irrevocable Election Notice</w:t>
      </w:r>
      <w:r>
        <w:rPr>
          <w:rFonts w:ascii="Arial" w:cs="Arial" w:eastAsia="Arial" w:hAnsi="Arial"/>
          <w:sz w:val="17"/>
          <w:szCs w:val="17"/>
          <w:color w:val="auto"/>
        </w:rPr>
        <w:t>”) to the Holders, the Trustee and the Conversion Agent (if other than the Trustee) in accordance with provisions of this Indenture, irrevocably elect to settle its Conversion Obligation with respect to all conversions subsequent to the date of the Irrevocable Election Notice through a Cash Percentage of 0 percent for each $1,000 principal amount of Notes; provided, however, that any irrevocable election notice given during a Redemption Period shall only apply to Notes submitted for conversion subsequent to the applicable Redemption Date.</w:t>
      </w:r>
    </w:p>
    <w:p>
      <w:pPr>
        <w:spacing w:after="0" w:line="177" w:lineRule="exact"/>
        <w:rPr>
          <w:rFonts w:ascii="Arial" w:cs="Arial" w:eastAsia="Arial" w:hAnsi="Arial"/>
          <w:sz w:val="17"/>
          <w:szCs w:val="17"/>
          <w:color w:val="auto"/>
        </w:rPr>
      </w:pPr>
    </w:p>
    <w:p>
      <w:pPr>
        <w:ind w:right="20" w:firstLine="987"/>
        <w:spacing w:after="0" w:line="286" w:lineRule="auto"/>
        <w:tabs>
          <w:tab w:leader="none" w:pos="12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Section 13.02(e), before any Holder of a Note shall be entitled to convert a Note as set forth above, such Holder shall (i) in the case of a Global Note, comply with the procedures of the Depositary in effect at that time and, if required, pay funds equal to any Special Interest payable on the next Special Interest Payment Date to which such Holder is not entitled as set forth in Section 13.02(h) and (ii) in the case of a Physical Note (1) complete, manually sign and deliver an irrevocable notice to the Conversion Agent as set forth in the Form of Notice of Conversion (or a facsimile, PDF or other electronic transmission thereof thereof) (a notice pursuant to the applicable procedures of the Depositary or a notice as set forth in the Form of Notice of Conversion, a “</w:t>
      </w:r>
      <w:r>
        <w:rPr>
          <w:rFonts w:ascii="Arial" w:cs="Arial" w:eastAsia="Arial" w:hAnsi="Arial"/>
          <w:sz w:val="16"/>
          <w:szCs w:val="16"/>
          <w:b w:val="1"/>
          <w:bCs w:val="1"/>
          <w:color w:val="auto"/>
        </w:rPr>
        <w:t>Notice of Conversion</w:t>
      </w:r>
      <w:r>
        <w:rPr>
          <w:rFonts w:ascii="Arial" w:cs="Arial" w:eastAsia="Arial" w:hAnsi="Arial"/>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Special Interest payable on the next Special Interest Payment Date to which such Holder is not entitled as set forth in Section 13.02(h). The Trustee (and, if different, the Conversion Agent) shall notify the Company of any conversion pursuant to this Article XIII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14.03.</w:t>
      </w:r>
    </w:p>
    <w:p>
      <w:pPr>
        <w:spacing w:after="0" w:line="17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80" w:lineRule="exact"/>
        <w:rPr>
          <w:sz w:val="20"/>
          <w:szCs w:val="20"/>
          <w:color w:val="auto"/>
        </w:rPr>
      </w:pPr>
    </w:p>
    <w:p>
      <w:pPr>
        <w:ind w:firstLine="987"/>
        <w:spacing w:after="0" w:line="255" w:lineRule="auto"/>
        <w:tabs>
          <w:tab w:leader="none" w:pos="12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Note shall be deemed to have been converted immediately prior to the close of business on the date (the “</w:t>
      </w:r>
      <w:r>
        <w:rPr>
          <w:rFonts w:ascii="Arial" w:cs="Arial" w:eastAsia="Arial" w:hAnsi="Arial"/>
          <w:sz w:val="18"/>
          <w:szCs w:val="18"/>
          <w:b w:val="1"/>
          <w:bCs w:val="1"/>
          <w:color w:val="auto"/>
        </w:rPr>
        <w:t>Conversion Date</w:t>
      </w:r>
      <w:r>
        <w:rPr>
          <w:rFonts w:ascii="Arial" w:cs="Arial" w:eastAsia="Arial" w:hAnsi="Arial"/>
          <w:sz w:val="18"/>
          <w:szCs w:val="18"/>
          <w:color w:val="auto"/>
        </w:rPr>
        <w:t>”) that the Holder has complied with the requirements set forth in subsection (b) above. Except as set forth in Section 13.03(c) and Section 13.07(a), the Company shall pay or deliver, as the case may be, the consideration due in respect of the Conversion Obligation on the second Business Day immediately following the last Trading Day of the relevant Observation Period. If any shares of Common Stock are due to converting Holders, the Company shall issue or cause to be issued, and deliver to the Conversion Agent or to such Holder, or such Holder’s nominee or nominees, certificates or a book-entry transfer through the Depositary for the full number of shares of Common Stock to which such Holder shall be entitled in satisfaction of the Company’s Conversion Obligation.</w:t>
      </w:r>
    </w:p>
    <w:p>
      <w:pPr>
        <w:spacing w:after="0" w:line="192" w:lineRule="exact"/>
        <w:rPr>
          <w:rFonts w:ascii="Arial" w:cs="Arial" w:eastAsia="Arial" w:hAnsi="Arial"/>
          <w:sz w:val="18"/>
          <w:szCs w:val="18"/>
          <w:color w:val="auto"/>
        </w:rPr>
      </w:pPr>
    </w:p>
    <w:p>
      <w:pPr>
        <w:ind w:right="60" w:firstLine="987"/>
        <w:spacing w:after="0" w:line="273" w:lineRule="auto"/>
        <w:tabs>
          <w:tab w:leader="none" w:pos="12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77" w:lineRule="exact"/>
        <w:rPr>
          <w:rFonts w:ascii="Arial" w:cs="Arial" w:eastAsia="Arial" w:hAnsi="Arial"/>
          <w:sz w:val="17"/>
          <w:szCs w:val="17"/>
          <w:color w:val="auto"/>
        </w:rPr>
      </w:pPr>
    </w:p>
    <w:p>
      <w:pPr>
        <w:jc w:val="both"/>
        <w:ind w:right="60" w:firstLine="987"/>
        <w:spacing w:after="0" w:line="296" w:lineRule="auto"/>
        <w:tabs>
          <w:tab w:leader="none" w:pos="12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be required to pay that tax. The Conversion Agent may refuse to deliver or refuse to instruct the stock transfer agent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57" w:name="page58"/>
    <w:bookmarkEnd w:id="57"/>
    <w:p>
      <w:pPr>
        <w:ind w:right="500" w:firstLine="987"/>
        <w:spacing w:after="0" w:line="277" w:lineRule="auto"/>
        <w:tabs>
          <w:tab w:leader="none" w:pos="121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provided in Section 13.04, no adjustment shall be made for dividends on any shares of Common Stock issued upon the conversion of any Note as provided in this Article XIII.</w:t>
      </w:r>
    </w:p>
    <w:p>
      <w:pPr>
        <w:spacing w:after="0" w:line="170" w:lineRule="exact"/>
        <w:rPr>
          <w:rFonts w:ascii="Arial" w:cs="Arial" w:eastAsia="Arial" w:hAnsi="Arial"/>
          <w:sz w:val="18"/>
          <w:szCs w:val="18"/>
          <w:color w:val="auto"/>
        </w:rPr>
      </w:pPr>
    </w:p>
    <w:p>
      <w:pPr>
        <w:jc w:val="both"/>
        <w:ind w:right="80" w:firstLine="987"/>
        <w:spacing w:after="0" w:line="263"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83" w:lineRule="exact"/>
        <w:rPr>
          <w:rFonts w:ascii="Arial" w:cs="Arial" w:eastAsia="Arial" w:hAnsi="Arial"/>
          <w:sz w:val="18"/>
          <w:szCs w:val="18"/>
          <w:color w:val="auto"/>
        </w:rPr>
      </w:pPr>
    </w:p>
    <w:p>
      <w:pPr>
        <w:ind w:firstLine="987"/>
        <w:spacing w:after="0" w:line="285" w:lineRule="auto"/>
        <w:tabs>
          <w:tab w:leader="none" w:pos="12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Upon conversion, a Holder shall not receive any separate cash payment for accrued and unpaid Special Interest, if any, except as set forth below. The Company’s settlement of the full Conversion Obligation shall be deemed to satisfy in full its obligation to pay the principal amount of the Note and accrued and unpaid Special Interest, if any, to, but excluding, the relevant Conversion Date. As a result, accrued and unpaid Special Interest, if any, to, but excluding, the relevant Conversion Date shall be deemed to be paid in full rather than canceled, extinguished, or forfeited. Upon a conversion of Notes, any accrued and unpaid Special Interest will be deemed to be paid first out of the cash paid upon such conversion. Notwithstanding the foregoing, if Notes are converted after the close of business on a Special Interest Record Date and prior to the open of business on the corresponding Special Interest Payment Date, Holders of such Notes as of the close of business on such Special Interest Record Date will receive the full amount of Special Interest payable on such Notes on the corresponding Special Interest Payment Date notwithstanding the conversion. Notes surrendered for conversion during the period from the close of business on any Special Interest Record Date to the open of business on the immediately following Special Interest Payment Date must be accompanied by funds equal to the amount of Special Interest payable on the Notes so converted; provided that no such payment shall be required (1) for conversions following the close on business on the Special Interest Record Date immediately preceding the Maturity Date; (2) if the Company has specified a Fundamental Change Repurchase Date that is after a Special Interest Record Date and on or prior to the Business Day immediately following the corresponding Special Interest Payment Date; (3) if the Company has specified a Redemption Date that is after a Special Interest Record Date and on or prior to the second Business Day immediately following the corresponding Special Interest Payment Date; or (4) to the extent of any Defaulted Amounts, if any Defaulted Amounts exists at the time of conversion with respect to such Note. Therefore, for the avoidance of doubt, all Holders of record at the close of business on the Special Interest Record Date immediately preceding the Maturity Date, any Redemption Date described in clause (3) above, or any Fundamental Change Repurchase Date as described in the immediately preceding sentence (if and to the extent that Special Interest is payable on the Maturity Date) shall receive the full Special Interest payment due on the Maturity Date or other applicable Special Interest Payment Date in cash regardless of whether their Notes have been converted, redeemed or repurchased, as applicable following such Special Interest Record Date.</w:t>
      </w:r>
    </w:p>
    <w:p>
      <w:pPr>
        <w:spacing w:after="0" w:line="384" w:lineRule="exact"/>
        <w:rPr>
          <w:rFonts w:ascii="Arial" w:cs="Arial" w:eastAsia="Arial" w:hAnsi="Arial"/>
          <w:sz w:val="16"/>
          <w:szCs w:val="16"/>
          <w:color w:val="auto"/>
        </w:rPr>
      </w:pPr>
    </w:p>
    <w:p>
      <w:pPr>
        <w:jc w:val="both"/>
        <w:ind w:right="460" w:firstLine="987"/>
        <w:spacing w:after="0" w:line="286" w:lineRule="auto"/>
        <w:tabs>
          <w:tab w:leader="none" w:pos="1206"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Subject to Section 13.13, the Person in whose name the certificate for any shares of Common Stock delivered upon conversion is registered shall be treated as a stockholder of record as of the close of business on the last Trading Day of the relevant Observation Period. Upon a conversion of Notes, such Person shall no longer be a Holder of such Notes surrendered for conversion.</w:t>
      </w:r>
    </w:p>
    <w:p>
      <w:pPr>
        <w:spacing w:after="0" w:line="165" w:lineRule="exact"/>
        <w:rPr>
          <w:rFonts w:ascii="Arial" w:cs="Arial" w:eastAsia="Arial" w:hAnsi="Arial"/>
          <w:sz w:val="17"/>
          <w:szCs w:val="17"/>
          <w:color w:val="auto"/>
        </w:rPr>
      </w:pPr>
    </w:p>
    <w:p>
      <w:pPr>
        <w:ind w:right="80" w:firstLine="987"/>
        <w:spacing w:after="0" w:line="257" w:lineRule="auto"/>
        <w:tabs>
          <w:tab w:leader="none" w:pos="12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87"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applicable withholding taxes (including backup withholding) may be withheld from interest and payments upon conversion, repurchase or maturity of the Notes, or if any withholding taxes (including backup withholding) are paid on behalf of a Holder, those withholding taxes may be set off against payments of cash or Common Stock, if any, payable on the Notes to such Holder.</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Increased Conversion Rate Applicable to Certain Notes Surrendered in Connection with Make-Whole Fundamental Changes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During a Redemption Period</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8" w:name="page59"/>
    <w:bookmarkEnd w:id="58"/>
    <w:p>
      <w:pPr>
        <w:ind w:left="-20" w:right="20" w:firstLine="987"/>
        <w:spacing w:after="0" w:line="285" w:lineRule="auto"/>
        <w:tabs>
          <w:tab w:leader="none" w:pos="1216"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Make-Whole Fundamental Change occurs or becomes effective prior to the Maturity Date and a Holder elects to convert its Notes in connection with such Make-Whole Fundamental Change or the Company issues a Redemption Notice pursuant to Section 15.02 and a Holder elects to convert its Notes in connection with such Redemption Notice, the Company shall, under the circumstances described below, increase the Conversion Rate for the Notes so surrendered for conversion by a number of additional shares of Common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subclause (i) of the proviso in clause (b) of the definition thereof, the 35th Trading Day immediately following the Effective Date of such Make-Whole Fundamental Change) (such period, the “</w:t>
      </w:r>
      <w:r>
        <w:rPr>
          <w:rFonts w:ascii="Arial" w:cs="Arial" w:eastAsia="Arial" w:hAnsi="Arial"/>
          <w:sz w:val="16"/>
          <w:szCs w:val="16"/>
          <w:b w:val="1"/>
          <w:bCs w:val="1"/>
          <w:color w:val="auto"/>
        </w:rPr>
        <w:t>Make-Whole Fundamental Change Period</w:t>
      </w:r>
      <w:r>
        <w:rPr>
          <w:rFonts w:ascii="Arial" w:cs="Arial" w:eastAsia="Arial" w:hAnsi="Arial"/>
          <w:sz w:val="16"/>
          <w:szCs w:val="16"/>
          <w:color w:val="auto"/>
        </w:rPr>
        <w:t>”). A conversion of Notes shall be deemed for these purposes to be “in connection with” a Redemption Notice if the relevant Notice of Conversion is received by the Conversion Agent during the relevant Redemption Period. For the avoidance of doubt, the Company shall increase the Conversion Rate for the Notes in connection with a Redemption Notice only with respect to conversion of Notes called (or deemed called) for Optional Redemption, and not for Notes not called for Optional Redemption. If the Company elects to redeem less than all of the Notes, a Holder of the Notes not called for Optional Redemption will not be entitled to an increased Conversion Rate for conversions of such Notes (on account of the Redemption Notice) from, and including, the Redemption Notice Date until the close of business on the Scheduled Trading Day immediately preceding the Redemption Date, except in the limited circumstances set forth in Section 13.01(b)(v).</w:t>
      </w:r>
    </w:p>
    <w:p>
      <w:pPr>
        <w:spacing w:after="0" w:line="176" w:lineRule="exact"/>
        <w:rPr>
          <w:rFonts w:ascii="Arial" w:cs="Arial" w:eastAsia="Arial" w:hAnsi="Arial"/>
          <w:sz w:val="16"/>
          <w:szCs w:val="16"/>
          <w:color w:val="auto"/>
        </w:rPr>
      </w:pPr>
    </w:p>
    <w:p>
      <w:pPr>
        <w:ind w:left="-20" w:right="60" w:firstLine="987"/>
        <w:spacing w:after="0" w:line="269" w:lineRule="auto"/>
        <w:tabs>
          <w:tab w:leader="none" w:pos="1226"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Upon surrender of Notes for conversion in connection with a Make-Whole Fundamental Change pursuant to Section 13.01(b)(iii) or during a Redemption Period pursuant to Section 13.01(b)(v), the Company shall satisfy the related Conversion Obligation in accordance with Section 13.02 based on the Conversion Rate as increased to reflect the Additional Shares pursuant to the table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adjustment for Additional Shares),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such Stock Price. In such event, the Conversion Obligation shall be determined and paid to Holders in cash on the second Business Day following the Conversion Date. The Company shall notify the Holders of Notes, the Trustee and the Conversion Agent (if other than the Trustee) of the Effective Date of any Make-Whole Fundamental Change and publish a notice of such Effective Date on the Company’s website, in a filing with the Commission or through such other public medium as the Company may use at that time no later than five Business Days after such Effective Date.</w:t>
      </w:r>
    </w:p>
    <w:p>
      <w:pPr>
        <w:spacing w:after="0" w:line="178" w:lineRule="exact"/>
        <w:rPr>
          <w:rFonts w:ascii="Arial" w:cs="Arial" w:eastAsia="Arial" w:hAnsi="Arial"/>
          <w:sz w:val="17"/>
          <w:szCs w:val="17"/>
          <w:color w:val="auto"/>
        </w:rPr>
      </w:pPr>
    </w:p>
    <w:p>
      <w:pPr>
        <w:ind w:left="-20" w:firstLine="987"/>
        <w:spacing w:after="0" w:line="286" w:lineRule="auto"/>
        <w:tabs>
          <w:tab w:leader="none" w:pos="121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number of Additional Shares, if any, by which the Conversion Rate shall be increased for conversions during the Make-Whole Fundamental Change Period or during the Redemption Period shall be determined by reference to the table below, based on the date on which the Make-Whole Fundamental Change occurs or becomes effective or the Redemption Notice Date, as applicable (in each case,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(the “</w:t>
      </w:r>
      <w:r>
        <w:rPr>
          <w:rFonts w:ascii="Arial" w:cs="Arial" w:eastAsia="Arial" w:hAnsi="Arial"/>
          <w:sz w:val="16"/>
          <w:szCs w:val="16"/>
          <w:b w:val="1"/>
          <w:bCs w:val="1"/>
          <w:color w:val="auto"/>
        </w:rPr>
        <w:t>Stock Price</w:t>
      </w:r>
      <w:r>
        <w:rPr>
          <w:rFonts w:ascii="Arial" w:cs="Arial" w:eastAsia="Arial" w:hAnsi="Arial"/>
          <w:sz w:val="16"/>
          <w:szCs w:val="16"/>
          <w:color w:val="auto"/>
        </w:rPr>
        <w:t>”) paid (or deemed to be paid) per share of the Common Stock in the Make-Whole Fundamental Change or with respect to the Optional Redemption, as applicable, as set forth in this Section 13.03. If the holders of the Common Stock receive in exchange for their Common Stock only cash in a Make-Whole Fundamental Change described in clause (b) of the definition of Fundamental Change, the Stock Price shall be the cash amount paid per share. In the case of any other Make-Whole Fundamental Change or in the case of any Optional Redemption, the Stock Price shall be the average of the Last Reported Sale Prices of the Common Stock over the five consecutive Trading Day period ending on, and including, the Trading Day immediately preceding the Effective Date of the Make-Whole Fundamental Change or the Redemption Notice Date, as the case may be. In the event that a Conversion Date occurs during both a Redemption Period and a Make-Whole Fundamental Change Period, a Holder of any such Notes to be converted will be entitled to a single increase to the Conversion Rate with respect to the first to occur of the applicable Redemption Notice Date or Effective Date of the Make-Whole Fundamental Change, and the later event shall be deemed not to have occurred for purposes of such conversion. The Board of Directors shall make appropriate adjustments to the Stock Price, in its good faith determination, to account for any adjustment to the Conversion Rate that becomes effective, or any event requiring an adjustment to the Conversion Rate where the Ex-Dividend Date, Effective Date (as such term is used in Section 13.04) or expiration date of the event occurs, during such five consecutive Trading Day period.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60" w:top="274" w:right="459" w:bottom="1440" w:gutter="0" w:footer="0" w:header="0"/>
        </w:sectPr>
      </w:pPr>
    </w:p>
    <w:bookmarkStart w:id="59" w:name="page60"/>
    <w:bookmarkEnd w:id="59"/>
    <w:p>
      <w:pPr>
        <w:ind w:right="120" w:firstLine="987"/>
        <w:spacing w:after="0" w:line="275" w:lineRule="auto"/>
        <w:tabs>
          <w:tab w:leader="none" w:pos="1246" w:val="left"/>
        </w:tabs>
        <w:numPr>
          <w:ilvl w:val="0"/>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Stock Prices set forth in the column headings of the table below shall be adjusted as of any date on which the Conversion Rate of the Notes is otherwise adjusted. The adjusted Stock Prices shall equal the Stock Prices applicable immediately prior to such adjustment, multiplied by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13.04.</w:t>
      </w:r>
    </w:p>
    <w:p>
      <w:pPr>
        <w:spacing w:after="0" w:line="176" w:lineRule="exact"/>
        <w:rPr>
          <w:rFonts w:ascii="Arial" w:cs="Arial" w:eastAsia="Arial" w:hAnsi="Arial"/>
          <w:sz w:val="17"/>
          <w:szCs w:val="17"/>
          <w:color w:val="auto"/>
        </w:rPr>
      </w:pPr>
    </w:p>
    <w:p>
      <w:pPr>
        <w:ind w:right="80" w:firstLine="987"/>
        <w:spacing w:after="0" w:line="263"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table sets forth the number of Additional Shares of Common Stock by which the Conversion Rate shall be increased per $1,000 principal amount of Notes pursuant to this Section 13.03 for each Stock Price and Effective Date of the Make-Whole Fundamental Change or Redemption Notice Date, as applicable, set forth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Effective Date/Redemption Notice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rPr>
              <w:t>Stock Price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06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$23.18</w:t>
            </w:r>
          </w:p>
        </w:tc>
        <w:tc>
          <w:tcPr>
            <w:tcW w:w="180" w:type="dxa"/>
            <w:vAlign w:val="bottom"/>
          </w:tcPr>
          <w:p>
            <w:pPr>
              <w:spacing w:after="0"/>
              <w:rPr>
                <w:sz w:val="9"/>
                <w:szCs w:val="9"/>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$30.00</w:t>
            </w:r>
          </w:p>
        </w:tc>
        <w:tc>
          <w:tcPr>
            <w:tcW w:w="160" w:type="dxa"/>
            <w:vAlign w:val="bottom"/>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$38.25</w:t>
            </w:r>
          </w:p>
        </w:tc>
        <w:tc>
          <w:tcPr>
            <w:tcW w:w="160" w:type="dxa"/>
            <w:vAlign w:val="bottom"/>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$45.00</w:t>
            </w:r>
          </w:p>
        </w:tc>
        <w:tc>
          <w:tcPr>
            <w:tcW w:w="180" w:type="dxa"/>
            <w:vAlign w:val="bottom"/>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$49.72</w:t>
            </w:r>
          </w:p>
        </w:tc>
        <w:tc>
          <w:tcPr>
            <w:tcW w:w="160" w:type="dxa"/>
            <w:vAlign w:val="bottom"/>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$55.00</w:t>
            </w:r>
          </w:p>
        </w:tc>
        <w:tc>
          <w:tcPr>
            <w:tcW w:w="160" w:type="dxa"/>
            <w:vAlign w:val="bottom"/>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$60.00</w:t>
            </w:r>
          </w:p>
        </w:tc>
        <w:tc>
          <w:tcPr>
            <w:tcW w:w="160" w:type="dxa"/>
            <w:vAlign w:val="bottom"/>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$70.00</w:t>
            </w:r>
          </w:p>
        </w:tc>
        <w:tc>
          <w:tcPr>
            <w:tcW w:w="160" w:type="dxa"/>
            <w:vAlign w:val="bottom"/>
          </w:tcPr>
          <w:p>
            <w:pPr>
              <w:spacing w:after="0"/>
              <w:rPr>
                <w:sz w:val="9"/>
                <w:szCs w:val="9"/>
                <w:color w:val="auto"/>
              </w:rPr>
            </w:pPr>
          </w:p>
        </w:tc>
        <w:tc>
          <w:tcPr>
            <w:tcW w:w="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$80.00</w:t>
            </w:r>
          </w:p>
        </w:tc>
        <w:tc>
          <w:tcPr>
            <w:tcW w:w="160" w:type="dxa"/>
            <w:vAlign w:val="bottom"/>
          </w:tcPr>
          <w:p>
            <w:pPr>
              <w:spacing w:after="0"/>
              <w:rPr>
                <w:sz w:val="9"/>
                <w:szCs w:val="9"/>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100.00</w:t>
            </w:r>
          </w:p>
        </w:tc>
        <w:tc>
          <w:tcPr>
            <w:tcW w:w="16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125.00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ind w:left="1340"/>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February 26, 2021</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16.9948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10.5583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6.3974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4.4158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3.4572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2.6560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2.0843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1.3000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0.8145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0.3056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0.0650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March 1, 2022</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16.9948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10.2173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5.9979</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4.0291</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3.0927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2.3227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1.7823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1.0590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0.6275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0.2012</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0.0261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March 1, 2023</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16.9948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9.7327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5.4502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3.5116</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2.6142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1.8942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1.4025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0.7700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0.4148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0.0980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0.0019</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March 1, 2024</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16.9948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9.0890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4.7007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2.8151</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1.9845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1.3482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0.9350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0.4419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0.1955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0.0193</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March 1, 2025</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16.9948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8.2043</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3.5605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1.7922</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1.1070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0.6418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0.3773</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0.1171</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0.0245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March 1, 2026</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16.9948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7.1873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exact Stock Prices and Effective Dates or Redemption Notice Dates may not be set forth in the table above, in which case:</w:t>
      </w:r>
    </w:p>
    <w:p>
      <w:pPr>
        <w:spacing w:after="0" w:line="117" w:lineRule="exact"/>
        <w:rPr>
          <w:sz w:val="20"/>
          <w:szCs w:val="20"/>
          <w:color w:val="auto"/>
        </w:rPr>
      </w:pPr>
    </w:p>
    <w:p>
      <w:pPr>
        <w:jc w:val="both"/>
        <w:ind w:left="440" w:right="100" w:firstLine="948"/>
        <w:spacing w:after="0" w:line="301" w:lineRule="auto"/>
        <w:tabs>
          <w:tab w:leader="none" w:pos="1607"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or the Redemption Notice Date, as the case may be, is between two Effective Dates or Redemption Notice Dates, as applicable, in the table above, the number of Additional Shares by which the Conversion Rate shall be increased shall be determined by a straight-line interpolation between the number of Additional Shares set forth for the higher and lower Stock Prices and the earlier and later Effective Dates or Redemption Notice Dates, as applicable, based on a 365-day year;</w:t>
      </w:r>
    </w:p>
    <w:p>
      <w:pPr>
        <w:spacing w:after="0" w:line="49" w:lineRule="exact"/>
        <w:rPr>
          <w:rFonts w:ascii="Arial" w:cs="Arial" w:eastAsia="Arial" w:hAnsi="Arial"/>
          <w:sz w:val="16"/>
          <w:szCs w:val="16"/>
          <w:color w:val="auto"/>
        </w:rPr>
      </w:pPr>
    </w:p>
    <w:p>
      <w:pPr>
        <w:ind w:left="440" w:right="160" w:firstLine="948"/>
        <w:spacing w:after="0" w:line="342" w:lineRule="auto"/>
        <w:tabs>
          <w:tab w:leader="none" w:pos="1657"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Stock Price is greater than $125.00 per share (subject to adjustment in the same manner as the Stock Prices set forth in the column headings of the table above pursuant to subsection (d) above), no Additional Shares shall be added to the Conversion Rate; and</w:t>
      </w:r>
    </w:p>
    <w:p>
      <w:pPr>
        <w:spacing w:after="0" w:line="15" w:lineRule="exact"/>
        <w:rPr>
          <w:rFonts w:ascii="Arial" w:cs="Arial" w:eastAsia="Arial" w:hAnsi="Arial"/>
          <w:sz w:val="16"/>
          <w:szCs w:val="16"/>
          <w:color w:val="auto"/>
        </w:rPr>
      </w:pPr>
    </w:p>
    <w:p>
      <w:pPr>
        <w:ind w:left="440" w:right="420" w:firstLine="948"/>
        <w:spacing w:after="0" w:line="342" w:lineRule="auto"/>
        <w:tabs>
          <w:tab w:leader="none" w:pos="1707"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Stock Price is less than $23.18 per share (subject to adjustment in the same manner as the Stock Prices set forth in the column headings of the table above pursuant to subsection (e) above), no Additional Shares shall be added to the Conversion Rate.</w:t>
      </w:r>
    </w:p>
    <w:p>
      <w:pPr>
        <w:spacing w:after="0" w:line="16"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Notwithstanding the foregoing, in no event shall the Conversion Rate per $1,000 principal amount of Notes exceed 43.1406 shares of Common Stock, subject to adjustment in the same manner as the Conversion Rate pursuant to Section 13.04.</w:t>
      </w:r>
    </w:p>
    <w:p>
      <w:pPr>
        <w:spacing w:after="0" w:line="170" w:lineRule="exact"/>
        <w:rPr>
          <w:sz w:val="20"/>
          <w:szCs w:val="20"/>
          <w:color w:val="auto"/>
        </w:rPr>
      </w:pPr>
    </w:p>
    <w:p>
      <w:pPr>
        <w:ind w:left="1220" w:hanging="233"/>
        <w:spacing w:after="0"/>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Nothing in this Section 13.03 shall prevent an adjustment to the Conversion Rate that would otherwise be required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13.04.</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Adjustment of Conversion Rate</w:t>
      </w:r>
      <w:r>
        <w:rPr>
          <w:rFonts w:ascii="Arial" w:cs="Arial" w:eastAsia="Arial" w:hAnsi="Arial"/>
          <w:sz w:val="18"/>
          <w:szCs w:val="18"/>
          <w:color w:val="auto"/>
        </w:rPr>
        <w:t>. The Conversion Rate shall be adjusted from time to time by the Company if any of the following events occurs, except that the Company shall not make any adjustments to the Conversion Rate if Holders of the Notes participate (other than in the case of a share split or share combination),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60" w:name="page61"/>
    <w:bookmarkEnd w:id="60"/>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same time and upon the same terms as holders of the Common Stock and solely as a result of holding the Notes, in any of the transactions described in this Section 13.04, without having to convert their Notes, as if they held a number of shares of Common Stock equal to the Conversion Rate, multiplied by the principal amount (expressed in thousands) of Notes held by such Holder.</w:t>
      </w:r>
    </w:p>
    <w:p>
      <w:pPr>
        <w:spacing w:after="0" w:line="184" w:lineRule="exact"/>
        <w:rPr>
          <w:sz w:val="20"/>
          <w:szCs w:val="20"/>
          <w:color w:val="auto"/>
        </w:rPr>
      </w:pPr>
    </w:p>
    <w:p>
      <w:pPr>
        <w:ind w:right="380" w:firstLine="987"/>
        <w:spacing w:after="0" w:line="308" w:lineRule="auto"/>
        <w:tabs>
          <w:tab w:leader="none" w:pos="12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vMerge w:val="restart"/>
          </w:tcPr>
          <w:p>
            <w:pPr>
              <w:ind w:left="5060"/>
              <w:spacing w:after="0"/>
              <w:rPr>
                <w:sz w:val="20"/>
                <w:szCs w:val="20"/>
                <w:color w:val="auto"/>
              </w:rPr>
            </w:pPr>
            <w:r>
              <w:rPr>
                <w:rFonts w:ascii="Arial" w:cs="Arial" w:eastAsia="Arial" w:hAnsi="Arial"/>
                <w:sz w:val="20"/>
                <w:szCs w:val="20"/>
                <w:color w:val="auto"/>
              </w:rPr>
              <w:t>CR</w:t>
            </w:r>
            <w:r>
              <w:rPr>
                <w:rFonts w:ascii="Arial" w:cs="Arial" w:eastAsia="Arial" w:hAnsi="Arial"/>
                <w:sz w:val="16"/>
                <w:szCs w:val="16"/>
                <w:color w:val="auto"/>
              </w:rPr>
              <w:t>1</w:t>
            </w:r>
            <w:r>
              <w:rPr>
                <w:rFonts w:ascii="Arial" w:cs="Arial" w:eastAsia="Arial" w:hAnsi="Arial"/>
                <w:sz w:val="20"/>
                <w:szCs w:val="20"/>
                <w:color w:val="auto"/>
              </w:rPr>
              <w:t>=CR</w:t>
            </w:r>
            <w:r>
              <w:rPr>
                <w:rFonts w:ascii="Arial" w:cs="Arial" w:eastAsia="Arial" w:hAnsi="Arial"/>
                <w:sz w:val="16"/>
                <w:szCs w:val="16"/>
                <w:color w:val="auto"/>
              </w:rPr>
              <w:t>0</w:t>
            </w:r>
            <w:r>
              <w:rPr>
                <w:rFonts w:ascii="Arial" w:cs="Arial" w:eastAsia="Arial" w:hAnsi="Arial"/>
                <w:sz w:val="20"/>
                <w:szCs w:val="20"/>
                <w:color w:val="auto"/>
              </w:rPr>
              <w:t xml:space="preserve"> ×</w:t>
            </w: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2"/>
              </w:rPr>
              <w:t>OS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tcBorders>
              <w:bottom w:val="single" w:sz="8" w:color="auto"/>
            </w:tcBorders>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where,</w:t>
            </w:r>
          </w:p>
        </w:tc>
        <w:tc>
          <w:tcPr>
            <w:tcW w:w="6180" w:type="dxa"/>
            <w:vAlign w:val="bottom"/>
            <w:vMerge w:val="continue"/>
          </w:tcPr>
          <w:p>
            <w:pPr>
              <w:spacing w:after="0"/>
              <w:rPr>
                <w:sz w:val="8"/>
                <w:szCs w:val="8"/>
                <w:color w:val="auto"/>
              </w:rPr>
            </w:pPr>
          </w:p>
        </w:tc>
        <w:tc>
          <w:tcPr>
            <w:tcW w:w="4140" w:type="dxa"/>
            <w:vAlign w:val="bottom"/>
            <w:gridSpan w:val="5"/>
            <w:vMerge w:val="restart"/>
          </w:tcPr>
          <w:p>
            <w:pPr>
              <w:jc w:val="right"/>
              <w:ind w:right="364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23"/>
        </w:trPr>
        <w:tc>
          <w:tcPr>
            <w:tcW w:w="600" w:type="dxa"/>
            <w:vAlign w:val="bottom"/>
            <w:gridSpan w:val="2"/>
            <w:vMerge w:val="continue"/>
          </w:tcPr>
          <w:p>
            <w:pPr>
              <w:spacing w:after="0"/>
              <w:rPr>
                <w:sz w:val="10"/>
                <w:szCs w:val="10"/>
                <w:color w:val="auto"/>
              </w:rPr>
            </w:pPr>
          </w:p>
        </w:tc>
        <w:tc>
          <w:tcPr>
            <w:tcW w:w="6180" w:type="dxa"/>
            <w:vAlign w:val="bottom"/>
          </w:tcPr>
          <w:p>
            <w:pPr>
              <w:spacing w:after="0"/>
              <w:rPr>
                <w:sz w:val="10"/>
                <w:szCs w:val="10"/>
                <w:color w:val="auto"/>
              </w:rPr>
            </w:pPr>
          </w:p>
        </w:tc>
        <w:tc>
          <w:tcPr>
            <w:tcW w:w="41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0" w:type="dxa"/>
            <w:vAlign w:val="bottom"/>
            <w:gridSpan w:val="2"/>
            <w:vMerge w:val="continue"/>
          </w:tcPr>
          <w:p>
            <w:pPr>
              <w:spacing w:after="0"/>
              <w:rPr>
                <w:sz w:val="17"/>
                <w:szCs w:val="17"/>
                <w:color w:val="auto"/>
              </w:rPr>
            </w:pPr>
          </w:p>
        </w:tc>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8"/>
              </w:rPr>
              <w:t>the Conversion Rate in effect immediately prior to the open of business on the Ex-Dividend Date of such dividend or distribution, 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c>
          <w:tcPr>
            <w:tcW w:w="0" w:type="dxa"/>
            <w:vAlign w:val="bottom"/>
          </w:tcPr>
          <w:p>
            <w:pPr>
              <w:spacing w:after="0"/>
              <w:rPr>
                <w:sz w:val="1"/>
                <w:szCs w:val="1"/>
                <w:color w:val="auto"/>
              </w:rPr>
            </w:pPr>
          </w:p>
        </w:tc>
      </w:tr>
      <w:tr>
        <w:trPr>
          <w:trHeight w:val="34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5"/>
              </w:rPr>
              <w:t>the Conversion Rate in effect immediately after the open of business on such Ex-Dividend Date or Effective Date, as the case may be;</w:t>
            </w:r>
          </w:p>
        </w:tc>
        <w:tc>
          <w:tcPr>
            <w:tcW w:w="0" w:type="dxa"/>
            <w:vAlign w:val="bottom"/>
          </w:tcPr>
          <w:p>
            <w:pPr>
              <w:spacing w:after="0"/>
              <w:rPr>
                <w:sz w:val="1"/>
                <w:szCs w:val="1"/>
                <w:color w:val="auto"/>
              </w:rPr>
            </w:pP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 or Effective Date, as</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the case may be; and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6"/>
              </w:rPr>
              <w:t>the number of shares of Common Stock outstanding immediately after giving effect to such dividend, distribution, share split, or share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combination, as the case may be.</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Any adjustment made under this Section 13.04(a)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13.04(a) is declared but not so paid or made, or any share split or combination of the type described in this Section 13.04(a) is announced but the outstanding shares of Common Stock are not split or combined, as the case may be, the Conversion Rate shall be immediately readjusted, effective as of the date the Company determines in good faith not to pay such dividend or distribution, or not to split or combine the outstanding shares of Common Stock, as the case may be, to the Conversion Rate that would then be in effect if such dividend or distribution had not been declared or such share split or combination had not been announced.</w:t>
      </w:r>
    </w:p>
    <w:p>
      <w:pPr>
        <w:spacing w:after="0" w:line="177" w:lineRule="exact"/>
        <w:rPr>
          <w:sz w:val="20"/>
          <w:szCs w:val="20"/>
          <w:color w:val="auto"/>
        </w:rPr>
      </w:pPr>
    </w:p>
    <w:p>
      <w:pPr>
        <w:ind w:right="100" w:firstLine="987"/>
        <w:spacing w:after="0" w:line="291" w:lineRule="auto"/>
        <w:tabs>
          <w:tab w:leader="none" w:pos="1246"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Company issues to all or substantially all holders of the Common Stock any rights, options, or warrants (other than pursuant to a stockholder rights plan, so long as such rights have not separated from the shares of Common Stock) entitling them, for a period of not more than</w:t>
      </w:r>
    </w:p>
    <w:p>
      <w:pPr>
        <w:spacing w:after="0" w:line="302" w:lineRule="auto"/>
        <w:rPr>
          <w:rFonts w:ascii="Arial" w:cs="Arial" w:eastAsia="Arial" w:hAnsi="Arial"/>
          <w:sz w:val="16"/>
          <w:szCs w:val="16"/>
          <w:color w:val="auto"/>
        </w:rPr>
      </w:pPr>
      <w:r>
        <w:rPr>
          <w:rFonts w:ascii="Arial" w:cs="Arial" w:eastAsia="Arial" w:hAnsi="Arial"/>
          <w:sz w:val="16"/>
          <w:szCs w:val="16"/>
          <w:color w:val="auto"/>
        </w:rPr>
        <w:t>45 calendar days after the declaration date for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declaration date for such issuance, the Conversion Rate shall be increased based on the following formula: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60" w:type="dxa"/>
            <w:vAlign w:val="bottom"/>
            <w:vMerge w:val="restart"/>
          </w:tcPr>
          <w:p>
            <w:pPr>
              <w:ind w:left="4720"/>
              <w:spacing w:after="0"/>
              <w:rPr>
                <w:sz w:val="20"/>
                <w:szCs w:val="20"/>
                <w:color w:val="auto"/>
              </w:rPr>
            </w:pPr>
            <w:r>
              <w:rPr>
                <w:rFonts w:ascii="Arial" w:cs="Arial" w:eastAsia="Arial" w:hAnsi="Arial"/>
                <w:sz w:val="20"/>
                <w:szCs w:val="20"/>
                <w:color w:val="auto"/>
              </w:rPr>
              <w:t>CR</w:t>
            </w:r>
            <w:r>
              <w:rPr>
                <w:rFonts w:ascii="Arial" w:cs="Arial" w:eastAsia="Arial" w:hAnsi="Arial"/>
                <w:sz w:val="16"/>
                <w:szCs w:val="16"/>
                <w:color w:val="auto"/>
              </w:rPr>
              <w:t>1</w:t>
            </w:r>
            <w:r>
              <w:rPr>
                <w:rFonts w:ascii="Arial" w:cs="Arial" w:eastAsia="Arial" w:hAnsi="Arial"/>
                <w:sz w:val="20"/>
                <w:szCs w:val="20"/>
                <w:color w:val="auto"/>
              </w:rPr>
              <w:t>=CR</w:t>
            </w:r>
            <w:r>
              <w:rPr>
                <w:rFonts w:ascii="Arial" w:cs="Arial" w:eastAsia="Arial" w:hAnsi="Arial"/>
                <w:sz w:val="16"/>
                <w:szCs w:val="16"/>
                <w:color w:val="auto"/>
              </w:rPr>
              <w:t>0</w:t>
            </w:r>
            <w:r>
              <w:rPr>
                <w:rFonts w:ascii="Arial" w:cs="Arial" w:eastAsia="Arial" w:hAnsi="Arial"/>
                <w:sz w:val="20"/>
                <w:szCs w:val="20"/>
                <w:color w:val="auto"/>
              </w:rPr>
              <w:t xml:space="preserve"> ×</w:t>
            </w: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2"/>
              </w:rPr>
              <w:t>OS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0</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X</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60" w:type="dxa"/>
            <w:vAlign w:val="bottom"/>
            <w:vMerge w:val="continue"/>
          </w:tcPr>
          <w:p>
            <w:pPr>
              <w:spacing w:after="0"/>
              <w:rPr>
                <w:sz w:val="8"/>
                <w:szCs w:val="8"/>
                <w:color w:val="auto"/>
              </w:rPr>
            </w:pPr>
          </w:p>
        </w:tc>
        <w:tc>
          <w:tcPr>
            <w:tcW w:w="2520" w:type="dxa"/>
            <w:vAlign w:val="bottom"/>
            <w:gridSpan w:val="5"/>
            <w:vMerge w:val="restart"/>
          </w:tcPr>
          <w:p>
            <w:pPr>
              <w:jc w:val="right"/>
              <w:ind w:right="172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+Y</w:t>
            </w:r>
          </w:p>
        </w:tc>
        <w:tc>
          <w:tcPr>
            <w:tcW w:w="0" w:type="dxa"/>
            <w:vAlign w:val="bottom"/>
          </w:tcPr>
          <w:p>
            <w:pPr>
              <w:spacing w:after="0"/>
              <w:rPr>
                <w:sz w:val="1"/>
                <w:szCs w:val="1"/>
                <w:color w:val="auto"/>
              </w:rPr>
            </w:pPr>
          </w:p>
        </w:tc>
      </w:tr>
      <w:tr>
        <w:trPr>
          <w:trHeight w:val="123"/>
        </w:trPr>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5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gridSpan w:val="6"/>
          </w:tcPr>
          <w:p>
            <w:pPr>
              <w:ind w:left="60"/>
              <w:spacing w:after="0"/>
              <w:rPr>
                <w:sz w:val="20"/>
                <w:szCs w:val="20"/>
                <w:color w:val="auto"/>
              </w:rPr>
            </w:pPr>
            <w:r>
              <w:rPr>
                <w:rFonts w:ascii="Arial" w:cs="Arial" w:eastAsia="Arial" w:hAnsi="Arial"/>
                <w:sz w:val="18"/>
                <w:szCs w:val="18"/>
                <w:color w:val="auto"/>
                <w:w w:val="90"/>
              </w:rPr>
              <w:t>the Conversion Rate in effect immediately prior to the open of business on the Ex-Dividend Date for such issuance;</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gridSpan w:val="6"/>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Pr>
          <w:p>
            <w:pPr>
              <w:jc w:val="right"/>
              <w:ind w:right="768"/>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1" w:name="page62"/>
    <w:bookmarkEnd w:id="6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OS</w:t>
      </w:r>
      <w:r>
        <w:rPr>
          <w:rFonts w:ascii="Arial" w:cs="Arial" w:eastAsia="Arial" w:hAnsi="Arial"/>
          <w:sz w:val="15"/>
          <w:szCs w:val="15"/>
          <w:color w:val="auto"/>
        </w:rPr>
        <w:t>0</w:t>
      </w:r>
      <w:r>
        <w:rPr>
          <w:rFonts w:ascii="Arial" w:cs="Arial" w:eastAsia="Arial" w:hAnsi="Arial"/>
          <w:sz w:val="18"/>
          <w:szCs w:val="18"/>
          <w:color w:val="auto"/>
        </w:rPr>
        <w:t xml:space="preserve">  = the number of shares of Common Stock outstanding immediately prior to the open of business on such Ex-Dividend Date;</w:t>
      </w:r>
    </w:p>
    <w:p>
      <w:pPr>
        <w:spacing w:after="0" w:line="117" w:lineRule="exact"/>
        <w:rPr>
          <w:sz w:val="20"/>
          <w:szCs w:val="20"/>
          <w:color w:val="auto"/>
        </w:rPr>
      </w:pPr>
    </w:p>
    <w:p>
      <w:pPr>
        <w:ind w:left="444" w:hanging="444"/>
        <w:spacing w:after="0"/>
        <w:tabs>
          <w:tab w:leader="none" w:pos="4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 the total number of shares of Common Stock issuable pursuant to such rights, options, or warrants; and</w:t>
      </w:r>
    </w:p>
    <w:p>
      <w:pPr>
        <w:spacing w:after="0" w:line="117" w:lineRule="exact"/>
        <w:rPr>
          <w:sz w:val="20"/>
          <w:szCs w:val="20"/>
          <w:color w:val="auto"/>
        </w:rPr>
      </w:pPr>
    </w:p>
    <w:p>
      <w:pPr>
        <w:ind w:left="664" w:right="400" w:hanging="664"/>
        <w:spacing w:after="0" w:line="286" w:lineRule="auto"/>
        <w:tabs>
          <w:tab w:leader="none" w:pos="448" w:val="left"/>
        </w:tabs>
        <w:numPr>
          <w:ilvl w:val="0"/>
          <w:numId w:val="54"/>
        </w:numPr>
        <w:rPr>
          <w:rFonts w:ascii="Arial" w:cs="Arial" w:eastAsia="Arial" w:hAnsi="Arial"/>
          <w:sz w:val="17"/>
          <w:szCs w:val="17"/>
          <w:color w:val="auto"/>
        </w:rPr>
      </w:pPr>
      <w:r>
        <w:rPr>
          <w:rFonts w:ascii="Arial" w:cs="Arial" w:eastAsia="Arial" w:hAnsi="Arial"/>
          <w:sz w:val="17"/>
          <w:szCs w:val="17"/>
          <w:color w:val="auto"/>
        </w:rPr>
        <w:t>=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declaration date for the issuance of such rights, options, or warrants.</w:t>
      </w:r>
    </w:p>
    <w:p>
      <w:pPr>
        <w:spacing w:after="0" w:line="165"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Any increase made under this Section 13.04(b)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w:t>
      </w:r>
    </w:p>
    <w:p>
      <w:pPr>
        <w:spacing w:after="0" w:line="19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For purposes of this Section 13.04(b) and Section 13.01(b)(ii)(A),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declaration date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92" w:lineRule="exact"/>
        <w:rPr>
          <w:sz w:val="20"/>
          <w:szCs w:val="20"/>
          <w:color w:val="auto"/>
        </w:rPr>
      </w:pPr>
    </w:p>
    <w:p>
      <w:pPr>
        <w:ind w:left="4" w:right="20" w:firstLine="987"/>
        <w:spacing w:after="0" w:line="291" w:lineRule="auto"/>
        <w:tabs>
          <w:tab w:leader="none" w:pos="12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 excluding</w:t>
      </w:r>
    </w:p>
    <w:p>
      <w:pPr>
        <w:ind w:left="4" w:hanging="4"/>
        <w:spacing w:after="0" w:line="290" w:lineRule="auto"/>
        <w:tabs>
          <w:tab w:leader="none" w:pos="219"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dividends, distributions or issuances as to which an adjustment was effected (or would have been effected, disregarding Section 13.04(j) below) pursuant to Section 13.04(a) or Section 13.04(b), (ii) dividends or distributions paid exclusively in cash as to which an adjustment was effected pursuant to Section 13.04(d), (iii) distributions of Reference Property in a transaction described in Section 13.07, (iv) rights issued pursuant to a stockholder rights plan of the Company (other than pursuant to Section 13.11) and (v) Spin-Offs as to which the provisions set forth below in this Section 13.04(c) shall apply (any of such shares of Capital Stock, evidences of indebtedness, other assets or property or rights, options, or warrants to acquire Capital Stock or other securities, the “</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vMerge w:val="restart"/>
          </w:tcPr>
          <w:p>
            <w:pPr>
              <w:ind w:left="4940"/>
              <w:spacing w:after="0"/>
              <w:rPr>
                <w:sz w:val="20"/>
                <w:szCs w:val="20"/>
                <w:color w:val="auto"/>
              </w:rPr>
            </w:pPr>
            <w:r>
              <w:rPr>
                <w:rFonts w:ascii="Arial" w:cs="Arial" w:eastAsia="Arial" w:hAnsi="Arial"/>
                <w:sz w:val="20"/>
                <w:szCs w:val="20"/>
                <w:color w:val="auto"/>
                <w:w w:val="97"/>
              </w:rPr>
              <w:t>CR</w:t>
            </w:r>
            <w:r>
              <w:rPr>
                <w:rFonts w:ascii="Arial" w:cs="Arial" w:eastAsia="Arial" w:hAnsi="Arial"/>
                <w:sz w:val="16"/>
                <w:szCs w:val="16"/>
                <w:color w:val="auto"/>
                <w:w w:val="97"/>
              </w:rPr>
              <w:t>1</w:t>
            </w:r>
            <w:r>
              <w:rPr>
                <w:rFonts w:ascii="Arial" w:cs="Arial" w:eastAsia="Arial" w:hAnsi="Arial"/>
                <w:sz w:val="20"/>
                <w:szCs w:val="20"/>
                <w:color w:val="auto"/>
                <w:w w:val="97"/>
              </w:rPr>
              <w:t>=CR</w:t>
            </w:r>
            <w:r>
              <w:rPr>
                <w:rFonts w:ascii="Arial" w:cs="Arial" w:eastAsia="Arial" w:hAnsi="Arial"/>
                <w:sz w:val="16"/>
                <w:szCs w:val="16"/>
                <w:color w:val="auto"/>
                <w:w w:val="97"/>
              </w:rPr>
              <w:t>0</w:t>
            </w:r>
            <w:r>
              <w:rPr>
                <w:rFonts w:ascii="Arial" w:cs="Arial" w:eastAsia="Arial" w:hAnsi="Arial"/>
                <w:sz w:val="20"/>
                <w:szCs w:val="20"/>
                <w:color w:val="auto"/>
                <w:w w:val="97"/>
              </w:rPr>
              <w:t xml:space="preserve"> ×</w:t>
            </w: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83"/>
              </w:rPr>
              <w:t>SP</w:t>
            </w:r>
          </w:p>
        </w:tc>
        <w:tc>
          <w:tcPr>
            <w:tcW w:w="60" w:type="dxa"/>
            <w:vAlign w:val="bottom"/>
          </w:tcPr>
          <w:p>
            <w:pPr>
              <w:spacing w:after="0"/>
              <w:rPr>
                <w:sz w:val="20"/>
                <w:szCs w:val="20"/>
                <w:color w:val="auto"/>
              </w:rPr>
            </w:pPr>
            <w:r>
              <w:rPr>
                <w:rFonts w:ascii="Arial" w:cs="Arial" w:eastAsia="Arial" w:hAnsi="Arial"/>
                <w:sz w:val="10"/>
                <w:szCs w:val="10"/>
                <w:color w:val="auto"/>
                <w:w w:val="71"/>
              </w:rPr>
              <w:t>0</w:t>
            </w:r>
          </w:p>
        </w:tc>
        <w:tc>
          <w:tcPr>
            <w:tcW w:w="280" w:type="dxa"/>
            <w:vAlign w:val="bottom"/>
            <w:tcBorders>
              <w:bottom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vMerge w:val="continue"/>
          </w:tcPr>
          <w:p>
            <w:pPr>
              <w:spacing w:after="0" w:line="20" w:lineRule="exact"/>
              <w:rPr>
                <w:sz w:val="1"/>
                <w:szCs w:val="1"/>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color w:val="auto"/>
              </w:rPr>
              <w:t>FMV</w:t>
            </w:r>
          </w:p>
        </w:tc>
        <w:tc>
          <w:tcPr>
            <w:tcW w:w="0" w:type="dxa"/>
            <w:vAlign w:val="bottom"/>
          </w:tcPr>
          <w:p>
            <w:pPr>
              <w:spacing w:after="0"/>
              <w:rPr>
                <w:sz w:val="1"/>
                <w:szCs w:val="1"/>
                <w:color w:val="auto"/>
              </w:rPr>
            </w:pPr>
          </w:p>
        </w:tc>
      </w:tr>
      <w:tr>
        <w:trPr>
          <w:trHeight w:val="413"/>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20" w:type="dxa"/>
            <w:vAlign w:val="bottom"/>
            <w:gridSpan w:val="7"/>
          </w:tcPr>
          <w:p>
            <w:pPr>
              <w:ind w:left="6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20" w:type="dxa"/>
            <w:vAlign w:val="bottom"/>
            <w:gridSpan w:val="7"/>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 for such distribution;</w:t>
            </w:r>
          </w:p>
        </w:tc>
        <w:tc>
          <w:tcPr>
            <w:tcW w:w="0" w:type="dxa"/>
            <w:vAlign w:val="bottom"/>
          </w:tcPr>
          <w:p>
            <w:pPr>
              <w:spacing w:after="0"/>
              <w:rPr>
                <w:sz w:val="1"/>
                <w:szCs w:val="1"/>
                <w:color w:val="auto"/>
              </w:rPr>
            </w:pP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20" w:type="dxa"/>
            <w:vAlign w:val="bottom"/>
            <w:gridSpan w:val="7"/>
          </w:tcPr>
          <w:p>
            <w:pPr>
              <w:ind w:left="60"/>
              <w:spacing w:after="0"/>
              <w:rPr>
                <w:sz w:val="20"/>
                <w:szCs w:val="20"/>
                <w:color w:val="auto"/>
              </w:rPr>
            </w:pPr>
            <w:r>
              <w:rPr>
                <w:rFonts w:ascii="Arial" w:cs="Arial" w:eastAsia="Arial" w:hAnsi="Arial"/>
                <w:sz w:val="18"/>
                <w:szCs w:val="18"/>
                <w:color w:val="auto"/>
                <w:w w:val="90"/>
              </w:rPr>
              <w:t>the average of the Last Reported Sale Prices of the Common Stock over the 10 consecutive Trading Day period ending on, and including,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gridSpan w:val="7"/>
          </w:tcPr>
          <w:p>
            <w:pPr>
              <w:ind w:left="60"/>
              <w:spacing w:after="0"/>
              <w:rPr>
                <w:sz w:val="20"/>
                <w:szCs w:val="20"/>
                <w:color w:val="auto"/>
              </w:rPr>
            </w:pPr>
            <w:r>
              <w:rPr>
                <w:rFonts w:ascii="Arial" w:cs="Arial" w:eastAsia="Arial" w:hAnsi="Arial"/>
                <w:sz w:val="18"/>
                <w:szCs w:val="18"/>
                <w:color w:val="auto"/>
              </w:rPr>
              <w:t>Trading Day immediately preceding the Ex-Dividend Date for such distribution; and</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tcPr>
          <w:p>
            <w:pPr>
              <w:ind w:left="48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4" w:right="499" w:bottom="1440" w:gutter="0" w:footer="0" w:header="0"/>
        </w:sectPr>
      </w:pPr>
    </w:p>
    <w:bookmarkStart w:id="62" w:name="page63"/>
    <w:bookmarkEnd w:id="62"/>
    <w:p>
      <w:pPr>
        <w:ind w:left="560" w:right="340" w:hanging="782"/>
        <w:spacing w:after="0" w:line="277"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FMV</w:t>
        <w:tab/>
        <w:t>= the fair market value (as determined by the Company in good faith) of the Distributed Property with respect to one share of the Common Stock as of the open of business on the Ex-Dividend Date for such distribution.</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Any increase made under the portion of this Section 13.04(c)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(as defined above), then, in lieu of the foregoing increase, each Holder of a Note shall receive (without having to convert its Notes), in respect of each $1,000 principal amount of Notes it holds,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If the Board of Directors determines the “FMV” (as defined above) of any distribution for purposes of this Section 13.04(c)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16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With respect to an adjustment pursuant to this Section 13.04(c) where there has been an Ex-Dividend Date for a dividend or other distribution on the Common Stock of shares of Capital Stock of any class or series, or similar equity interest, of or relating to any Subsidiary or other business units or Affiliate or division of the Company,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5560" w:type="dxa"/>
            <w:vAlign w:val="bottom"/>
            <w:vMerge w:val="restart"/>
          </w:tcPr>
          <w:p>
            <w:pPr>
              <w:ind w:left="4420"/>
              <w:spacing w:after="0"/>
              <w:rPr>
                <w:sz w:val="20"/>
                <w:szCs w:val="20"/>
                <w:color w:val="auto"/>
              </w:rPr>
            </w:pPr>
            <w:r>
              <w:rPr>
                <w:rFonts w:ascii="Arial" w:cs="Arial" w:eastAsia="Arial" w:hAnsi="Arial"/>
                <w:sz w:val="20"/>
                <w:szCs w:val="20"/>
                <w:color w:val="auto"/>
              </w:rPr>
              <w:t>CR</w:t>
            </w:r>
            <w:r>
              <w:rPr>
                <w:rFonts w:ascii="Arial" w:cs="Arial" w:eastAsia="Arial" w:hAnsi="Arial"/>
                <w:sz w:val="16"/>
                <w:szCs w:val="16"/>
                <w:color w:val="auto"/>
              </w:rPr>
              <w:t>1</w:t>
            </w:r>
            <w:r>
              <w:rPr>
                <w:rFonts w:ascii="Arial" w:cs="Arial" w:eastAsia="Arial" w:hAnsi="Arial"/>
                <w:sz w:val="20"/>
                <w:szCs w:val="20"/>
                <w:color w:val="auto"/>
              </w:rPr>
              <w:t>=CR</w:t>
            </w:r>
            <w:r>
              <w:rPr>
                <w:rFonts w:ascii="Arial" w:cs="Arial" w:eastAsia="Arial" w:hAnsi="Arial"/>
                <w:sz w:val="16"/>
                <w:szCs w:val="16"/>
                <w:color w:val="auto"/>
              </w:rPr>
              <w:t>0</w:t>
            </w:r>
            <w:r>
              <w:rPr>
                <w:rFonts w:ascii="Arial" w:cs="Arial" w:eastAsia="Arial" w:hAnsi="Arial"/>
                <w:sz w:val="20"/>
                <w:szCs w:val="20"/>
                <w:color w:val="auto"/>
              </w:rPr>
              <w:t xml:space="preserve"> ×</w:t>
            </w:r>
          </w:p>
        </w:tc>
        <w:tc>
          <w:tcPr>
            <w:tcW w:w="4740" w:type="dxa"/>
            <w:vAlign w:val="bottom"/>
            <w:gridSpan w:val="6"/>
          </w:tcPr>
          <w:p>
            <w:pPr>
              <w:jc w:val="center"/>
              <w:ind w:right="3400"/>
              <w:spacing w:after="0"/>
              <w:rPr>
                <w:sz w:val="20"/>
                <w:szCs w:val="20"/>
                <w:color w:val="auto"/>
              </w:rPr>
            </w:pPr>
            <w:r>
              <w:rPr>
                <w:rFonts w:ascii="Arial" w:cs="Arial" w:eastAsia="Arial" w:hAnsi="Arial"/>
                <w:sz w:val="18"/>
                <w:szCs w:val="18"/>
                <w:color w:val="auto"/>
                <w:w w:val="95"/>
              </w:rPr>
              <w:t>FMV</w:t>
            </w:r>
            <w:r>
              <w:rPr>
                <w:rFonts w:ascii="Arial" w:cs="Arial" w:eastAsia="Arial" w:hAnsi="Arial"/>
                <w:sz w:val="15"/>
                <w:szCs w:val="15"/>
                <w:color w:val="auto"/>
                <w:w w:val="95"/>
              </w:rPr>
              <w:t>0</w:t>
            </w:r>
            <w:r>
              <w:rPr>
                <w:rFonts w:ascii="Arial" w:cs="Arial" w:eastAsia="Arial" w:hAnsi="Arial"/>
                <w:sz w:val="18"/>
                <w:szCs w:val="18"/>
                <w:color w:val="auto"/>
                <w:w w:val="95"/>
              </w:rPr>
              <w:t xml:space="preserve"> + MP</w:t>
            </w: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60" w:type="dxa"/>
            <w:vAlign w:val="bottom"/>
            <w:vMerge w:val="restart"/>
          </w:tcPr>
          <w:p>
            <w:pPr>
              <w:spacing w:after="0"/>
              <w:rPr>
                <w:sz w:val="20"/>
                <w:szCs w:val="20"/>
                <w:color w:val="auto"/>
              </w:rPr>
            </w:pPr>
            <w:r>
              <w:rPr>
                <w:rFonts w:ascii="Arial" w:cs="Arial" w:eastAsia="Arial" w:hAnsi="Arial"/>
                <w:sz w:val="18"/>
                <w:szCs w:val="18"/>
                <w:color w:val="auto"/>
                <w:w w:val="99"/>
              </w:rPr>
              <w:t>where,</w:t>
            </w:r>
          </w:p>
        </w:tc>
        <w:tc>
          <w:tcPr>
            <w:tcW w:w="5560" w:type="dxa"/>
            <w:vAlign w:val="bottom"/>
            <w:vMerge w:val="continue"/>
          </w:tcPr>
          <w:p>
            <w:pPr>
              <w:spacing w:after="0"/>
              <w:rPr>
                <w:sz w:val="8"/>
                <w:szCs w:val="8"/>
                <w:color w:val="auto"/>
              </w:rPr>
            </w:pPr>
          </w:p>
        </w:tc>
        <w:tc>
          <w:tcPr>
            <w:tcW w:w="4740" w:type="dxa"/>
            <w:vAlign w:val="bottom"/>
            <w:gridSpan w:val="6"/>
            <w:vMerge w:val="restart"/>
          </w:tcPr>
          <w:p>
            <w:pPr>
              <w:jc w:val="center"/>
              <w:ind w:right="3400"/>
              <w:spacing w:after="0"/>
              <w:rPr>
                <w:sz w:val="20"/>
                <w:szCs w:val="20"/>
                <w:color w:val="auto"/>
              </w:rPr>
            </w:pPr>
            <w:r>
              <w:rPr>
                <w:rFonts w:ascii="Arial" w:cs="Arial" w:eastAsia="Arial" w:hAnsi="Arial"/>
                <w:sz w:val="18"/>
                <w:szCs w:val="18"/>
                <w:color w:val="auto"/>
                <w:w w:val="96"/>
              </w:rPr>
              <w:t>MP</w:t>
            </w:r>
            <w:r>
              <w:rPr>
                <w:rFonts w:ascii="Arial" w:cs="Arial" w:eastAsia="Arial" w:hAnsi="Arial"/>
                <w:sz w:val="15"/>
                <w:szCs w:val="15"/>
                <w:color w:val="auto"/>
                <w:w w:val="96"/>
              </w:rPr>
              <w:t>0</w:t>
            </w:r>
          </w:p>
        </w:tc>
        <w:tc>
          <w:tcPr>
            <w:tcW w:w="0" w:type="dxa"/>
            <w:vAlign w:val="bottom"/>
          </w:tcPr>
          <w:p>
            <w:pPr>
              <w:spacing w:after="0"/>
              <w:rPr>
                <w:sz w:val="1"/>
                <w:szCs w:val="1"/>
                <w:color w:val="auto"/>
              </w:rPr>
            </w:pPr>
          </w:p>
        </w:tc>
      </w:tr>
      <w:tr>
        <w:trPr>
          <w:trHeight w:val="123"/>
        </w:trPr>
        <w:tc>
          <w:tcPr>
            <w:tcW w:w="560" w:type="dxa"/>
            <w:vAlign w:val="bottom"/>
            <w:vMerge w:val="continue"/>
          </w:tcPr>
          <w:p>
            <w:pPr>
              <w:spacing w:after="0"/>
              <w:rPr>
                <w:sz w:val="10"/>
                <w:szCs w:val="10"/>
                <w:color w:val="auto"/>
              </w:rPr>
            </w:pPr>
          </w:p>
        </w:tc>
        <w:tc>
          <w:tcPr>
            <w:tcW w:w="5560" w:type="dxa"/>
            <w:vAlign w:val="bottom"/>
          </w:tcPr>
          <w:p>
            <w:pPr>
              <w:spacing w:after="0"/>
              <w:rPr>
                <w:sz w:val="10"/>
                <w:szCs w:val="10"/>
                <w:color w:val="auto"/>
              </w:rPr>
            </w:pPr>
          </w:p>
        </w:tc>
        <w:tc>
          <w:tcPr>
            <w:tcW w:w="47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560" w:type="dxa"/>
            <w:vAlign w:val="bottom"/>
            <w:vMerge w:val="continue"/>
          </w:tcPr>
          <w:p>
            <w:pPr>
              <w:spacing w:after="0"/>
              <w:rPr>
                <w:sz w:val="17"/>
                <w:szCs w:val="17"/>
                <w:color w:val="auto"/>
              </w:rPr>
            </w:pPr>
          </w:p>
        </w:tc>
        <w:tc>
          <w:tcPr>
            <w:tcW w:w="5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300" w:type="dxa"/>
            <w:vAlign w:val="bottom"/>
            <w:gridSpan w:val="7"/>
          </w:tcPr>
          <w:p>
            <w:pPr>
              <w:ind w:left="80"/>
              <w:spacing w:after="0"/>
              <w:rPr>
                <w:sz w:val="20"/>
                <w:szCs w:val="20"/>
                <w:color w:val="auto"/>
              </w:rPr>
            </w:pPr>
            <w:r>
              <w:rPr>
                <w:rFonts w:ascii="Arial" w:cs="Arial" w:eastAsia="Arial" w:hAnsi="Arial"/>
                <w:sz w:val="18"/>
                <w:szCs w:val="18"/>
                <w:color w:val="auto"/>
              </w:rPr>
              <w:t>=  the Conversion Rate in effect immediately prior to the end of the Valuation Period;</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10300" w:type="dxa"/>
            <w:vAlign w:val="bottom"/>
            <w:gridSpan w:val="7"/>
          </w:tcPr>
          <w:p>
            <w:pPr>
              <w:ind w:left="80"/>
              <w:spacing w:after="0"/>
              <w:rPr>
                <w:sz w:val="20"/>
                <w:szCs w:val="20"/>
                <w:color w:val="auto"/>
              </w:rPr>
            </w:pPr>
            <w:r>
              <w:rPr>
                <w:rFonts w:ascii="Arial" w:cs="Arial" w:eastAsia="Arial" w:hAnsi="Arial"/>
                <w:sz w:val="18"/>
                <w:szCs w:val="18"/>
                <w:color w:val="auto"/>
              </w:rPr>
              <w:t>=  the Conversion Rate in effect immediately after the end of the Valuation Period;</w:t>
            </w:r>
          </w:p>
        </w:tc>
        <w:tc>
          <w:tcPr>
            <w:tcW w:w="0" w:type="dxa"/>
            <w:vAlign w:val="bottom"/>
          </w:tcPr>
          <w:p>
            <w:pPr>
              <w:spacing w:after="0"/>
              <w:rPr>
                <w:sz w:val="1"/>
                <w:szCs w:val="1"/>
                <w:color w:val="auto"/>
              </w:rPr>
            </w:pP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10300" w:type="dxa"/>
            <w:vAlign w:val="bottom"/>
            <w:gridSpan w:val="7"/>
          </w:tcPr>
          <w:p>
            <w:pPr>
              <w:ind w:left="80"/>
              <w:spacing w:after="0"/>
              <w:rPr>
                <w:sz w:val="20"/>
                <w:szCs w:val="20"/>
                <w:color w:val="auto"/>
              </w:rPr>
            </w:pPr>
            <w:r>
              <w:rPr>
                <w:rFonts w:ascii="Arial" w:cs="Arial" w:eastAsia="Arial" w:hAnsi="Arial"/>
                <w:sz w:val="18"/>
                <w:szCs w:val="18"/>
                <w:color w:val="auto"/>
                <w:w w:val="93"/>
              </w:rPr>
              <w:t>=  the average of the Last Reported Sale Prices of the Capital Stock or similar equity interest distributed to holders of the Common Stock</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0300" w:type="dxa"/>
            <w:vAlign w:val="bottom"/>
            <w:gridSpan w:val="7"/>
          </w:tcPr>
          <w:p>
            <w:pPr>
              <w:ind w:left="360"/>
              <w:spacing w:after="0"/>
              <w:rPr>
                <w:sz w:val="20"/>
                <w:szCs w:val="20"/>
                <w:color w:val="auto"/>
              </w:rPr>
            </w:pPr>
            <w:r>
              <w:rPr>
                <w:rFonts w:ascii="Arial" w:cs="Arial" w:eastAsia="Arial" w:hAnsi="Arial"/>
                <w:sz w:val="18"/>
                <w:szCs w:val="18"/>
                <w:color w:val="auto"/>
                <w:w w:val="95"/>
              </w:rPr>
              <w:t>applicable to one share of the Common Stock (determined by reference to the definition of Last Reported Sale Price as set forth in</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10300" w:type="dxa"/>
            <w:vAlign w:val="bottom"/>
            <w:gridSpan w:val="7"/>
          </w:tcPr>
          <w:p>
            <w:pPr>
              <w:ind w:left="360"/>
              <w:spacing w:after="0"/>
              <w:rPr>
                <w:sz w:val="20"/>
                <w:szCs w:val="20"/>
                <w:color w:val="auto"/>
              </w:rPr>
            </w:pPr>
            <w:r>
              <w:rPr>
                <w:rFonts w:ascii="Arial" w:cs="Arial" w:eastAsia="Arial" w:hAnsi="Arial"/>
                <w:sz w:val="18"/>
                <w:szCs w:val="18"/>
                <w:color w:val="auto"/>
                <w:w w:val="91"/>
              </w:rPr>
              <w:t>Section 1.01 as if references therein to Common Stock were to such Capital Stock or similar equity interest) over the first 10 consecutive</w:t>
            </w: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10300" w:type="dxa"/>
            <w:vAlign w:val="bottom"/>
            <w:gridSpan w:val="7"/>
          </w:tcPr>
          <w:p>
            <w:pPr>
              <w:ind w:left="360"/>
              <w:spacing w:after="0"/>
              <w:rPr>
                <w:sz w:val="20"/>
                <w:szCs w:val="20"/>
                <w:color w:val="auto"/>
              </w:rPr>
            </w:pPr>
            <w:r>
              <w:rPr>
                <w:rFonts w:ascii="Arial" w:cs="Arial" w:eastAsia="Arial" w:hAnsi="Arial"/>
                <w:sz w:val="18"/>
                <w:szCs w:val="18"/>
                <w:color w:val="auto"/>
                <w:w w:val="92"/>
              </w:rPr>
              <w:t>Trading Day period after, and including, the Ex-Dividend Date of the Spin-Off (the “</w:t>
            </w:r>
            <w:r>
              <w:rPr>
                <w:rFonts w:ascii="Arial" w:cs="Arial" w:eastAsia="Arial" w:hAnsi="Arial"/>
                <w:sz w:val="18"/>
                <w:szCs w:val="18"/>
                <w:b w:val="1"/>
                <w:bCs w:val="1"/>
                <w:color w:val="auto"/>
                <w:w w:val="92"/>
              </w:rPr>
              <w:t>Valuation Period</w:t>
            </w:r>
            <w:r>
              <w:rPr>
                <w:rFonts w:ascii="Arial" w:cs="Arial" w:eastAsia="Arial" w:hAnsi="Arial"/>
                <w:sz w:val="18"/>
                <w:szCs w:val="18"/>
                <w:color w:val="auto"/>
                <w:w w:val="92"/>
              </w:rPr>
              <w:t>”); provided that if there is no Last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0300" w:type="dxa"/>
            <w:vAlign w:val="bottom"/>
            <w:gridSpan w:val="7"/>
          </w:tcPr>
          <w:p>
            <w:pPr>
              <w:ind w:left="360"/>
              <w:spacing w:after="0"/>
              <w:rPr>
                <w:sz w:val="20"/>
                <w:szCs w:val="20"/>
                <w:color w:val="auto"/>
              </w:rPr>
            </w:pPr>
            <w:r>
              <w:rPr>
                <w:rFonts w:ascii="Arial" w:cs="Arial" w:eastAsia="Arial" w:hAnsi="Arial"/>
                <w:sz w:val="18"/>
                <w:szCs w:val="18"/>
                <w:color w:val="auto"/>
                <w:w w:val="91"/>
              </w:rPr>
              <w:t>Reported Sale Price of the Capital Stock or similar equity interest distributed to Holders of Common Stock on such Ex-Dividend date, the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0300" w:type="dxa"/>
            <w:vAlign w:val="bottom"/>
            <w:gridSpan w:val="7"/>
          </w:tcPr>
          <w:p>
            <w:pPr>
              <w:ind w:left="360"/>
              <w:spacing w:after="0"/>
              <w:rPr>
                <w:sz w:val="20"/>
                <w:szCs w:val="20"/>
                <w:color w:val="auto"/>
              </w:rPr>
            </w:pPr>
            <w:r>
              <w:rPr>
                <w:rFonts w:ascii="Arial" w:cs="Arial" w:eastAsia="Arial" w:hAnsi="Arial"/>
                <w:sz w:val="18"/>
                <w:szCs w:val="18"/>
                <w:color w:val="auto"/>
                <w:w w:val="91"/>
              </w:rPr>
              <w:t>Valuation Period shall be the first 10 consecutive Trading Day period after, and including, the first date such Last Reported Sale Price is</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560" w:type="dxa"/>
            <w:vAlign w:val="bottom"/>
          </w:tcPr>
          <w:p>
            <w:pPr>
              <w:ind w:left="360"/>
              <w:spacing w:after="0"/>
              <w:rPr>
                <w:sz w:val="20"/>
                <w:szCs w:val="20"/>
                <w:color w:val="auto"/>
              </w:rPr>
            </w:pPr>
            <w:r>
              <w:rPr>
                <w:rFonts w:ascii="Arial" w:cs="Arial" w:eastAsia="Arial" w:hAnsi="Arial"/>
                <w:sz w:val="18"/>
                <w:szCs w:val="18"/>
                <w:color w:val="auto"/>
              </w:rPr>
              <w:t>available; and</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56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10300" w:type="dxa"/>
            <w:vAlign w:val="bottom"/>
            <w:gridSpan w:val="7"/>
          </w:tcPr>
          <w:p>
            <w:pPr>
              <w:ind w:left="80"/>
              <w:spacing w:after="0"/>
              <w:rPr>
                <w:sz w:val="20"/>
                <w:szCs w:val="20"/>
                <w:color w:val="auto"/>
              </w:rPr>
            </w:pPr>
            <w:r>
              <w:rPr>
                <w:rFonts w:ascii="Arial" w:cs="Arial" w:eastAsia="Arial" w:hAnsi="Arial"/>
                <w:sz w:val="18"/>
                <w:szCs w:val="18"/>
                <w:color w:val="auto"/>
              </w:rPr>
              <w:t>=  the average of the Last Reported Sale Prices of the Common Stock over the Valuation Period.</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The increase in the Conversion Rate under the preceding paragraph shall occur on the last Trading Day of the Valuation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conversion of Notes during the Valuation Period, references in the portion of this Section 13.04(c) related to Spin-Offs with respect to 10 Trading Days shall be deemed to be replaced with such lesser number of Trading Days as have elapsed between the first date of such Valuation Period and the Conversion Date in determining the Conversion Rate. If the first date of the Valuation Period is after the 10th Trading Day immediately preceding, and including, the end of any Observation Period in respect of a conversion of Notes, references in this Section 13.04(c) related to Spin-Offs to 10 Trading Days will be deemed to be replaced, solely in respect of that conversion of Notes, with such lesser number of Trading Days as have elapsed from, and including, the first date for the Valuation Period to, and including, the last Trading Day of such Observation Period. If such Spin-Off does not occur, the Conversion Rate shall be decreased to the Conversion Rate that would then be in effect if such first date for such Valuation Period had not occurred, effective as of the date on which the Board of Directors determines not to consummate such Spin-Off.</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63" w:name="page64"/>
    <w:bookmarkEnd w:id="63"/>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this Section 13.04(c) (and subject in all respect to Section 13.11),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Common Stock; (ii) are not exercisable; and (iii) are also issued in respect of future issuances of the Common Stock, shall be deemed not to have been distributed for purposes of this Section 13.04(c) (and no adjustment to the Conversion Rate under this Section 13.04(c) will be required) until the occurrence of the earliest Trigger Event, whereupon such rights, options, or warrants shall be deemed to have been distributed and an appropriate adjustment (if any is required) to the Conversion Rate shall be made under this Section 13.04(c). If any such rights, options, or warrants,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13.04(c)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(or deemed to have expired or been terminated pursuant to the immediately preceding sentence) without exercise by any holders thereof, the Conversion Rate shall be readjusted as if such rights, options and warrants had not been issued (to the extent any adjustment to the Conversion Rate was made in connection with such issuance).</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For purposes of Section 13.04(a), Section 13.04(b) and this Section 13.04(c), and subject to Section 13.05, if any dividend or distribution to which this Section 13.04(c) is applicable also includes one or both of:</w:t>
      </w:r>
    </w:p>
    <w:p>
      <w:pPr>
        <w:spacing w:after="0" w:line="5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 a dividend or distribution of shares of Common Stock to which Section 13.04(a) is applicable (the “</w:t>
      </w:r>
      <w:r>
        <w:rPr>
          <w:rFonts w:ascii="Arial" w:cs="Arial" w:eastAsia="Arial" w:hAnsi="Arial"/>
          <w:sz w:val="18"/>
          <w:szCs w:val="18"/>
          <w:b w:val="1"/>
          <w:bCs w:val="1"/>
          <w:color w:val="auto"/>
        </w:rPr>
        <w:t>Clause A</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or</w:t>
      </w:r>
    </w:p>
    <w:p>
      <w:pPr>
        <w:spacing w:after="0" w:line="9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 a dividend or distribution of rights, options, or warrants to which Section 13.04(b) is applicable (the “</w:t>
      </w:r>
      <w:r>
        <w:rPr>
          <w:rFonts w:ascii="Arial" w:cs="Arial" w:eastAsia="Arial" w:hAnsi="Arial"/>
          <w:sz w:val="18"/>
          <w:szCs w:val="18"/>
          <w:b w:val="1"/>
          <w:bCs w:val="1"/>
          <w:color w:val="auto"/>
        </w:rPr>
        <w:t>Clause B</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103" w:lineRule="exact"/>
        <w:rPr>
          <w:sz w:val="20"/>
          <w:szCs w:val="20"/>
          <w:color w:val="auto"/>
        </w:rPr>
      </w:pPr>
    </w:p>
    <w:p>
      <w:pPr>
        <w:ind w:left="440" w:right="60" w:firstLine="1375"/>
        <w:spacing w:after="0" w:line="284" w:lineRule="auto"/>
        <w:rPr>
          <w:sz w:val="20"/>
          <w:szCs w:val="20"/>
          <w:color w:val="auto"/>
        </w:rPr>
      </w:pPr>
      <w:r>
        <w:rPr>
          <w:rFonts w:ascii="Arial" w:cs="Arial" w:eastAsia="Arial" w:hAnsi="Arial"/>
          <w:sz w:val="16"/>
          <w:szCs w:val="16"/>
          <w:color w:val="auto"/>
        </w:rPr>
        <w:t>then, in either case, (1) such dividend or distribution, other than the Clause A Distribution and the Clause B Distribution, shall be deemed to be a dividend or distribution to which this Section 13.04(c) is applicable (the “</w:t>
      </w:r>
      <w:r>
        <w:rPr>
          <w:rFonts w:ascii="Arial" w:cs="Arial" w:eastAsia="Arial" w:hAnsi="Arial"/>
          <w:sz w:val="16"/>
          <w:szCs w:val="16"/>
          <w:b w:val="1"/>
          <w:bCs w:val="1"/>
          <w:color w:val="auto"/>
        </w:rPr>
        <w:t>Clause C Distribution</w:t>
      </w:r>
      <w:r>
        <w:rPr>
          <w:rFonts w:ascii="Arial" w:cs="Arial" w:eastAsia="Arial" w:hAnsi="Arial"/>
          <w:sz w:val="16"/>
          <w:szCs w:val="16"/>
          <w:color w:val="auto"/>
        </w:rPr>
        <w:t>”) and any Conversion Rate adjustment required by this Section 13.04(c) with respect to such Clause C Distribution shall then be made, and (2) the Clause A Distribution and Clause B Distribution shall be deemed to immediately follow the Clause C Distribution and any Conversion Rate adjustment required by Section 13.04(a) and Section 13.04(b) with respect thereto shall then be made, except that, if determined by the Company (I) the “Ex-Dividend Date” of the Clause A Distribution and the Clause B Distribution shall be deemed to be the Ex-Dividend Date of the Clause C Distribution and</w:t>
      </w:r>
    </w:p>
    <w:p>
      <w:pPr>
        <w:spacing w:after="0" w:line="4" w:lineRule="exact"/>
        <w:rPr>
          <w:sz w:val="20"/>
          <w:szCs w:val="20"/>
          <w:color w:val="auto"/>
        </w:rPr>
      </w:pPr>
    </w:p>
    <w:p>
      <w:pPr>
        <w:ind w:left="440" w:right="220" w:hanging="4"/>
        <w:spacing w:after="0" w:line="277" w:lineRule="auto"/>
        <w:tabs>
          <w:tab w:leader="none" w:pos="72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shares of Common Stock included in the Clause A Distribution or Clause B Distribution shall be deemed not to be “outstanding immediately prior to the open of business on such Ex-Dividend Date or Effective Date” within the meaning of Section 13.04(a) or “outstanding immediately prior to the open of business on such Ex-Dividend Date” within the meaning of Section 13.04(b).</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64" w:name="page65"/>
    <w:bookmarkEnd w:id="64"/>
    <w:p>
      <w:pPr>
        <w:ind w:left="4" w:right="400" w:firstLine="987"/>
        <w:spacing w:after="0" w:line="277" w:lineRule="auto"/>
        <w:tabs>
          <w:tab w:leader="none" w:pos="125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cash dividend or distribution is made to all or substantially all holders of the Common Stock, the Conversion Rate shall be adjusted based on the following formula:</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60" w:type="dxa"/>
            <w:vAlign w:val="bottom"/>
            <w:vMerge w:val="restart"/>
          </w:tcPr>
          <w:p>
            <w:pPr>
              <w:ind w:left="5160"/>
              <w:spacing w:after="0"/>
              <w:rPr>
                <w:sz w:val="20"/>
                <w:szCs w:val="20"/>
                <w:color w:val="auto"/>
              </w:rPr>
            </w:pPr>
            <w:r>
              <w:rPr>
                <w:rFonts w:ascii="Arial" w:cs="Arial" w:eastAsia="Arial" w:hAnsi="Arial"/>
                <w:sz w:val="20"/>
                <w:szCs w:val="20"/>
                <w:color w:val="auto"/>
              </w:rPr>
              <w:t>CR</w:t>
            </w:r>
            <w:r>
              <w:rPr>
                <w:rFonts w:ascii="Arial" w:cs="Arial" w:eastAsia="Arial" w:hAnsi="Arial"/>
                <w:sz w:val="16"/>
                <w:szCs w:val="16"/>
                <w:color w:val="auto"/>
              </w:rPr>
              <w:t>1</w:t>
            </w:r>
            <w:r>
              <w:rPr>
                <w:rFonts w:ascii="Arial" w:cs="Arial" w:eastAsia="Arial" w:hAnsi="Arial"/>
                <w:sz w:val="20"/>
                <w:szCs w:val="20"/>
                <w:color w:val="auto"/>
              </w:rPr>
              <w:t>=CR</w:t>
            </w:r>
            <w:r>
              <w:rPr>
                <w:rFonts w:ascii="Arial" w:cs="Arial" w:eastAsia="Arial" w:hAnsi="Arial"/>
                <w:sz w:val="16"/>
                <w:szCs w:val="16"/>
                <w:color w:val="auto"/>
              </w:rPr>
              <w:t>0</w:t>
            </w:r>
            <w:r>
              <w:rPr>
                <w:rFonts w:ascii="Arial" w:cs="Arial" w:eastAsia="Arial" w:hAnsi="Arial"/>
                <w:sz w:val="20"/>
                <w:szCs w:val="20"/>
                <w:color w:val="auto"/>
              </w:rPr>
              <w:t xml:space="preserve"> ×</w:t>
            </w:r>
          </w:p>
        </w:tc>
        <w:tc>
          <w:tcPr>
            <w:tcW w:w="4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3"/>
              </w:rPr>
              <w:t>SP</w:t>
            </w:r>
          </w:p>
        </w:tc>
        <w:tc>
          <w:tcPr>
            <w:tcW w:w="40" w:type="dxa"/>
            <w:vAlign w:val="bottom"/>
          </w:tcPr>
          <w:p>
            <w:pPr>
              <w:spacing w:after="0"/>
              <w:rPr>
                <w:sz w:val="20"/>
                <w:szCs w:val="20"/>
                <w:color w:val="auto"/>
              </w:rPr>
            </w:pPr>
            <w:r>
              <w:rPr>
                <w:rFonts w:ascii="Arial" w:cs="Arial" w:eastAsia="Arial" w:hAnsi="Arial"/>
                <w:sz w:val="5"/>
                <w:szCs w:val="5"/>
                <w:color w:val="auto"/>
                <w:w w:val="70"/>
              </w:rPr>
              <w:t>0</w:t>
            </w:r>
          </w:p>
        </w:tc>
        <w:tc>
          <w:tcPr>
            <w:tcW w:w="180" w:type="dxa"/>
            <w:vAlign w:val="bottom"/>
            <w:tcBorders>
              <w:bottom w:val="single" w:sz="8" w:color="auto"/>
            </w:tcBorders>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60" w:type="dxa"/>
            <w:vAlign w:val="bottom"/>
            <w:vMerge w:val="continue"/>
          </w:tcPr>
          <w:p>
            <w:pPr>
              <w:spacing w:after="0" w:line="20" w:lineRule="exact"/>
              <w:rPr>
                <w:sz w:val="1"/>
                <w:szCs w:val="1"/>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8"/>
              </w:rPr>
              <w:t>SP</w:t>
            </w:r>
            <w:r>
              <w:rPr>
                <w:rFonts w:ascii="Arial" w:cs="Arial" w:eastAsia="Arial" w:hAnsi="Arial"/>
                <w:sz w:val="15"/>
                <w:szCs w:val="15"/>
                <w:color w:val="auto"/>
                <w:w w:val="98"/>
              </w:rPr>
              <w:t>0</w:t>
            </w:r>
          </w:p>
        </w:tc>
        <w:tc>
          <w:tcPr>
            <w:tcW w:w="60" w:type="dxa"/>
            <w:vAlign w:val="bottom"/>
            <w:tcBorders>
              <w:bottom w:val="single" w:sz="8" w:color="auto"/>
            </w:tcBorders>
            <w:gridSpan w:val="2"/>
          </w:tcPr>
          <w:p>
            <w:pPr>
              <w:spacing w:after="0" w:line="20" w:lineRule="exact"/>
              <w:rPr>
                <w:sz w:val="1"/>
                <w:szCs w:val="1"/>
                <w:color w:val="auto"/>
              </w:rPr>
            </w:pPr>
          </w:p>
        </w:tc>
        <w:tc>
          <w:tcPr>
            <w:tcW w:w="3300" w:type="dxa"/>
            <w:vAlign w:val="bottom"/>
            <w:gridSpan w:val="2"/>
            <w:vMerge w:val="restart"/>
          </w:tcPr>
          <w:p>
            <w:pPr>
              <w:ind w:lef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line="20" w:lineRule="exact"/>
              <w:rPr>
                <w:sz w:val="1"/>
                <w:szCs w:val="1"/>
                <w:color w:val="auto"/>
              </w:rPr>
            </w:pPr>
          </w:p>
        </w:tc>
      </w:tr>
      <w:tr>
        <w:trPr>
          <w:trHeight w:val="215"/>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where,</w:t>
            </w:r>
          </w:p>
        </w:tc>
        <w:tc>
          <w:tcPr>
            <w:tcW w:w="62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6"/>
                <w:szCs w:val="16"/>
                <w:color w:val="auto"/>
                <w:w w:val="74"/>
              </w:rPr>
              <w:t>-</w:t>
            </w:r>
          </w:p>
        </w:tc>
        <w:tc>
          <w:tcPr>
            <w:tcW w:w="3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gridSpan w:val="2"/>
            <w:vMerge w:val="continue"/>
          </w:tcPr>
          <w:p>
            <w:pPr>
              <w:spacing w:after="0"/>
              <w:rPr>
                <w:sz w:val="17"/>
                <w:szCs w:val="17"/>
                <w:color w:val="auto"/>
              </w:rPr>
            </w:pPr>
          </w:p>
        </w:tc>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0" w:type="dxa"/>
            <w:vAlign w:val="bottom"/>
            <w:gridSpan w:val="6"/>
          </w:tcPr>
          <w:p>
            <w:pPr>
              <w:ind w:left="60"/>
              <w:spacing w:after="0"/>
              <w:rPr>
                <w:sz w:val="20"/>
                <w:szCs w:val="20"/>
                <w:color w:val="auto"/>
              </w:rPr>
            </w:pPr>
            <w:r>
              <w:rPr>
                <w:rFonts w:ascii="Arial" w:cs="Arial" w:eastAsia="Arial" w:hAnsi="Arial"/>
                <w:sz w:val="18"/>
                <w:szCs w:val="18"/>
                <w:color w:val="auto"/>
                <w:w w:val="96"/>
              </w:rPr>
              <w:t>the Conversion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0" w:type="dxa"/>
            <w:vAlign w:val="bottom"/>
            <w:gridSpan w:val="6"/>
          </w:tcPr>
          <w:p>
            <w:pPr>
              <w:ind w:left="60"/>
              <w:spacing w:after="0"/>
              <w:rPr>
                <w:sz w:val="20"/>
                <w:szCs w:val="20"/>
                <w:color w:val="auto"/>
              </w:rPr>
            </w:pPr>
            <w:r>
              <w:rPr>
                <w:rFonts w:ascii="Arial" w:cs="Arial" w:eastAsia="Arial" w:hAnsi="Arial"/>
                <w:sz w:val="18"/>
                <w:szCs w:val="18"/>
                <w:color w:val="auto"/>
                <w:w w:val="98"/>
              </w:rPr>
              <w:t>the Conversion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0" w:type="dxa"/>
            <w:vAlign w:val="bottom"/>
            <w:gridSpan w:val="6"/>
          </w:tcPr>
          <w:p>
            <w:pPr>
              <w:ind w:left="60"/>
              <w:spacing w:after="0"/>
              <w:rPr>
                <w:sz w:val="20"/>
                <w:szCs w:val="20"/>
                <w:color w:val="auto"/>
              </w:rPr>
            </w:pPr>
            <w:r>
              <w:rPr>
                <w:rFonts w:ascii="Arial" w:cs="Arial" w:eastAsia="Arial" w:hAnsi="Arial"/>
                <w:sz w:val="18"/>
                <w:szCs w:val="18"/>
                <w:color w:val="auto"/>
                <w:w w:val="91"/>
              </w:rPr>
              <w:t>the Last Reported Sale Price of the Common Stock on the Trading Day immediately preceding the Ex-Dividend Date for such dividend 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distribution; and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4" w:hanging="444"/>
        <w:spacing w:after="0"/>
        <w:tabs>
          <w:tab w:leader="none" w:pos="4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the amount in cash per share the Company pays or distributes to all or substantially all holders of the Common Stock.</w:t>
      </w:r>
    </w:p>
    <w:p>
      <w:pPr>
        <w:spacing w:after="0" w:line="225" w:lineRule="exact"/>
        <w:rPr>
          <w:sz w:val="20"/>
          <w:szCs w:val="20"/>
          <w:color w:val="auto"/>
        </w:rPr>
      </w:pPr>
    </w:p>
    <w:p>
      <w:pPr>
        <w:ind w:left="4" w:right="180" w:firstLine="440"/>
        <w:spacing w:after="0" w:line="271" w:lineRule="auto"/>
        <w:rPr>
          <w:sz w:val="20"/>
          <w:szCs w:val="20"/>
          <w:color w:val="auto"/>
        </w:rPr>
      </w:pPr>
      <w:r>
        <w:rPr>
          <w:rFonts w:ascii="Arial" w:cs="Arial" w:eastAsia="Arial" w:hAnsi="Arial"/>
          <w:sz w:val="17"/>
          <w:szCs w:val="17"/>
          <w:color w:val="auto"/>
        </w:rPr>
        <w:t>Any increase pursuant to this Section 13.04(d) shall become effective immediately after the open of business on the Ex-Dividend Date for such dividend or distribution. If such dividend or distribution is not so paid or made, the Conversion Rate shall be decreased, effective as of the date the Company determines in good faith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then, in lieu of the foregoing increase, each Holder of a Note shall receive (without having to convert its Notes), for each $1,000 principal amount of Notes it holds, at the same time and upon the same terms as holders of shares of the Common Stock, the amount of cash that such Holder would have received if such Holder owned a number of shares of Common Stock equal to the Conversion Rate in effect on the Ex-Dividend Date for such cash dividend or distribution.</w:t>
      </w:r>
    </w:p>
    <w:p>
      <w:pPr>
        <w:spacing w:after="0" w:line="178" w:lineRule="exact"/>
        <w:rPr>
          <w:sz w:val="20"/>
          <w:szCs w:val="20"/>
          <w:color w:val="auto"/>
        </w:rPr>
      </w:pPr>
    </w:p>
    <w:p>
      <w:pPr>
        <w:ind w:left="4" w:right="160" w:firstLine="1979"/>
        <w:spacing w:after="0" w:line="296" w:lineRule="auto"/>
        <w:tabs>
          <w:tab w:leader="none" w:pos="223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Company or any of its Subsidiaries makes a payment in respect of a tender or exchange offer for the Common Stock that is subject to then applicable tender offer rules under the Exchange Act (other than any odd 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40" w:type="dxa"/>
            <w:vAlign w:val="bottom"/>
            <w:vMerge w:val="restart"/>
          </w:tcPr>
          <w:p>
            <w:pPr>
              <w:ind w:left="3960"/>
              <w:spacing w:after="0"/>
              <w:rPr>
                <w:sz w:val="20"/>
                <w:szCs w:val="20"/>
                <w:color w:val="auto"/>
              </w:rPr>
            </w:pPr>
            <w:r>
              <w:rPr>
                <w:rFonts w:ascii="Arial" w:cs="Arial" w:eastAsia="Arial" w:hAnsi="Arial"/>
                <w:sz w:val="20"/>
                <w:szCs w:val="20"/>
                <w:color w:val="auto"/>
              </w:rPr>
              <w:t>CR</w:t>
            </w:r>
            <w:r>
              <w:rPr>
                <w:rFonts w:ascii="Arial" w:cs="Arial" w:eastAsia="Arial" w:hAnsi="Arial"/>
                <w:sz w:val="16"/>
                <w:szCs w:val="16"/>
                <w:color w:val="auto"/>
              </w:rPr>
              <w:t>1</w:t>
            </w:r>
            <w:r>
              <w:rPr>
                <w:rFonts w:ascii="Arial" w:cs="Arial" w:eastAsia="Arial" w:hAnsi="Arial"/>
                <w:sz w:val="20"/>
                <w:szCs w:val="20"/>
                <w:color w:val="auto"/>
              </w:rPr>
              <w:t>=CR</w:t>
            </w:r>
            <w:r>
              <w:rPr>
                <w:rFonts w:ascii="Arial" w:cs="Arial" w:eastAsia="Arial" w:hAnsi="Arial"/>
                <w:sz w:val="16"/>
                <w:szCs w:val="16"/>
                <w:color w:val="auto"/>
              </w:rPr>
              <w:t>0</w:t>
            </w:r>
            <w:r>
              <w:rPr>
                <w:rFonts w:ascii="Arial" w:cs="Arial" w:eastAsia="Arial" w:hAnsi="Arial"/>
                <w:sz w:val="20"/>
                <w:szCs w:val="20"/>
                <w:color w:val="auto"/>
              </w:rPr>
              <w:t xml:space="preserve"> ×</w:t>
            </w: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89"/>
              </w:rPr>
              <w:t>AC + (SP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x OS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74"/>
              </w:rPr>
              <w:t>)</w:t>
            </w: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where,</w:t>
            </w:r>
          </w:p>
        </w:tc>
        <w:tc>
          <w:tcPr>
            <w:tcW w:w="51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740" w:type="dxa"/>
            <w:vAlign w:val="bottom"/>
            <w:gridSpan w:val="6"/>
            <w:vMerge w:val="restart"/>
          </w:tcPr>
          <w:p>
            <w:pPr>
              <w:ind w:left="2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x SP</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23"/>
        </w:trPr>
        <w:tc>
          <w:tcPr>
            <w:tcW w:w="600" w:type="dxa"/>
            <w:vAlign w:val="bottom"/>
            <w:gridSpan w:val="2"/>
            <w:vMerge w:val="continue"/>
          </w:tcPr>
          <w:p>
            <w:pPr>
              <w:spacing w:after="0"/>
              <w:rPr>
                <w:sz w:val="10"/>
                <w:szCs w:val="10"/>
                <w:color w:val="auto"/>
              </w:rPr>
            </w:pPr>
          </w:p>
        </w:tc>
        <w:tc>
          <w:tcPr>
            <w:tcW w:w="5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7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0" w:type="dxa"/>
            <w:vAlign w:val="bottom"/>
            <w:gridSpan w:val="2"/>
            <w:vMerge w:val="continue"/>
          </w:tcPr>
          <w:p>
            <w:pPr>
              <w:spacing w:after="0"/>
              <w:rPr>
                <w:sz w:val="17"/>
                <w:szCs w:val="17"/>
                <w:color w:val="auto"/>
              </w:rPr>
            </w:pPr>
          </w:p>
        </w:tc>
        <w:tc>
          <w:tcPr>
            <w:tcW w:w="5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8"/>
          </w:tcPr>
          <w:p>
            <w:pPr>
              <w:ind w:left="60"/>
              <w:spacing w:after="0"/>
              <w:rPr>
                <w:sz w:val="20"/>
                <w:szCs w:val="20"/>
                <w:color w:val="auto"/>
              </w:rPr>
            </w:pPr>
            <w:r>
              <w:rPr>
                <w:rFonts w:ascii="Arial" w:cs="Arial" w:eastAsia="Arial" w:hAnsi="Arial"/>
                <w:sz w:val="18"/>
                <w:szCs w:val="18"/>
                <w:color w:val="auto"/>
                <w:w w:val="93"/>
              </w:rPr>
              <w:t>the Conversion Rate in effect immediately prior to the close of business on the 10th Trading Day immediately following, and including,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89"/>
              </w:rPr>
              <w:t>Trading Day next succeeding the date such tender or exchange offer expires;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8"/>
          </w:tcPr>
          <w:p>
            <w:pPr>
              <w:ind w:left="60"/>
              <w:spacing w:after="0"/>
              <w:rPr>
                <w:sz w:val="20"/>
                <w:szCs w:val="20"/>
                <w:color w:val="auto"/>
              </w:rPr>
            </w:pPr>
            <w:r>
              <w:rPr>
                <w:rFonts w:ascii="Arial" w:cs="Arial" w:eastAsia="Arial" w:hAnsi="Arial"/>
                <w:sz w:val="18"/>
                <w:szCs w:val="18"/>
                <w:color w:val="auto"/>
                <w:w w:val="95"/>
              </w:rPr>
              <w:t>the Conversion Rate in effect immediately after the close of business on the 10th Trading Day immediately following, and including,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89"/>
              </w:rPr>
              <w:t>Trading Day next succeeding the date such tender or exchange offer expires;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AC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8"/>
          </w:tcPr>
          <w:p>
            <w:pPr>
              <w:ind w:left="60"/>
              <w:spacing w:after="0"/>
              <w:rPr>
                <w:sz w:val="20"/>
                <w:szCs w:val="20"/>
                <w:color w:val="auto"/>
              </w:rPr>
            </w:pPr>
            <w:r>
              <w:rPr>
                <w:rFonts w:ascii="Arial" w:cs="Arial" w:eastAsia="Arial" w:hAnsi="Arial"/>
                <w:sz w:val="18"/>
                <w:szCs w:val="18"/>
                <w:color w:val="auto"/>
                <w:w w:val="91"/>
              </w:rPr>
              <w:t>the aggregate value of all cash and any other consideration (as determined by the Board of Directors) paid or payable for shares of Common</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Stock purchased in such tender or exchange offer;</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8"/>
          </w:tcPr>
          <w:p>
            <w:pPr>
              <w:ind w:left="60"/>
              <w:spacing w:after="0"/>
              <w:rPr>
                <w:sz w:val="20"/>
                <w:szCs w:val="20"/>
                <w:color w:val="auto"/>
              </w:rPr>
            </w:pPr>
            <w:r>
              <w:rPr>
                <w:rFonts w:ascii="Arial" w:cs="Arial" w:eastAsia="Arial" w:hAnsi="Arial"/>
                <w:sz w:val="18"/>
                <w:szCs w:val="18"/>
                <w:color w:val="auto"/>
                <w:w w:val="91"/>
              </w:rPr>
              <w:t>the number of shares of Common Stock outstanding immediately prior to the date such tender or exchange offer expires (prior to giving effect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8"/>
          </w:tcPr>
          <w:p>
            <w:pPr>
              <w:ind w:left="60"/>
              <w:spacing w:after="0"/>
              <w:rPr>
                <w:sz w:val="20"/>
                <w:szCs w:val="20"/>
                <w:color w:val="auto"/>
              </w:rPr>
            </w:pPr>
            <w:r>
              <w:rPr>
                <w:rFonts w:ascii="Arial" w:cs="Arial" w:eastAsia="Arial" w:hAnsi="Arial"/>
                <w:sz w:val="18"/>
                <w:szCs w:val="18"/>
                <w:color w:val="auto"/>
              </w:rPr>
              <w:t>to the purchase of all shares of Common Stock accepted for purchase or exchange in such tender or exchange offer);</w:t>
            </w: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8"/>
          </w:tcPr>
          <w:p>
            <w:pPr>
              <w:ind w:left="60"/>
              <w:spacing w:after="0"/>
              <w:rPr>
                <w:sz w:val="20"/>
                <w:szCs w:val="20"/>
                <w:color w:val="auto"/>
              </w:rPr>
            </w:pPr>
            <w:r>
              <w:rPr>
                <w:rFonts w:ascii="Arial" w:cs="Arial" w:eastAsia="Arial" w:hAnsi="Arial"/>
                <w:sz w:val="18"/>
                <w:szCs w:val="18"/>
                <w:color w:val="auto"/>
                <w:w w:val="90"/>
              </w:rPr>
              <w:t>the number of shares of Common Stock outstanding immediately after the date such tender or exchange offer expires (after giving effect to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8"/>
          </w:tcPr>
          <w:p>
            <w:pPr>
              <w:ind w:left="60"/>
              <w:spacing w:after="0"/>
              <w:rPr>
                <w:sz w:val="20"/>
                <w:szCs w:val="20"/>
                <w:color w:val="auto"/>
              </w:rPr>
            </w:pPr>
            <w:r>
              <w:rPr>
                <w:rFonts w:ascii="Arial" w:cs="Arial" w:eastAsia="Arial" w:hAnsi="Arial"/>
                <w:sz w:val="18"/>
                <w:szCs w:val="18"/>
                <w:color w:val="auto"/>
              </w:rPr>
              <w:t>purchase of all shares of Common Stock accepted for purchase or exchange in such tender or exchange offer); and</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4"/>
          </w:cols>
          <w:pgMar w:left="436" w:top="274" w:right="539" w:bottom="1440" w:gutter="0" w:footer="0" w:header="0"/>
        </w:sectPr>
      </w:pPr>
    </w:p>
    <w:bookmarkStart w:id="65" w:name="page66"/>
    <w:bookmarkEnd w:id="65"/>
    <w:p>
      <w:pPr>
        <w:ind w:left="440" w:hanging="660"/>
        <w:spacing w:after="0" w:line="277"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w:t>
      </w:r>
      <w:r>
        <w:rPr>
          <w:rFonts w:ascii="Arial" w:cs="Arial" w:eastAsia="Arial" w:hAnsi="Arial"/>
          <w:sz w:val="15"/>
          <w:szCs w:val="15"/>
          <w:color w:val="auto"/>
        </w:rPr>
        <w:t>1</w:t>
      </w:r>
      <w:r>
        <w:rPr>
          <w:rFonts w:ascii="Arial" w:cs="Arial" w:eastAsia="Arial" w:hAnsi="Arial"/>
          <w:sz w:val="18"/>
          <w:szCs w:val="18"/>
          <w:color w:val="auto"/>
        </w:rPr>
        <w:tab/>
        <w:t>= the average of the Last Reported Sale Prices of the Common Stock over the 10 consecutive Trading Day period commencing on, and including, the Trading Day next succeeding the date such tender or exchange offer expires.</w:t>
      </w:r>
    </w:p>
    <w:p>
      <w:pPr>
        <w:spacing w:after="0" w:line="170"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The adjustment to the Conversion Rate under this Section 13.04(e) shall occur at the close of business on the 10th Trading Day immediately following, and including, the Trading Day next succeeding the date such tender or exchange offer expires;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conversion of Notes within the 10 Trading Days immediately following, and including, the Trading Day next succeeding the date such tender or exchange offer expires, references in this Section 13.04(e) with respect to 10 Trading Days shall be deemed replaced with such lesser number of Trading Days as have elapsed between the date that such tender or exchange offer expires and the Conversion Date in determining the Conversion Rate. In addition, if the Trading Day next succeeding the date such tender or exchange offer expires is after the 10th Trading Day immediately preceding, and including, the end of any Observation Period in respect of a conversion of Notes, references in this Section 13.04(e) to 10 Trading Days shall be deemed to be replaced, solely in respect of that conversion of Notes, with such lesser number of Trading Days as have elapsed from, and including, the Trading Day next succeeding the date such tender or exchange offer expires to, and including, the last Trading Day of such Observation Period. If the Company or one of its Subsidiaries is obligated to purchase Common Stock pursuant to any such tender offer or exchange offer, but the Company or such Subsidiary is permanently prevented by applicable law from effecting any such purchases or all such purchases are rescinded, the Conversion Rate shall again be adjusted to be the Conversion Rate that would then be in effect if such tender offer or exchange offer had not been made or had been made only in respect of the purchases that have been effected.</w:t>
      </w:r>
    </w:p>
    <w:p>
      <w:pPr>
        <w:spacing w:after="0" w:line="186" w:lineRule="exact"/>
        <w:rPr>
          <w:sz w:val="20"/>
          <w:szCs w:val="20"/>
          <w:color w:val="auto"/>
        </w:rPr>
      </w:pPr>
    </w:p>
    <w:p>
      <w:pPr>
        <w:ind w:right="100" w:firstLine="987"/>
        <w:spacing w:after="0" w:line="254" w:lineRule="auto"/>
        <w:tabs>
          <w:tab w:leader="none" w:pos="12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this Section 13.04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13.02(i) based on an adjusted Conversion Rate for such Ex-Dividend Date, then, notwithstanding the Conversion Rate adjustment provisions in this Section 13.04,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94"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83" w:lineRule="exact"/>
        <w:rPr>
          <w:rFonts w:ascii="Arial" w:cs="Arial" w:eastAsia="Arial" w:hAnsi="Arial"/>
          <w:sz w:val="18"/>
          <w:szCs w:val="18"/>
          <w:color w:val="auto"/>
        </w:rPr>
      </w:pPr>
    </w:p>
    <w:p>
      <w:pPr>
        <w:ind w:right="40" w:firstLine="987"/>
        <w:spacing w:after="0" w:line="288" w:lineRule="auto"/>
        <w:tabs>
          <w:tab w:leader="none" w:pos="12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addition to those adjustments required by clauses (a), (b), (c), (d) and (e) of this Section 13.04, and to the extent permitted by applicable law and subject to the applicable rules of the Nasdaq Global Select Market and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the Nasdaq Global Select Market and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give to the Holder of each Note, the Trustee and the Conversion Agent (if other than the Trustee) in accordance with Section 16.03 a notice in writing of the increase at least 15 days prior to the date the increased Conversion Rate takes effect, and such notice shall state the increased Conversion Rate and the period during which it will be in effect.</w:t>
      </w:r>
    </w:p>
    <w:p>
      <w:pPr>
        <w:spacing w:after="0" w:line="168" w:lineRule="exact"/>
        <w:rPr>
          <w:rFonts w:ascii="Arial" w:cs="Arial" w:eastAsia="Arial" w:hAnsi="Arial"/>
          <w:sz w:val="16"/>
          <w:szCs w:val="16"/>
          <w:color w:val="auto"/>
        </w:rPr>
      </w:pPr>
    </w:p>
    <w:p>
      <w:pPr>
        <w:ind w:left="1200" w:hanging="213"/>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XIII, the Conversion Rate shall not be adjusted:</w:t>
      </w:r>
    </w:p>
    <w:p>
      <w:pPr>
        <w:spacing w:after="0" w:line="117" w:lineRule="exact"/>
        <w:rPr>
          <w:rFonts w:ascii="Arial" w:cs="Arial" w:eastAsia="Arial" w:hAnsi="Arial"/>
          <w:sz w:val="18"/>
          <w:szCs w:val="18"/>
          <w:color w:val="auto"/>
        </w:rPr>
      </w:pPr>
    </w:p>
    <w:p>
      <w:pPr>
        <w:ind w:left="440" w:right="260" w:firstLine="948"/>
        <w:spacing w:after="0" w:line="263" w:lineRule="auto"/>
        <w:tabs>
          <w:tab w:leader="none" w:pos="16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382" w:right="459" w:bottom="1440" w:gutter="0" w:footer="0" w:header="0"/>
        </w:sectPr>
      </w:pPr>
    </w:p>
    <w:bookmarkStart w:id="66" w:name="page67"/>
    <w:bookmarkEnd w:id="66"/>
    <w:p>
      <w:pPr>
        <w:ind w:left="444" w:right="120" w:firstLine="948"/>
        <w:spacing w:after="0" w:line="308" w:lineRule="auto"/>
        <w:tabs>
          <w:tab w:leader="none" w:pos="1661" w:val="left"/>
        </w:tabs>
        <w:numPr>
          <w:ilvl w:val="2"/>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38" w:lineRule="exact"/>
        <w:rPr>
          <w:rFonts w:ascii="Arial" w:cs="Arial" w:eastAsia="Arial" w:hAnsi="Arial"/>
          <w:sz w:val="17"/>
          <w:szCs w:val="17"/>
          <w:color w:val="auto"/>
        </w:rPr>
      </w:pPr>
    </w:p>
    <w:p>
      <w:pPr>
        <w:ind w:left="444" w:right="260" w:firstLine="948"/>
        <w:spacing w:after="0" w:line="342" w:lineRule="auto"/>
        <w:tabs>
          <w:tab w:leader="none" w:pos="1711" w:val="left"/>
        </w:tabs>
        <w:numPr>
          <w:ilvl w:val="2"/>
          <w:numId w:val="62"/>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15" w:lineRule="exact"/>
        <w:rPr>
          <w:rFonts w:ascii="Arial" w:cs="Arial" w:eastAsia="Arial" w:hAnsi="Arial"/>
          <w:sz w:val="16"/>
          <w:szCs w:val="16"/>
          <w:color w:val="auto"/>
        </w:rPr>
      </w:pPr>
    </w:p>
    <w:p>
      <w:pPr>
        <w:ind w:left="444" w:right="180" w:firstLine="948"/>
        <w:spacing w:after="0" w:line="263" w:lineRule="auto"/>
        <w:tabs>
          <w:tab w:leader="none" w:pos="1701" w:val="left"/>
        </w:tabs>
        <w:numPr>
          <w:ilvl w:val="2"/>
          <w:numId w:val="62"/>
        </w:numPr>
        <w:rPr>
          <w:rFonts w:ascii="Arial" w:cs="Arial" w:eastAsia="Arial" w:hAnsi="Arial"/>
          <w:sz w:val="18"/>
          <w:szCs w:val="18"/>
          <w:color w:val="auto"/>
        </w:rPr>
      </w:pPr>
      <w:r>
        <w:rPr>
          <w:rFonts w:ascii="Arial" w:cs="Arial" w:eastAsia="Arial" w:hAnsi="Arial"/>
          <w:sz w:val="18"/>
          <w:szCs w:val="18"/>
          <w:color w:val="auto"/>
        </w:rPr>
        <w:t>upon the repurchase of shares of Common Stock pursuant to an open-market share repurchase program or other buy-back transaction that is not a tender offer or exchange offer of the nature described in Section 13.04(e), including through any structured or derivative transaction such as accelerated share repurchase derivative or similar forward derivative;</w:t>
      </w:r>
    </w:p>
    <w:p>
      <w:pPr>
        <w:spacing w:after="0" w:line="75" w:lineRule="exact"/>
        <w:rPr>
          <w:rFonts w:ascii="Arial" w:cs="Arial" w:eastAsia="Arial" w:hAnsi="Arial"/>
          <w:sz w:val="18"/>
          <w:szCs w:val="18"/>
          <w:color w:val="auto"/>
        </w:rPr>
      </w:pPr>
    </w:p>
    <w:p>
      <w:pPr>
        <w:ind w:left="1644" w:hanging="252"/>
        <w:spacing w:after="0"/>
        <w:tabs>
          <w:tab w:leader="none" w:pos="1644" w:val="left"/>
        </w:tabs>
        <w:numPr>
          <w:ilvl w:val="2"/>
          <w:numId w:val="62"/>
        </w:numPr>
        <w:rPr>
          <w:rFonts w:ascii="Arial" w:cs="Arial" w:eastAsia="Arial" w:hAnsi="Arial"/>
          <w:sz w:val="18"/>
          <w:szCs w:val="18"/>
          <w:color w:val="auto"/>
        </w:rPr>
      </w:pPr>
      <w:r>
        <w:rPr>
          <w:rFonts w:ascii="Arial" w:cs="Arial" w:eastAsia="Arial" w:hAnsi="Arial"/>
          <w:sz w:val="18"/>
          <w:szCs w:val="18"/>
          <w:color w:val="auto"/>
        </w:rPr>
        <w:t>solely for a change in the par value of the Common Stock;</w:t>
      </w:r>
    </w:p>
    <w:p>
      <w:pPr>
        <w:spacing w:after="0" w:line="117" w:lineRule="exact"/>
        <w:rPr>
          <w:rFonts w:ascii="Arial" w:cs="Arial" w:eastAsia="Arial" w:hAnsi="Arial"/>
          <w:sz w:val="18"/>
          <w:szCs w:val="18"/>
          <w:color w:val="auto"/>
        </w:rPr>
      </w:pPr>
    </w:p>
    <w:p>
      <w:pPr>
        <w:ind w:left="1704" w:hanging="312"/>
        <w:spacing w:after="0"/>
        <w:tabs>
          <w:tab w:leader="none" w:pos="1704" w:val="left"/>
        </w:tabs>
        <w:numPr>
          <w:ilvl w:val="2"/>
          <w:numId w:val="62"/>
        </w:numPr>
        <w:rPr>
          <w:rFonts w:ascii="Arial" w:cs="Arial" w:eastAsia="Arial" w:hAnsi="Arial"/>
          <w:sz w:val="18"/>
          <w:szCs w:val="18"/>
          <w:color w:val="auto"/>
        </w:rPr>
      </w:pPr>
      <w:r>
        <w:rPr>
          <w:rFonts w:ascii="Arial" w:cs="Arial" w:eastAsia="Arial" w:hAnsi="Arial"/>
          <w:sz w:val="18"/>
          <w:szCs w:val="18"/>
          <w:color w:val="auto"/>
        </w:rPr>
        <w:t>for accrued and unpaid Special Interest, if any;</w:t>
      </w:r>
    </w:p>
    <w:p>
      <w:pPr>
        <w:spacing w:after="0" w:line="117" w:lineRule="exact"/>
        <w:rPr>
          <w:rFonts w:ascii="Arial" w:cs="Arial" w:eastAsia="Arial" w:hAnsi="Arial"/>
          <w:sz w:val="18"/>
          <w:szCs w:val="18"/>
          <w:color w:val="auto"/>
        </w:rPr>
      </w:pPr>
    </w:p>
    <w:p>
      <w:pPr>
        <w:ind w:left="444" w:right="660" w:firstLine="948"/>
        <w:spacing w:after="0" w:line="277" w:lineRule="auto"/>
        <w:tabs>
          <w:tab w:leader="none" w:pos="1751" w:val="left"/>
        </w:tabs>
        <w:numPr>
          <w:ilvl w:val="2"/>
          <w:numId w:val="62"/>
        </w:numPr>
        <w:rPr>
          <w:rFonts w:ascii="Arial" w:cs="Arial" w:eastAsia="Arial" w:hAnsi="Arial"/>
          <w:sz w:val="18"/>
          <w:szCs w:val="18"/>
          <w:color w:val="auto"/>
        </w:rPr>
      </w:pPr>
      <w:r>
        <w:rPr>
          <w:rFonts w:ascii="Arial" w:cs="Arial" w:eastAsia="Arial" w:hAnsi="Arial"/>
          <w:sz w:val="18"/>
          <w:szCs w:val="18"/>
          <w:color w:val="auto"/>
        </w:rPr>
        <w:t>for a third-party tender offer by any party other than a tender offer by the Company or one or more of its subsidiaries as described in Section 13.04(e) above; or</w:t>
      </w:r>
    </w:p>
    <w:p>
      <w:pPr>
        <w:spacing w:after="0" w:line="62" w:lineRule="exact"/>
        <w:rPr>
          <w:rFonts w:ascii="Arial" w:cs="Arial" w:eastAsia="Arial" w:hAnsi="Arial"/>
          <w:sz w:val="18"/>
          <w:szCs w:val="18"/>
          <w:color w:val="auto"/>
        </w:rPr>
      </w:pPr>
    </w:p>
    <w:p>
      <w:pPr>
        <w:ind w:left="444" w:right="100" w:firstLine="948"/>
        <w:spacing w:after="0" w:line="277" w:lineRule="auto"/>
        <w:tabs>
          <w:tab w:leader="none" w:pos="1801" w:val="left"/>
        </w:tabs>
        <w:numPr>
          <w:ilvl w:val="2"/>
          <w:numId w:val="62"/>
        </w:numPr>
        <w:rPr>
          <w:rFonts w:ascii="Arial" w:cs="Arial" w:eastAsia="Arial" w:hAnsi="Arial"/>
          <w:sz w:val="18"/>
          <w:szCs w:val="18"/>
          <w:color w:val="auto"/>
        </w:rPr>
      </w:pPr>
      <w:r>
        <w:rPr>
          <w:rFonts w:ascii="Arial" w:cs="Arial" w:eastAsia="Arial" w:hAnsi="Arial"/>
          <w:sz w:val="18"/>
          <w:szCs w:val="18"/>
          <w:color w:val="auto"/>
        </w:rPr>
        <w:t>upon the issuance of shares of Common Stock (other than any issuances to which Sections 13.04(a), (b) or (c) apply) at a price below the Conversion Price of the Notes.</w:t>
      </w:r>
    </w:p>
    <w:p>
      <w:pPr>
        <w:spacing w:after="0" w:line="170" w:lineRule="exact"/>
        <w:rPr>
          <w:rFonts w:ascii="Arial" w:cs="Arial" w:eastAsia="Arial" w:hAnsi="Arial"/>
          <w:sz w:val="18"/>
          <w:szCs w:val="18"/>
          <w:color w:val="auto"/>
        </w:rPr>
      </w:pPr>
    </w:p>
    <w:p>
      <w:pPr>
        <w:ind w:left="4" w:right="80" w:firstLine="987"/>
        <w:spacing w:after="0" w:line="301" w:lineRule="auto"/>
        <w:tabs>
          <w:tab w:leader="none" w:pos="121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the Company shall not be required to make an adjustment pursuant to clauses (a), (b), (c), (d) or (e) of this Section 13.04 unless such adjustment would result in a change of at least 1% of the Conversion Rate. However, the Company shall carry forward any adjustments that are less than 1% of the Conversion Rate and make such carried forward adjustments with respect to the Notes, except that all such adjustments must be given effect immediately upon the occurrence of any of the following:</w:t>
      </w:r>
    </w:p>
    <w:p>
      <w:pPr>
        <w:spacing w:after="0" w:line="157" w:lineRule="exact"/>
        <w:rPr>
          <w:rFonts w:ascii="Arial" w:cs="Arial" w:eastAsia="Arial" w:hAnsi="Arial"/>
          <w:sz w:val="16"/>
          <w:szCs w:val="16"/>
          <w:color w:val="auto"/>
        </w:rPr>
      </w:pPr>
    </w:p>
    <w:p>
      <w:pPr>
        <w:ind w:left="4" w:hanging="4"/>
        <w:spacing w:after="0" w:line="257"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when the cumulative net effect of all adjustments not yet made will result in a change of at least 1% to the Conversion Rate and (2) regardless of whether the adjustment (or such cumulative net effect) is less than 1% of the Conversion Rate (i) (x) on the Conversion Date for any Notes and (y) on each Trading Day of any Observation Period; (ii) on the effective date of any Fundamental Change or Make-Whole Fundamental Change or Redemption Notice Date and (iii) December 1, 2025. All calculations and other determinations under this Article XIII shall be made by the Company and shall be made to the nearest one-ten thousandth (1/10,000) of a share.</w:t>
      </w:r>
    </w:p>
    <w:p>
      <w:pPr>
        <w:spacing w:after="0" w:line="187" w:lineRule="exact"/>
        <w:rPr>
          <w:rFonts w:ascii="Arial" w:cs="Arial" w:eastAsia="Arial" w:hAnsi="Arial"/>
          <w:sz w:val="18"/>
          <w:szCs w:val="18"/>
          <w:color w:val="auto"/>
        </w:rPr>
      </w:pPr>
    </w:p>
    <w:p>
      <w:pPr>
        <w:ind w:left="4" w:right="20" w:firstLine="987"/>
        <w:spacing w:after="0" w:line="254" w:lineRule="auto"/>
        <w:tabs>
          <w:tab w:leader="none" w:pos="12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give such notice of such adjustment of the Conversion Rate to each Holder in accordance with Section 16.03. Failure to deliver such notice shall not affect the legality or validity of any such adjustment.</w:t>
      </w:r>
    </w:p>
    <w:p>
      <w:pPr>
        <w:spacing w:after="0" w:line="191" w:lineRule="exact"/>
        <w:rPr>
          <w:rFonts w:ascii="Arial" w:cs="Arial" w:eastAsia="Arial" w:hAnsi="Arial"/>
          <w:sz w:val="18"/>
          <w:szCs w:val="18"/>
          <w:color w:val="auto"/>
        </w:rPr>
      </w:pPr>
    </w:p>
    <w:p>
      <w:pPr>
        <w:jc w:val="both"/>
        <w:ind w:left="4" w:firstLine="987"/>
        <w:spacing w:after="0" w:line="259" w:lineRule="auto"/>
        <w:tabs>
          <w:tab w:leader="none" w:pos="121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purposes of this Section 13.04,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67" w:name="page68"/>
    <w:bookmarkEnd w:id="67"/>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13.05 </w:t>
      </w:r>
      <w:r>
        <w:rPr>
          <w:rFonts w:ascii="Arial" w:cs="Arial" w:eastAsia="Arial" w:hAnsi="Arial"/>
          <w:sz w:val="17"/>
          <w:szCs w:val="17"/>
          <w:u w:val="single" w:color="auto"/>
          <w:color w:val="auto"/>
        </w:rPr>
        <w:t>Adjustments of Prices</w:t>
      </w:r>
      <w:r>
        <w:rPr>
          <w:rFonts w:ascii="Arial" w:cs="Arial" w:eastAsia="Arial" w:hAnsi="Arial"/>
          <w:sz w:val="17"/>
          <w:szCs w:val="17"/>
          <w:color w:val="auto"/>
        </w:rPr>
        <w:t>. Whenever any provision of this Indenture requires the Company to calculate the Last Reported Sale Prices, the Trading Prices, the Daily VWAPs, the Daily Conversion Values, the Daily Settlement Amounts or the Daily Net Settlement Amounts over a span of multiple days (including an Observation Period and, if applicable, the period for determining the Stock Price for purposes of a Redemption Notice or a Make-Whole Fundamental Change), the Company shall make appropriate adjustments in its good faith judgment to each such calculation to account for any adjustment to the Conversion Rate that becomes effective, or any event requiring an adjustment to the Conversion Rate as provided in Section 13.04 where the Ex-Dividend Date, Effective Date or expiration date of the event occurs, at any time during the period when the Last Reported Sale Prices, the Trading Prices, the Daily VWAPs, the Daily Conversion Values, the Daily Settlement Amounts or the Daily Net Settlement Amounts are to be calculated. For the avoidance of doubt, adjustments made pursuant to this Section 13.05 will be made without duplication of any adjustment made pursuant to Section 13.04.</w:t>
      </w:r>
    </w:p>
    <w:p>
      <w:pPr>
        <w:spacing w:after="0" w:line="181"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Shares to Be Fully Paid</w:t>
      </w:r>
      <w:r>
        <w:rPr>
          <w:rFonts w:ascii="Arial" w:cs="Arial" w:eastAsia="Arial" w:hAnsi="Arial"/>
          <w:sz w:val="18"/>
          <w:szCs w:val="18"/>
          <w:color w:val="auto"/>
        </w:rPr>
        <w:t>. The Company shall provide, free from preemptive rights, out of its authorized but unissued shares or shares held in treasury, sufficient shares of Common Stock to provide for conversion of the Notes from time to time as such Notes are presented for conversion (assuming that at the time of computation of such number of shares, all such Notes would be converted by a single Holder and assuming delivery of the maximum number of Additional Shares pursuant to Section 13.03).</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Effect of Recapitalizations, Reclassifications, and Changes of the Common Stock</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117" w:lineRule="exact"/>
        <w:rPr>
          <w:rFonts w:ascii="Arial" w:cs="Arial" w:eastAsia="Arial" w:hAnsi="Arial"/>
          <w:sz w:val="18"/>
          <w:szCs w:val="18"/>
          <w:color w:val="auto"/>
        </w:rPr>
      </w:pPr>
    </w:p>
    <w:p>
      <w:pPr>
        <w:ind w:left="444" w:right="220" w:firstLine="948"/>
        <w:spacing w:after="0" w:line="277" w:lineRule="auto"/>
        <w:tabs>
          <w:tab w:leader="none" w:pos="1611"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Common Stock (other than a change to par value, or from par value to no par value, or changes resulting from a subdivision or combination),</w:t>
      </w:r>
    </w:p>
    <w:p>
      <w:pPr>
        <w:spacing w:after="0" w:line="62" w:lineRule="exact"/>
        <w:rPr>
          <w:rFonts w:ascii="Arial" w:cs="Arial" w:eastAsia="Arial" w:hAnsi="Arial"/>
          <w:sz w:val="18"/>
          <w:szCs w:val="18"/>
          <w:color w:val="auto"/>
        </w:rPr>
      </w:pPr>
    </w:p>
    <w:p>
      <w:pPr>
        <w:ind w:left="1664" w:hanging="272"/>
        <w:spacing w:after="0"/>
        <w:tabs>
          <w:tab w:leader="none" w:pos="16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the Company,</w:t>
      </w:r>
    </w:p>
    <w:p>
      <w:pPr>
        <w:spacing w:after="0" w:line="117" w:lineRule="exact"/>
        <w:rPr>
          <w:rFonts w:ascii="Arial" w:cs="Arial" w:eastAsia="Arial" w:hAnsi="Arial"/>
          <w:sz w:val="18"/>
          <w:szCs w:val="18"/>
          <w:color w:val="auto"/>
        </w:rPr>
      </w:pPr>
    </w:p>
    <w:p>
      <w:pPr>
        <w:ind w:left="444" w:right="460" w:firstLine="948"/>
        <w:spacing w:after="0" w:line="277" w:lineRule="auto"/>
        <w:tabs>
          <w:tab w:leader="none" w:pos="1711"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sale, lease, or other transfer to a third party of all or substantially all of the consolidated assets of the Company and the Company’s Subsidiaries, taken as a whole, or</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ind w:left="4" w:right="40"/>
        <w:spacing w:after="0" w:line="283" w:lineRule="auto"/>
        <w:rPr>
          <w:sz w:val="20"/>
          <w:szCs w:val="20"/>
          <w:color w:val="auto"/>
        </w:rPr>
      </w:pPr>
      <w:r>
        <w:rPr>
          <w:rFonts w:ascii="Arial" w:cs="Arial" w:eastAsia="Arial" w:hAnsi="Arial"/>
          <w:sz w:val="16"/>
          <w:szCs w:val="16"/>
          <w:color w:val="auto"/>
        </w:rPr>
        <w:t>in each case, as a result of which holders of the Common Stock would be entitled to receive or their Common Stock would be converted into, or exchanged for, shares, stock, other securities, or other property or assets (including cash or any combination thereof) (any such event, a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 Change Event</w:t>
      </w:r>
      <w:r>
        <w:rPr>
          <w:rFonts w:ascii="Arial" w:cs="Arial" w:eastAsia="Arial" w:hAnsi="Arial"/>
          <w:sz w:val="16"/>
          <w:szCs w:val="16"/>
          <w:color w:val="auto"/>
        </w:rPr>
        <w:t>”), then, at and after the effective time of such Common Stock Change Event, the right to convert each $1,000 principal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Notes shall be changed into a right to convert such principal amount of Notes into the kind and amount of shares, stock, other securities, or other property or assets (including cash or any combination thereof) that a holder of a number of shares of Common Stock equal to the Conversion Rate immediately prior to such Common Stock Change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w:t>
      </w:r>
      <w:r>
        <w:rPr>
          <w:rFonts w:ascii="Arial" w:cs="Arial" w:eastAsia="Arial" w:hAnsi="Arial"/>
          <w:sz w:val="16"/>
          <w:szCs w:val="16"/>
          <w:color w:val="auto"/>
        </w:rPr>
        <w:t xml:space="preserve"> </w:t>
      </w:r>
      <w:r>
        <w:rPr>
          <w:rFonts w:ascii="Arial" w:cs="Arial" w:eastAsia="Arial" w:hAnsi="Arial"/>
          <w:sz w:val="16"/>
          <w:szCs w:val="16"/>
          <w:b w:val="1"/>
          <w:bCs w:val="1"/>
          <w:color w:val="auto"/>
        </w:rPr>
        <w:t>Reference Property</w:t>
      </w:r>
      <w:r>
        <w:rPr>
          <w:rFonts w:ascii="Arial" w:cs="Arial" w:eastAsia="Arial" w:hAnsi="Arial"/>
          <w:sz w:val="16"/>
          <w:szCs w:val="16"/>
          <w:color w:val="auto"/>
        </w:rPr>
        <w:t>” meaning the kind and amount of Reference Property that a holder of one share of Common Stock is entitled to receive) upon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Change Event and, prior to or at the effective time of such Common Stock Change Event, the Company or the successor or acquiring Person, as the case may be, shall execute with the Trustee a supplemental indenture permitted under Section 10.01(f) providing for such change in the right to convert each $1,000 principal amount of Notes;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and after the effective time of the Common Stock Change Event</w:t>
      </w:r>
    </w:p>
    <w:p>
      <w:pPr>
        <w:spacing w:after="0" w:line="5" w:lineRule="exact"/>
        <w:rPr>
          <w:sz w:val="20"/>
          <w:szCs w:val="20"/>
          <w:color w:val="auto"/>
        </w:rPr>
      </w:pPr>
    </w:p>
    <w:p>
      <w:pPr>
        <w:ind w:left="4" w:right="120" w:hanging="4"/>
        <w:spacing w:after="0" w:line="288" w:lineRule="auto"/>
        <w:tabs>
          <w:tab w:leader="none" w:pos="29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or the successor or acquiring Person, as the case may be, shall continue to have the right to determine the form of consideration to be paid or delivered, as the case may be, upon conversion of Notes in accordance with Section 13.02 and (B) (I) any amount payable in cash upon conversion of the Notes in accordance with Section 13.02 shall continue to be payable in cash, (II) any shares of Common Stock that the Company would have been required to deliver upon conversion of the Notes in accordance with Section 13.02 shall instead be deliverable in the amount and type of Reference Property that a holder of that number of shares of Common Stock would have received in such Common Stock Change Event, (III) the Daily VWAP shall be calculated based on the value of a unit of Reference Property and (IV) the conditions to conversion described in Section 13.01(b) (ii) and Section 13.01(b)(iv) will be determined as if each reference to a share of Common Stock were instead a reference to a Reference Property unit.</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68" w:name="page69"/>
    <w:bookmarkEnd w:id="68"/>
    <w:p>
      <w:pPr>
        <w:ind w:left="4" w:right="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Common Stock 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w:t>
      </w:r>
    </w:p>
    <w:p>
      <w:pPr>
        <w:spacing w:after="0" w:line="1" w:lineRule="exact"/>
        <w:rPr>
          <w:sz w:val="20"/>
          <w:szCs w:val="20"/>
          <w:color w:val="auto"/>
        </w:rPr>
      </w:pPr>
    </w:p>
    <w:p>
      <w:pPr>
        <w:ind w:left="4" w:hanging="4"/>
        <w:spacing w:after="0" w:line="269" w:lineRule="auto"/>
        <w:tabs>
          <w:tab w:leader="none" w:pos="2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attributable to one share of Common Stock. If the holders of Common Stock receive only cash in such Common Stock Change Event, then for all conversions for which the relevant Conversion Date occurs after the effective date of such Common Stock Change Event (A) the consideration due upon conversion of each $1,000 principal amount of Notes shall be solely cash in an amount equal to the Conversion Rate in effect on the Conversion Date (as may be increased by any Additional Shares pursuant to Section 13.03), multiplied by the price paid per share of Common Stock in such Common Stock Change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80"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Such supplemental indenture described in the second immediately preceding paragraph shall provide for anti-dilution and other adjustments that shall be as nearly equivalent as is possible to the adjustments provided for in this Article XIII. If, in the case of any Common Stock Change Event, the Reference Property includes shares of stock, securities, or other property or assets (including cash or any combination thereof) of a Person other than the successor or purchasing corporation, as the case may be, in such Common Stock Change Event, then such supplemental indenture shall also be executed by such other Person and shall contain such additional provisions to protect the interests of the Holders of the Notes as the Company in good faith shall reasonably consider necessary by reason of the foregoing.</w:t>
      </w:r>
    </w:p>
    <w:p>
      <w:pPr>
        <w:spacing w:after="0" w:line="178" w:lineRule="exact"/>
        <w:rPr>
          <w:sz w:val="20"/>
          <w:szCs w:val="20"/>
          <w:color w:val="auto"/>
        </w:rPr>
      </w:pPr>
    </w:p>
    <w:p>
      <w:pPr>
        <w:ind w:left="4" w:right="220" w:firstLine="987"/>
        <w:spacing w:after="0" w:line="293" w:lineRule="auto"/>
        <w:tabs>
          <w:tab w:leader="none" w:pos="12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When the Company executes a supplemental indenture pursuant to subsection (a) of this Section 13.07, the Company shall promptly file with the Trustee an Officer’s Certificate briefly stating the reasons therefor, the kind or amount of cash, securities or property or asset that will comprise a unit of Reference Property after any such Common Stock 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as provided for in this Indenture, within 20 days after execution thereof. Failure to deliver such notice shall not affect the legality or validity of such supplemental indenture.</w:t>
      </w:r>
    </w:p>
    <w:p>
      <w:pPr>
        <w:spacing w:after="0" w:line="164" w:lineRule="exact"/>
        <w:rPr>
          <w:rFonts w:ascii="Arial" w:cs="Arial" w:eastAsia="Arial" w:hAnsi="Arial"/>
          <w:sz w:val="16"/>
          <w:szCs w:val="16"/>
          <w:color w:val="auto"/>
        </w:rPr>
      </w:pPr>
    </w:p>
    <w:p>
      <w:pPr>
        <w:ind w:left="4" w:right="80" w:firstLine="987"/>
        <w:spacing w:after="0" w:line="263" w:lineRule="auto"/>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None of the foregoing provisions shall affect the right of a Holder of Notes to convert its Notes into cash, shares of Common Stock, or a combination of cash and shares of Common Stock, as applicable, as set forth in Section 13.01 and Section 13.02 prior to the effective date of such Common Stock Change Event.</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above provisions of this Section shall similarly apply to successive Common Stock Change Events.</w:t>
      </w:r>
    </w:p>
    <w:p>
      <w:pPr>
        <w:spacing w:after="0" w:line="225" w:lineRule="exact"/>
        <w:rPr>
          <w:rFonts w:ascii="Arial" w:cs="Arial" w:eastAsia="Arial" w:hAnsi="Arial"/>
          <w:sz w:val="18"/>
          <w:szCs w:val="18"/>
          <w:color w:val="auto"/>
        </w:rPr>
      </w:pPr>
    </w:p>
    <w:p>
      <w:pPr>
        <w:ind w:left="4" w:right="660" w:firstLine="987"/>
        <w:spacing w:after="0" w:line="277" w:lineRule="auto"/>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the consummation of any Common Stock Change Event, references to “Common Stock” shall be deemed to refer to any Reference Property that constitutes capital stock after giving effect to such Common Stock Change Event.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7" w:lineRule="auto"/>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covenants that all shares of Common Stock issued upon conversion of Notes will be fully paid and non-assessable by the Company and free from all taxes, liens and charges with respect to the issue thereof.</w:t>
      </w:r>
    </w:p>
    <w:p>
      <w:pPr>
        <w:spacing w:after="0" w:line="170" w:lineRule="exact"/>
        <w:rPr>
          <w:rFonts w:ascii="Arial" w:cs="Arial" w:eastAsia="Arial" w:hAnsi="Arial"/>
          <w:sz w:val="18"/>
          <w:szCs w:val="18"/>
          <w:color w:val="auto"/>
        </w:rPr>
      </w:pPr>
    </w:p>
    <w:p>
      <w:pPr>
        <w:ind w:left="4" w:right="60" w:firstLine="987"/>
        <w:spacing w:after="0" w:line="259" w:lineRule="auto"/>
        <w:tabs>
          <w:tab w:leader="none" w:pos="12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69" w:name="page70"/>
    <w:bookmarkEnd w:id="69"/>
    <w:p>
      <w:pPr>
        <w:ind w:right="40" w:firstLine="987"/>
        <w:spacing w:after="0" w:line="263"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8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13.09 </w:t>
      </w:r>
      <w:r>
        <w:rPr>
          <w:rFonts w:ascii="Arial" w:cs="Arial" w:eastAsia="Arial" w:hAnsi="Arial"/>
          <w:sz w:val="16"/>
          <w:szCs w:val="16"/>
          <w:u w:val="single" w:color="auto"/>
          <w:color w:val="auto"/>
        </w:rPr>
        <w:t>Responsibility of Trustee</w:t>
      </w:r>
      <w:r>
        <w:rPr>
          <w:rFonts w:ascii="Arial" w:cs="Arial" w:eastAsia="Arial" w:hAnsi="Arial"/>
          <w:sz w:val="16"/>
          <w:szCs w:val="16"/>
          <w:color w:val="auto"/>
        </w:rPr>
        <w:t>.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13.07 relating either to the kind or amount of shares, stock or other securities, or property (including cash) receivable by Holders upon the conversion of their Notes after any event referred to in such Section 13.07 or to any adjustment to be made with respect thereto, but, subject to the provisions of Section 7.01, may accept (without any independent investigation) as conclusive evidence of the correctness of any such provisions, and shall be protected in conclusively relying upon, the Officer’s Certificate and Opinion of Counsel (which the Company shall be obligated to file with the Trustee prior to the execution of any such supplemental indenture) with respect thereto. Neither the Trustee nor the Conversion Agent shall be responsible for determining whether any event contemplated by Section 13.01(b) has occurred that makes the Notes eligible for conversion or no longer eligible therefor until the Company has delivered to the Trustee and the Conversion Agent the notices referred to in Section 13.01(b)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13.01(b).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Notice to Holders Prior to Certain Actions</w:t>
      </w:r>
      <w:r>
        <w:rPr>
          <w:rFonts w:ascii="Arial" w:cs="Arial" w:eastAsia="Arial" w:hAnsi="Arial"/>
          <w:sz w:val="18"/>
          <w:szCs w:val="18"/>
          <w:color w:val="auto"/>
        </w:rPr>
        <w:t>. In case of any:</w:t>
      </w:r>
    </w:p>
    <w:p>
      <w:pPr>
        <w:spacing w:after="0" w:line="225" w:lineRule="exact"/>
        <w:rPr>
          <w:sz w:val="20"/>
          <w:szCs w:val="20"/>
          <w:color w:val="auto"/>
        </w:rPr>
      </w:pPr>
    </w:p>
    <w:p>
      <w:pPr>
        <w:ind w:left="1240" w:hanging="253"/>
        <w:spacing w:after="0"/>
        <w:tabs>
          <w:tab w:leader="none" w:pos="12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action by the Company or one of its Subsidiaries that would require an adjustment in the Conversion Rate pursuant to Section 13.04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13.11;</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Common Stock Change Event;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voluntary or involuntary dissolution, liquidation or winding-up of the Company or any of its Subsidiaries;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provided in this Indenture, as promptly as possible but in any event at least 10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Common Stock Change Event, dissolution, liquidation or winding-up is expected to become effective or occur, and the date as of which it is expected that holders of Common Stock of record shall be entitled to exchange their Common Stock for securities, or other property deliverable upon such Common Stock Change Event, dissolution, liquidation or winding-up. Failure to give such notice, or any defect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70" w:name="page71"/>
    <w:bookmarkEnd w:id="70"/>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therein, shall not affect the legality or validity of such action by the Company or one of its Subsidiaries, Common Stock Change Event, dissolution, liquidation or winding-up. For the avoidance of doubt, no failure to comply with this Section 13.10 shall be an Event of Default unless the 60-day period provided for in Section 6.01(f) has run and such Event of Default shall not have been cured prior to the expiration of such 60-day period.</w:t>
      </w:r>
    </w:p>
    <w:p>
      <w:pPr>
        <w:spacing w:after="0" w:line="165"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u w:val="single" w:color="auto"/>
          <w:color w:val="auto"/>
        </w:rPr>
        <w:t>Stockholder Rights Plans</w:t>
      </w:r>
      <w:r>
        <w:rPr>
          <w:rFonts w:ascii="Arial" w:cs="Arial" w:eastAsia="Arial" w:hAnsi="Arial"/>
          <w:sz w:val="16"/>
          <w:szCs w:val="16"/>
          <w:color w:val="auto"/>
        </w:rPr>
        <w:t>. To the extent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provided in Section 13.04(c), subject to readjustment in the event of the expiration, termination, or redemption of such rights.</w:t>
      </w:r>
    </w:p>
    <w:p>
      <w:pPr>
        <w:spacing w:after="0" w:line="16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Limit on Issuance of Shares of Common Stock Upon Conversion</w:t>
      </w:r>
      <w:r>
        <w:rPr>
          <w:rFonts w:ascii="Arial" w:cs="Arial" w:eastAsia="Arial" w:hAnsi="Arial"/>
          <w:sz w:val="18"/>
          <w:szCs w:val="18"/>
          <w:color w:val="auto"/>
        </w:rPr>
        <w:t>. Notwithstanding anything to the contrary in this Indenture, if an event occurs that would result in an increase in the Conversion Rate by an amount in excess of limitations imposed by the Nasdaq Global Select Market, the Company will, at its option, either obtain stockholder approval of any issuance of Common Stock upon conversion of the Notes in excess of such limitations or pay cash in lieu of delivering any shares of Common Stock otherwise deliverable upon conversions in excess of such limitations based on the Daily VWAP for each Trading Day of the relevant Observation Period in respect of which, in lieu of delivering shares of Common Stock, the Company pays cash pursuant to this Section 13.12.</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Exchange in Lieu of Conversion</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53" w:lineRule="auto"/>
        <w:tabs>
          <w:tab w:leader="none" w:pos="1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When a Holder surrenders its Notes for conversion, the Company may, at its election, direct the Conversion Agent to surrender, on or prior to the second Business Day following the relevant Conversion Date, such Notes to a financial institution designated by the Company (the “</w:t>
      </w:r>
      <w:r>
        <w:rPr>
          <w:rFonts w:ascii="Arial" w:cs="Arial" w:eastAsia="Arial" w:hAnsi="Arial"/>
          <w:sz w:val="18"/>
          <w:szCs w:val="18"/>
          <w:b w:val="1"/>
          <w:bCs w:val="1"/>
          <w:color w:val="auto"/>
        </w:rPr>
        <w:t>Designated Institution</w:t>
      </w:r>
      <w:r>
        <w:rPr>
          <w:rFonts w:ascii="Arial" w:cs="Arial" w:eastAsia="Arial" w:hAnsi="Arial"/>
          <w:sz w:val="18"/>
          <w:szCs w:val="18"/>
          <w:color w:val="auto"/>
        </w:rPr>
        <w:t>”) for exchange in lieu of conversion. In order to accept any Notes surrendered for conversion for exchange in lieu of conversion, the Designated Institution must agree to timely deliver, in exchange for such Notes, the cash or combination of cash and shares of Common Stock, at the Company’s election, that would otherwise be due upon conversion as described in Section 13.02 above and in respect of which the Company has notified converting Holders. If the Company makes the election described above, the Company shall, by the close of business on the second Business Day following the relevant Conversion Date, notify in writing the Holder surrendering Notes for conversion, the Trustee and the Conversion Agent (if other than the Trustee) that it has made such election. In addition, the Company shall concurrently notify the Designated Institution of the relevant deadline for delivery of the consideration due upon conversion. Any Notes exchanged by the Designated Institution will remain outstanding.</w:t>
      </w:r>
    </w:p>
    <w:p>
      <w:pPr>
        <w:spacing w:after="0" w:line="194"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Designated Institution agrees to accept any Notes for exchange but does not timely deliver the related consideration due upon conversion to the Conversion Agent, or if the Designated Institution does not accept such Notes for exchange, the Company shall, within the time period specified in Section 13.02(c), convert such Notes into cash, shares of Common Stock or combination of cash and shares of Common Stock, at the Company’s election, in accordance with the provisions of Section 13.02.</w:t>
      </w:r>
    </w:p>
    <w:p>
      <w:pPr>
        <w:spacing w:after="0" w:line="186" w:lineRule="exact"/>
        <w:rPr>
          <w:rFonts w:ascii="Arial" w:cs="Arial" w:eastAsia="Arial" w:hAnsi="Arial"/>
          <w:sz w:val="18"/>
          <w:szCs w:val="18"/>
          <w:color w:val="auto"/>
        </w:rPr>
      </w:pPr>
    </w:p>
    <w:p>
      <w:pPr>
        <w:ind w:right="460" w:firstLine="987"/>
        <w:spacing w:after="0" w:line="277" w:lineRule="auto"/>
        <w:tabs>
          <w:tab w:leader="none" w:pos="1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avoidance of doubt, in no event will the Company’s designation of a Designated Institution pursuant to this Section 13.13 require the Designated Institution to accept any Notes for exchange.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 OF NOTES AT OPTION OF 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Repurchase at Option of Holders Upon a Fundamental Change</w:t>
      </w:r>
      <w:r>
        <w:rPr>
          <w:rFonts w:ascii="Arial" w:cs="Arial" w:eastAsia="Arial" w:hAnsi="Arial"/>
          <w:sz w:val="16"/>
          <w:szCs w:val="16"/>
          <w:color w:val="auto"/>
        </w:rPr>
        <w:t>. If a Fundamental Change occurs at any time prior to the Maturity Date, each Holder shall have the right, at such Holder’s option, to require the Company to repurchase for cash all of such Holder’s Notes, or any portion thereof that is equal to minimum denominations of $1,000 or an integral multiple of $1,000 in excess thereof, on the date (the “</w:t>
      </w:r>
      <w:r>
        <w:rPr>
          <w:rFonts w:ascii="Arial" w:cs="Arial" w:eastAsia="Arial" w:hAnsi="Arial"/>
          <w:sz w:val="16"/>
          <w:szCs w:val="16"/>
          <w:b w:val="1"/>
          <w:bCs w:val="1"/>
          <w:color w:val="auto"/>
        </w:rPr>
        <w:t>Fundamental Change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1" w:name="page72"/>
    <w:bookmarkEnd w:id="71"/>
    <w:p>
      <w:pPr>
        <w:ind w:right="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Repurchase Date</w:t>
      </w:r>
      <w:r>
        <w:rPr>
          <w:rFonts w:ascii="Arial" w:cs="Arial" w:eastAsia="Arial" w:hAnsi="Arial"/>
          <w:sz w:val="18"/>
          <w:szCs w:val="18"/>
          <w:color w:val="auto"/>
        </w:rPr>
        <w:t>”) specified by the Company that is not less than 20 or more than 35 Business Days following the date of the Fundamental 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Notice at a repurchase price equal to 100%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Special Interest thereon to, but excluding, the Fundamental Change Repurchase Date (the “</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unless the Fundamental Change Repurchase Date falls after a Special Interest Record Date but on or prior to the Special Interest Payment Date to which such Special Interest Record Date relates, in which case the Company shall instead pay the full amount of any accrued and unpaid Special Interest to Holders of record as of such Special Interest Record Date, and the Fundamental Change Repurchase Price shall be equal to 100% of the principal amount of Notes to be repurchased pursuant to this Article XIV.</w:t>
      </w:r>
    </w:p>
    <w:p>
      <w:pPr>
        <w:spacing w:after="0" w:line="193" w:lineRule="exact"/>
        <w:rPr>
          <w:sz w:val="20"/>
          <w:szCs w:val="20"/>
          <w:color w:val="auto"/>
        </w:rPr>
      </w:pPr>
    </w:p>
    <w:p>
      <w:pPr>
        <w:ind w:left="1240" w:hanging="253"/>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Repurchases of Notes under this Section 14.02 shall be made, at the option of the Holder thereof, upon:</w:t>
      </w:r>
    </w:p>
    <w:p>
      <w:pPr>
        <w:spacing w:after="0" w:line="113" w:lineRule="exact"/>
        <w:rPr>
          <w:rFonts w:ascii="Arial" w:cs="Arial" w:eastAsia="Arial" w:hAnsi="Arial"/>
          <w:sz w:val="18"/>
          <w:szCs w:val="18"/>
          <w:color w:val="auto"/>
        </w:rPr>
      </w:pPr>
    </w:p>
    <w:p>
      <w:pPr>
        <w:ind w:left="440" w:right="180" w:firstLine="948"/>
        <w:spacing w:after="0" w:line="281" w:lineRule="auto"/>
        <w:tabs>
          <w:tab w:leader="none" w:pos="1607"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delivery to the Paying Agent by a Holder of a duly completed notice (the “</w:t>
      </w:r>
      <w:r>
        <w:rPr>
          <w:rFonts w:ascii="Arial" w:cs="Arial" w:eastAsia="Arial" w:hAnsi="Arial"/>
          <w:sz w:val="17"/>
          <w:szCs w:val="17"/>
          <w:b w:val="1"/>
          <w:bCs w:val="1"/>
          <w:color w:val="auto"/>
        </w:rPr>
        <w:t>Fundamental Change Repurchase Notice</w:t>
      </w:r>
      <w:r>
        <w:rPr>
          <w:rFonts w:ascii="Arial" w:cs="Arial" w:eastAsia="Arial" w:hAnsi="Arial"/>
          <w:sz w:val="17"/>
          <w:szCs w:val="17"/>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60" w:lineRule="exact"/>
        <w:rPr>
          <w:rFonts w:ascii="Arial" w:cs="Arial" w:eastAsia="Arial" w:hAnsi="Arial"/>
          <w:sz w:val="17"/>
          <w:szCs w:val="17"/>
          <w:color w:val="auto"/>
        </w:rPr>
      </w:pPr>
    </w:p>
    <w:p>
      <w:pPr>
        <w:ind w:left="440" w:right="100" w:firstLine="948"/>
        <w:spacing w:after="0" w:line="279" w:lineRule="auto"/>
        <w:tabs>
          <w:tab w:leader="none" w:pos="1657"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Fundamental Change Repurchase Notice in respect of any Notes to be repurchased shall state:</w:t>
      </w:r>
    </w:p>
    <w:p>
      <w:pPr>
        <w:spacing w:after="0" w:line="117" w:lineRule="exact"/>
        <w:rPr>
          <w:sz w:val="20"/>
          <w:szCs w:val="20"/>
          <w:color w:val="auto"/>
        </w:rPr>
      </w:pPr>
    </w:p>
    <w:p>
      <w:pPr>
        <w:ind w:left="2100" w:hanging="289"/>
        <w:spacing w:after="0"/>
        <w:tabs>
          <w:tab w:leader="none" w:pos="2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Physical Notes, the certificate numbers of the Notes to be delivered for repurchase;</w:t>
      </w:r>
    </w:p>
    <w:p>
      <w:pPr>
        <w:spacing w:after="0" w:line="117" w:lineRule="exact"/>
        <w:rPr>
          <w:rFonts w:ascii="Arial" w:cs="Arial" w:eastAsia="Arial" w:hAnsi="Arial"/>
          <w:sz w:val="18"/>
          <w:szCs w:val="18"/>
          <w:color w:val="auto"/>
        </w:rPr>
      </w:pPr>
    </w:p>
    <w:p>
      <w:pPr>
        <w:ind w:left="2100" w:hanging="289"/>
        <w:spacing w:after="0"/>
        <w:tabs>
          <w:tab w:leader="none" w:pos="21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must be $1,000 or an integral multiple thereof; and</w:t>
      </w:r>
    </w:p>
    <w:p>
      <w:pPr>
        <w:spacing w:after="0" w:line="140" w:lineRule="exact"/>
        <w:rPr>
          <w:rFonts w:ascii="Arial" w:cs="Arial" w:eastAsia="Arial" w:hAnsi="Arial"/>
          <w:sz w:val="16"/>
          <w:szCs w:val="16"/>
          <w:color w:val="auto"/>
        </w:rPr>
      </w:pPr>
    </w:p>
    <w:p>
      <w:pPr>
        <w:ind w:left="2100" w:hanging="289"/>
        <w:spacing w:after="0"/>
        <w:tabs>
          <w:tab w:leader="none" w:pos="21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that the Notes are to be repurchased by the Company pursuant to the applicable provisions of the Notes and this Indenture;</w:t>
      </w:r>
    </w:p>
    <w:p>
      <w:pPr>
        <w:spacing w:after="0" w:line="24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Fundamental Change Repurchase Notice must comply with appropriate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14.02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14.03, in the case of Physical Notes, or through the applicable procedures of the Depositary, in the case of Global Notes.</w:t>
      </w:r>
    </w:p>
    <w:p>
      <w:pPr>
        <w:spacing w:after="0" w:line="18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Paying Agent shall promptly notify the Company of the receipt by it of any Fundamental Change Repurchase Notice or written notice of withdrawal thereof.</w:t>
      </w:r>
    </w:p>
    <w:p>
      <w:pPr>
        <w:spacing w:after="0" w:line="170" w:lineRule="exact"/>
        <w:rPr>
          <w:sz w:val="20"/>
          <w:szCs w:val="20"/>
          <w:color w:val="auto"/>
        </w:rPr>
      </w:pPr>
    </w:p>
    <w:p>
      <w:pPr>
        <w:ind w:firstLine="987"/>
        <w:spacing w:after="0" w:line="273" w:lineRule="auto"/>
        <w:tabs>
          <w:tab w:leader="none" w:pos="1246" w:val="left"/>
        </w:tabs>
        <w:numPr>
          <w:ilvl w:val="1"/>
          <w:numId w:val="75"/>
        </w:numPr>
        <w:rPr>
          <w:rFonts w:ascii="Arial" w:cs="Arial" w:eastAsia="Arial" w:hAnsi="Arial"/>
          <w:sz w:val="17"/>
          <w:szCs w:val="17"/>
          <w:color w:val="auto"/>
        </w:rPr>
      </w:pPr>
      <w:r>
        <w:rPr>
          <w:rFonts w:ascii="Arial" w:cs="Arial" w:eastAsia="Arial" w:hAnsi="Arial"/>
          <w:sz w:val="17"/>
          <w:szCs w:val="17"/>
          <w:color w:val="auto"/>
        </w:rPr>
        <w:t>On or before the 20th day after the occurrence of the effective date of a Fundamental Change, the Company shall provide to all Holders of Notes, the Trustee and the Paying Agent (in the case of a Paying Agent other than the Trustee) a notice (the “</w:t>
      </w:r>
      <w:r>
        <w:rPr>
          <w:rFonts w:ascii="Arial" w:cs="Arial" w:eastAsia="Arial" w:hAnsi="Arial"/>
          <w:sz w:val="17"/>
          <w:szCs w:val="17"/>
          <w:b w:val="1"/>
          <w:bCs w:val="1"/>
          <w:color w:val="auto"/>
        </w:rPr>
        <w:t>Fundamental Change Company</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of the occurrence of the effective date of a Fundamental Change and of the repurchase right at the option of the Holders arising as a result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Such notice shall be given in accordance with Section 16.03 of this Indenture. Simultaneously with providing such notice, the Company shall publish a notice containing the information set forth in the Fundamental Change Company Notice on the Company’s website or through such other public medium as the Company may use at that time. Each Fundamental Change Company Notice shall specify:</w:t>
      </w:r>
    </w:p>
    <w:p>
      <w:pPr>
        <w:spacing w:after="0" w:line="69" w:lineRule="exact"/>
        <w:rPr>
          <w:rFonts w:ascii="Arial" w:cs="Arial" w:eastAsia="Arial" w:hAnsi="Arial"/>
          <w:sz w:val="17"/>
          <w:szCs w:val="17"/>
          <w:color w:val="auto"/>
        </w:rPr>
      </w:pPr>
    </w:p>
    <w:p>
      <w:pPr>
        <w:ind w:left="1080" w:hanging="221"/>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72" w:name="page73"/>
    <w:bookmarkEnd w:id="72"/>
    <w:p>
      <w:pPr>
        <w:ind w:left="1120" w:hanging="261"/>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effective date of the Fundamental Change;</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 pursuant to this Article XIV;</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117" w:lineRule="exact"/>
        <w:rPr>
          <w:rFonts w:ascii="Arial" w:cs="Arial" w:eastAsia="Arial" w:hAnsi="Arial"/>
          <w:sz w:val="18"/>
          <w:szCs w:val="18"/>
          <w:color w:val="auto"/>
        </w:rPr>
      </w:pPr>
    </w:p>
    <w:p>
      <w:pPr>
        <w:ind w:left="1220" w:hanging="361"/>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applicable, the Conversion Rate and any adjustments to the Conversion Rate as a result of the Fundamental Change;</w:t>
      </w:r>
    </w:p>
    <w:p>
      <w:pPr>
        <w:spacing w:after="0" w:line="117" w:lineRule="exact"/>
        <w:rPr>
          <w:rFonts w:ascii="Arial" w:cs="Arial" w:eastAsia="Arial" w:hAnsi="Arial"/>
          <w:sz w:val="18"/>
          <w:szCs w:val="18"/>
          <w:color w:val="auto"/>
        </w:rPr>
      </w:pPr>
    </w:p>
    <w:p>
      <w:pPr>
        <w:ind w:left="440" w:firstLine="419"/>
        <w:spacing w:after="0" w:line="308" w:lineRule="auto"/>
        <w:tabs>
          <w:tab w:leader="none" w:pos="126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38" w:lineRule="exact"/>
        <w:rPr>
          <w:rFonts w:ascii="Arial" w:cs="Arial" w:eastAsia="Arial" w:hAnsi="Arial"/>
          <w:sz w:val="17"/>
          <w:szCs w:val="17"/>
          <w:color w:val="auto"/>
        </w:rPr>
      </w:pPr>
    </w:p>
    <w:p>
      <w:pPr>
        <w:ind w:left="1160" w:hanging="301"/>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Notes.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No failure of the Company to give the foregoing notices and no defect therein shall limit the Holders’ repurchase rights or affect the validity of the proceedings for the repurchase of the Notes pursuant to this Section 14.02. Notwithstanding the foregoing, the Company will not be required to repurchase, or to make an offer to repurchase, the Notes upon a Fundamental Change if a third party makes such an offer in the same manner, at the same time and otherwise in compliance with the requirements for an offer made by the Company as set forth above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7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Notwithstanding the foregoing, the Company will not be required to give such notice or repurchase the Notes as described above upon a Fundamental Change pursuant to clause (b) of the definition thereof (or a Fundamental Change pursuant to clause (b) which also results in a Fundamental Change pursuant to clause (a)) if (1) such Fundamental Change results in the Notes becoming convertible (pursuant to the provisions described in Section 13.07) into an amount of cash per Note (which is a fixed aggregate amount of cash that is required to be delivered upon conversion under the supplemental indenture for such Fundamental Change, excluding any cash payable as a result of any election of a Cash Percentage or cash paid in lieu of fractional shares) that is greater than the Fundamental Change Repurchase Price (assuming the maximum amount of accrued interest would be payable based on the latest possible Fundamental Change Repurchase Date) and (2) the Company provides timely notice of the Holders’ right to convert their Notes based on such Fundamental Change as described under Section 13.01.</w:t>
      </w:r>
    </w:p>
    <w:p>
      <w:pPr>
        <w:spacing w:after="0" w:line="165"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 xml:space="preserve">At the Company’s request, the Trustee shall give such notice in the Company’s name and at the Company’s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all cases, the text of such Fundamental Change Company Notice shall be prepared by the Company and such request is made by the Company at least five (5) Business Days (or such shorter period as may be agreed to by the Trustee) prior to the date such notice is required to be sent to Holders.</w:t>
      </w:r>
    </w:p>
    <w:p>
      <w:pPr>
        <w:spacing w:after="0" w:line="149" w:lineRule="exact"/>
        <w:rPr>
          <w:sz w:val="20"/>
          <w:szCs w:val="20"/>
          <w:color w:val="auto"/>
        </w:rPr>
      </w:pPr>
    </w:p>
    <w:p>
      <w:pPr>
        <w:ind w:right="200" w:firstLine="987"/>
        <w:spacing w:after="0" w:line="259"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0"/>
          </w:cols>
          <w:pgMar w:left="440" w:top="274" w:right="519" w:bottom="1440" w:gutter="0" w:footer="0" w:header="0"/>
        </w:sectPr>
      </w:pPr>
    </w:p>
    <w:bookmarkStart w:id="73" w:name="page74"/>
    <w:bookmarkEnd w:id="7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canceled, and, upon such return or cancellation, as the case may be, the Fundamental Change Repurchase Notice with respect thereto shall be deemed to have been withdrawn.</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14.03 </w:t>
      </w:r>
      <w:r>
        <w:rPr>
          <w:rFonts w:ascii="Arial" w:cs="Arial" w:eastAsia="Arial" w:hAnsi="Arial"/>
          <w:sz w:val="17"/>
          <w:szCs w:val="17"/>
          <w:u w:val="single" w:color="auto"/>
          <w:color w:val="auto"/>
        </w:rPr>
        <w:t>Withdrawal of Fundamental Change Repurchase Notice</w:t>
      </w:r>
      <w:r>
        <w:rPr>
          <w:rFonts w:ascii="Arial" w:cs="Arial" w:eastAsia="Arial" w:hAnsi="Arial"/>
          <w:sz w:val="17"/>
          <w:szCs w:val="17"/>
          <w:color w:val="auto"/>
        </w:rPr>
        <w:t>. A Fundamental Change Repurchase Notice may be withdrawn (in whole or in part) by means of a written notice of withdrawal delivered to the Paying Agent in accordance with this Section 14.03 at any time prior to the close of business on the Business Day immediately preceding the Fundamental Change Repurchase Date, specifying:</w:t>
      </w:r>
    </w:p>
    <w:p>
      <w:pPr>
        <w:spacing w:after="0" w:line="57" w:lineRule="exact"/>
        <w:rPr>
          <w:sz w:val="20"/>
          <w:szCs w:val="20"/>
          <w:color w:val="auto"/>
        </w:rPr>
      </w:pPr>
    </w:p>
    <w:p>
      <w:pPr>
        <w:ind w:left="440" w:right="260" w:firstLine="948"/>
        <w:spacing w:after="0" w:line="277" w:lineRule="auto"/>
        <w:tabs>
          <w:tab w:leader="none" w:pos="16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principal amount of the Notes with respect to which such notice of withdrawal is being submitted, which must be $1,000 or an integral multiple thereof,</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Physical Notes have been issued, the certificate number of the Note in respect of which such notice of withdrawal is being</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submitted, and</w:t>
      </w:r>
    </w:p>
    <w:p>
      <w:pPr>
        <w:spacing w:after="0" w:line="102" w:lineRule="exact"/>
        <w:rPr>
          <w:rFonts w:ascii="Arial" w:cs="Arial" w:eastAsia="Arial" w:hAnsi="Arial"/>
          <w:sz w:val="17"/>
          <w:szCs w:val="17"/>
          <w:color w:val="auto"/>
        </w:rPr>
      </w:pPr>
    </w:p>
    <w:p>
      <w:pPr>
        <w:ind w:left="440" w:right="20" w:firstLine="948"/>
        <w:spacing w:after="0" w:line="277" w:lineRule="auto"/>
        <w:tabs>
          <w:tab w:leader="none" w:pos="17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principal amount, if any, of such Note that remains subject to the original Fundamental Change Repurchase Notice, which portion must be in principal amounts of $1,000 or an integral multiple of $1,000;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the Notes are Global Notes, the notice must comply with appropriate procedures of the Depositary.</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14.04 </w:t>
      </w:r>
      <w:r>
        <w:rPr>
          <w:rFonts w:ascii="Arial" w:cs="Arial" w:eastAsia="Arial" w:hAnsi="Arial"/>
          <w:sz w:val="16"/>
          <w:szCs w:val="16"/>
          <w:u w:val="single" w:color="auto"/>
          <w:color w:val="auto"/>
        </w:rPr>
        <w:t>Deposit of Fundamental Change Repurchase Price</w:t>
      </w:r>
      <w:r>
        <w:rPr>
          <w:rFonts w:ascii="Arial" w:cs="Arial" w:eastAsia="Arial" w:hAnsi="Arial"/>
          <w:sz w:val="16"/>
          <w:szCs w:val="16"/>
          <w:color w:val="auto"/>
        </w:rPr>
        <w:t>.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Holder has satisfied the conditions in Section 14.02) and (ii) the time of book-entry transfer or the delivery of such Note to the Trustee (or other Paying Agent appointed by the Company) by the Holder thereof in the manner required by Section 14.02 by mailing checks for the amount payable to the Holders of such Notes entitled thereto as they shall appear in the Note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72" w:lineRule="exact"/>
        <w:rPr>
          <w:sz w:val="20"/>
          <w:szCs w:val="20"/>
          <w:color w:val="auto"/>
        </w:rPr>
      </w:pPr>
    </w:p>
    <w:p>
      <w:pPr>
        <w:ind w:right="20" w:firstLine="987"/>
        <w:spacing w:after="0" w:line="270" w:lineRule="auto"/>
        <w:tabs>
          <w:tab w:leader="none" w:pos="1236"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in accordance with the provisions of this Indenture, (i) such Notes will cease to be outstanding, (ii) Special Interest, if and to the extent that any such accrued and unpaid Special Interest exists as of such date, will cease to accrue on such Notes (whether or not book-entry transfer of the Notes has been made or the Notes have been delivered to the Trustee or Paying Agent) and (iii) all other rights of the Holders of such Notes will terminate (other than (x) the right to receive the Fundamental Change Repurchase Price and (y) if the Fundamental Change Repurchase Date falls after a Special Interest Record Date but on or prior to the Special Interest Payment Date to which such Special Interest Record Date relates, the right of the Holder of record on such Special Interest Record Date to receive the related interest payment).</w:t>
      </w:r>
    </w:p>
    <w:p>
      <w:pPr>
        <w:spacing w:after="0" w:line="180" w:lineRule="exact"/>
        <w:rPr>
          <w:rFonts w:ascii="Arial" w:cs="Arial" w:eastAsia="Arial" w:hAnsi="Arial"/>
          <w:sz w:val="17"/>
          <w:szCs w:val="17"/>
          <w:color w:val="auto"/>
        </w:rPr>
      </w:pPr>
    </w:p>
    <w:p>
      <w:pPr>
        <w:ind w:right="180" w:firstLine="987"/>
        <w:spacing w:after="0" w:line="263"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surrender of a Note that is to be repurchased in part pursuant to Section 14.02, the Company shall execute and the Trustee shall authenticate and deliver to the Holder a new Note in an authorized denomination equal in principal amount to the unrepurchased portion of the Note surrendered.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74" w:name="page75"/>
    <w:bookmarkEnd w:id="74"/>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14.05 </w:t>
      </w:r>
      <w:r>
        <w:rPr>
          <w:rFonts w:ascii="Arial" w:cs="Arial" w:eastAsia="Arial" w:hAnsi="Arial"/>
          <w:sz w:val="18"/>
          <w:szCs w:val="18"/>
          <w:u w:val="single" w:color="auto"/>
          <w:color w:val="auto"/>
        </w:rPr>
        <w:t>Covenant to Comply with Applicable Laws Upon Repurchase of Notes</w:t>
      </w:r>
      <w:r>
        <w:rPr>
          <w:rFonts w:ascii="Arial" w:cs="Arial" w:eastAsia="Arial" w:hAnsi="Arial"/>
          <w:sz w:val="18"/>
          <w:szCs w:val="18"/>
          <w:color w:val="auto"/>
        </w:rPr>
        <w:t>. In connection with any repurchase upon a Fundamental Change, the Company shall, to the extent required</w:t>
      </w:r>
    </w:p>
    <w:p>
      <w:pPr>
        <w:spacing w:after="0" w:line="170" w:lineRule="exact"/>
        <w:rPr>
          <w:sz w:val="20"/>
          <w:szCs w:val="20"/>
          <w:color w:val="auto"/>
        </w:rPr>
      </w:pPr>
    </w:p>
    <w:p>
      <w:pPr>
        <w:ind w:left="1240" w:hanging="253"/>
        <w:spacing w:after="0"/>
        <w:tabs>
          <w:tab w:leader="none" w:pos="12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Regulation 14E under the Exchange Act, and with all other applicable laws;</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file a Schedule TO or any other schedules required under the Exchange Act or any other applicable laws; and</w:t>
      </w:r>
    </w:p>
    <w:p>
      <w:pPr>
        <w:spacing w:after="0" w:line="225" w:lineRule="exact"/>
        <w:rPr>
          <w:rFonts w:ascii="Arial" w:cs="Arial" w:eastAsia="Arial" w:hAnsi="Arial"/>
          <w:sz w:val="18"/>
          <w:szCs w:val="18"/>
          <w:color w:val="auto"/>
        </w:rPr>
      </w:pPr>
    </w:p>
    <w:p>
      <w:pPr>
        <w:ind w:right="220" w:firstLine="987"/>
        <w:spacing w:after="0" w:line="342" w:lineRule="auto"/>
        <w:tabs>
          <w:tab w:leader="none" w:pos="12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otherwise comply with all applicable United States federal and state securities laws in connection with any offer by the Company to repurchase the Notes; provided that the Fundamental Change Purchase Date shall be extended to the extent necessary for such compliance;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each case, so as to permit the rights and obligations under this Article XIV to be exercised in the time and in the manner specified in this Article XIV.</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OPTIONAL REDEMPTION</w:t>
      </w:r>
    </w:p>
    <w:p>
      <w:pPr>
        <w:spacing w:after="0" w:line="21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u w:val="single" w:color="auto"/>
          <w:color w:val="auto"/>
        </w:rPr>
        <w:t>Optional Redemption</w:t>
      </w:r>
      <w:r>
        <w:rPr>
          <w:rFonts w:ascii="Arial" w:cs="Arial" w:eastAsia="Arial" w:hAnsi="Arial"/>
          <w:sz w:val="17"/>
          <w:szCs w:val="17"/>
          <w:color w:val="auto"/>
        </w:rPr>
        <w:t>. No sinking fund is provided for the Notes. The Notes shall not be redeemable by the Company prior to March 6, 2024. On or after March 6, 2024, the Company may, at its option, redeem (an “</w:t>
      </w:r>
      <w:r>
        <w:rPr>
          <w:rFonts w:ascii="Arial" w:cs="Arial" w:eastAsia="Arial" w:hAnsi="Arial"/>
          <w:sz w:val="17"/>
          <w:szCs w:val="17"/>
          <w:b w:val="1"/>
          <w:bCs w:val="1"/>
          <w:color w:val="auto"/>
        </w:rPr>
        <w:t>Optional Redemption</w:t>
      </w:r>
      <w:r>
        <w:rPr>
          <w:rFonts w:ascii="Arial" w:cs="Arial" w:eastAsia="Arial" w:hAnsi="Arial"/>
          <w:sz w:val="17"/>
          <w:szCs w:val="17"/>
          <w:color w:val="auto"/>
        </w:rPr>
        <w:t>”) for cash all or any portion of the Notes,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second Trading Day immediately preceding the date on which the Company provides the Redemption Notice to the Holders of the Notes in accordance with Section 16.03.</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Notice of Optional Redemption; Selection of Notes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0" w:lineRule="auto"/>
        <w:tabs>
          <w:tab w:leader="none" w:pos="1236"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case the Company exercises its Optional Redemption right to redeem all or, as the case may be, any part of the Notes pursuant to Section 15.01, it shall fix a date for redemption (each, a “</w:t>
      </w:r>
      <w:r>
        <w:rPr>
          <w:rFonts w:ascii="Arial" w:cs="Arial" w:eastAsia="Arial" w:hAnsi="Arial"/>
          <w:sz w:val="17"/>
          <w:szCs w:val="17"/>
          <w:b w:val="1"/>
          <w:bCs w:val="1"/>
          <w:color w:val="auto"/>
        </w:rPr>
        <w:t>Redemption Date</w:t>
      </w:r>
      <w:r>
        <w:rPr>
          <w:rFonts w:ascii="Arial" w:cs="Arial" w:eastAsia="Arial" w:hAnsi="Arial"/>
          <w:sz w:val="17"/>
          <w:szCs w:val="17"/>
          <w:color w:val="auto"/>
        </w:rPr>
        <w:t>”) and it or, at its written request (containing the form of the Redemption Notice) received by the Trustee not less than 5 Business Days prior to the date such Redemption Notice is to be sent (or such shorter period of time as may be acceptable to the Trustee), the Trustee, in the name of and at the expense of the Company, shall deliver or cause to be delivered a written notice of such Optional Redemption (a “</w:t>
      </w:r>
      <w:r>
        <w:rPr>
          <w:rFonts w:ascii="Arial" w:cs="Arial" w:eastAsia="Arial" w:hAnsi="Arial"/>
          <w:sz w:val="17"/>
          <w:szCs w:val="17"/>
          <w:b w:val="1"/>
          <w:bCs w:val="1"/>
          <w:color w:val="auto"/>
        </w:rPr>
        <w:t>Redemption Notice</w:t>
      </w:r>
      <w:r>
        <w:rPr>
          <w:rFonts w:ascii="Arial" w:cs="Arial" w:eastAsia="Arial" w:hAnsi="Arial"/>
          <w:sz w:val="17"/>
          <w:szCs w:val="17"/>
          <w:color w:val="auto"/>
        </w:rPr>
        <w:t xml:space="preserve">”) not less than 30 nor more than 60 Scheduled Trading Days prior to the Redemption Date to the Trustee, the Conversion Agent (if other than the Trustee), the Paying Agent, and each Holder of Notes so to be redeemed as a whole or in part;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if the Company shall give such notice, it shall also give written notice of the Redemption Date to the Trustee. The Redemption Date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a Business Day. The Company may not specify a Redemption Date that falls on or after the 26th Scheduled Trading Day immediately preceding the Maturity Date.</w:t>
      </w:r>
    </w:p>
    <w:p>
      <w:pPr>
        <w:spacing w:after="0" w:line="180" w:lineRule="exact"/>
        <w:rPr>
          <w:rFonts w:ascii="Arial" w:cs="Arial" w:eastAsia="Arial" w:hAnsi="Arial"/>
          <w:sz w:val="17"/>
          <w:szCs w:val="17"/>
          <w:color w:val="auto"/>
        </w:rPr>
      </w:pPr>
    </w:p>
    <w:p>
      <w:pPr>
        <w:jc w:val="both"/>
        <w:ind w:right="20" w:firstLine="987"/>
        <w:spacing w:after="0" w:line="311" w:lineRule="auto"/>
        <w:tabs>
          <w:tab w:leader="none" w:pos="12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Redemption Notice, if delivered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Redemption Notice shall specify:</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40" w:right="400" w:firstLine="948"/>
        <w:spacing w:after="0" w:line="263" w:lineRule="auto"/>
        <w:tabs>
          <w:tab w:leader="none" w:pos="170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Note to be redeemed, and that Special Interest thereon, if any, shall cease to accrue on and after the Redemption Date unless the Company defaults in the payment of the Redemption Price;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440" w:top="274" w:right="519" w:bottom="1440" w:gutter="0" w:footer="0" w:header="0"/>
        </w:sectPr>
      </w:pPr>
    </w:p>
    <w:bookmarkStart w:id="75" w:name="page76"/>
    <w:bookmarkEnd w:id="75"/>
    <w:p>
      <w:pPr>
        <w:ind w:left="1700" w:hanging="312"/>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place or places where such Notes are to be surrendered for payment of the Redemption Price;</w:t>
      </w:r>
    </w:p>
    <w:p>
      <w:pPr>
        <w:spacing w:after="0" w:line="117" w:lineRule="exact"/>
        <w:rPr>
          <w:rFonts w:ascii="Arial" w:cs="Arial" w:eastAsia="Arial" w:hAnsi="Arial"/>
          <w:sz w:val="18"/>
          <w:szCs w:val="18"/>
          <w:color w:val="auto"/>
        </w:rPr>
      </w:pPr>
    </w:p>
    <w:p>
      <w:pPr>
        <w:jc w:val="both"/>
        <w:ind w:left="440" w:right="180" w:firstLine="948"/>
        <w:spacing w:after="0" w:line="259" w:lineRule="auto"/>
        <w:tabs>
          <w:tab w:leader="none" w:pos="16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Holders of Notes called for Optional Redemption may surrender their Notes for conversion at any time prior to the close of business on the second Scheduled Trading Day immediately preceding the Redemption Date unless the Company defaults in the payment of the Redemption Price, in which case such Holder will be entitled to convert such Note until the close of business on the Business Day immediately preceding the date on which the Redemption Price has been paid or duly provided for;</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procedures a converting Holder must follow to convert its Notes and the Cash Percentage;</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Conversion Rate and, if applicable, the number of Additional Shares added to the Conversion Rate in accordance with</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Section 13.03;</w:t>
      </w:r>
    </w:p>
    <w:p>
      <w:pPr>
        <w:spacing w:after="0" w:line="102" w:lineRule="exact"/>
        <w:rPr>
          <w:rFonts w:ascii="Arial" w:cs="Arial" w:eastAsia="Arial" w:hAnsi="Arial"/>
          <w:sz w:val="17"/>
          <w:szCs w:val="17"/>
          <w:color w:val="auto"/>
        </w:rPr>
      </w:pPr>
    </w:p>
    <w:p>
      <w:pPr>
        <w:ind w:left="1800" w:hanging="412"/>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CUSIP, ISIN or other similar numbers, if any, assigned to such Notes; and</w:t>
      </w:r>
    </w:p>
    <w:p>
      <w:pPr>
        <w:spacing w:after="0" w:line="117" w:lineRule="exact"/>
        <w:rPr>
          <w:rFonts w:ascii="Arial" w:cs="Arial" w:eastAsia="Arial" w:hAnsi="Arial"/>
          <w:sz w:val="18"/>
          <w:szCs w:val="18"/>
          <w:color w:val="auto"/>
        </w:rPr>
      </w:pPr>
    </w:p>
    <w:p>
      <w:pPr>
        <w:ind w:left="440" w:right="160" w:firstLine="948"/>
        <w:spacing w:after="0" w:line="263" w:lineRule="auto"/>
        <w:tabs>
          <w:tab w:leader="none" w:pos="169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$1,000 or a multiple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Redemption Notice shall be irrevocable.</w:t>
      </w:r>
    </w:p>
    <w:p>
      <w:pPr>
        <w:spacing w:after="0" w:line="225" w:lineRule="exact"/>
        <w:rPr>
          <w:sz w:val="20"/>
          <w:szCs w:val="20"/>
          <w:color w:val="auto"/>
        </w:rPr>
      </w:pPr>
    </w:p>
    <w:p>
      <w:pPr>
        <w:ind w:right="80" w:firstLine="1979"/>
        <w:spacing w:after="0" w:line="255" w:lineRule="auto"/>
        <w:tabs>
          <w:tab w:leader="none" w:pos="22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fewer than all of the outstanding Notes are to be redeemed, the Notes to be redeemed will be selected according to the Depositary’s applicable procedures, in the case of Notes represented by a Global Note, or, in the case of Notes represented by Physical Notes, the Company shall select, pro rata, by lot or in such manner as it shall deem appropriate and fair, Notes to be redeemed in whole or in part.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Payment of Notes Called for Optional Redemption</w:t>
      </w:r>
      <w:r>
        <w:rPr>
          <w:rFonts w:ascii="Arial" w:cs="Arial" w:eastAsia="Arial" w:hAnsi="Arial"/>
          <w:sz w:val="18"/>
          <w:szCs w:val="18"/>
          <w:color w:val="auto"/>
        </w:rPr>
        <w:t>.</w:t>
      </w:r>
    </w:p>
    <w:p>
      <w:pPr>
        <w:spacing w:after="0" w:line="225" w:lineRule="exact"/>
        <w:rPr>
          <w:sz w:val="20"/>
          <w:szCs w:val="20"/>
          <w:color w:val="auto"/>
        </w:rPr>
      </w:pPr>
    </w:p>
    <w:p>
      <w:pPr>
        <w:jc w:val="both"/>
        <w:ind w:right="240" w:firstLine="987"/>
        <w:spacing w:after="0" w:line="259" w:lineRule="auto"/>
        <w:tabs>
          <w:tab w:leader="none" w:pos="12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any Redemption Notice has been given in respect of the Notes in accordance with Section 15.02,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186" w:lineRule="exact"/>
        <w:rPr>
          <w:rFonts w:ascii="Arial" w:cs="Arial" w:eastAsia="Arial" w:hAnsi="Arial"/>
          <w:sz w:val="18"/>
          <w:szCs w:val="18"/>
          <w:color w:val="auto"/>
        </w:rPr>
      </w:pPr>
    </w:p>
    <w:p>
      <w:pPr>
        <w:ind w:firstLine="987"/>
        <w:spacing w:after="0" w:line="255" w:lineRule="auto"/>
        <w:tabs>
          <w:tab w:leader="none" w:pos="12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92"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Restrictions on Redemption</w:t>
      </w:r>
      <w:r>
        <w:rPr>
          <w:rFonts w:ascii="Arial" w:cs="Arial" w:eastAsia="Arial" w:hAnsi="Arial"/>
          <w:sz w:val="16"/>
          <w:szCs w:val="16"/>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Provisions Binding on Company’s Successors</w:t>
      </w:r>
      <w:r>
        <w:rPr>
          <w:rFonts w:ascii="Arial" w:cs="Arial" w:eastAsia="Arial" w:hAnsi="Arial"/>
          <w:sz w:val="18"/>
          <w:szCs w:val="18"/>
          <w:color w:val="auto"/>
        </w:rPr>
        <w:t>. All the covenants, stipulations, promises and agreements of the Company contained in this Indenture shall bind its successors and assigns whether so expressed or not.</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Official Acts by Successor Corporation</w:t>
      </w:r>
      <w:r>
        <w:rPr>
          <w:rFonts w:ascii="Arial" w:cs="Arial" w:eastAsia="Arial" w:hAnsi="Arial"/>
          <w:sz w:val="17"/>
          <w:szCs w:val="17"/>
          <w:color w:val="auto"/>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6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Addresses for Notices, Etc</w:t>
      </w:r>
      <w:r>
        <w:rPr>
          <w:rFonts w:ascii="Arial" w:cs="Arial" w:eastAsia="Arial" w:hAnsi="Arial"/>
          <w:sz w:val="18"/>
          <w:szCs w:val="18"/>
          <w:color w:val="auto"/>
        </w:rPr>
        <w:t>. Any notice or demand that by any provision of this Indenture is required or permitted to be given or served by the Trustee or by the Holders on the Company shall be deemed to have been sufficiently given or made, for all purposes if made in writing and delivered (i) by hand (in which case notice shall be effective upon delivery), (ii) by facsimile (in which case notice shall be effective upon receipt of confirmation of good transmission thereof) or (iii) by overnight delivery by a nationally recognized courier service (in which case such notice shall be effective on the Business Day immediately after being deposited with such courier service) addressed (until another address is filed by the Company with the Trustee) to Dropbox, Inc., 1800 Owens Street, San Francisco, CA 94158, Attention: Legal Department. Any notice, direction, request or demand hereunder to or upon the Trustee shall be deemed to have been sufficiently given or made upon receipt by the Trustee at its Corporate Trust Office.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Any notice or communication mailed to a Holder of a Physical Note shall be mailed to it by first class mail, postage prepaid, at its address as it appears on the Note Register and shall be sufficiently given to it if so mailed within the time prescribed; provided that, notwithstanding anything to the contrary herein, notices given to Holders of Global Notes may be given electronically through the facilities of the Depositary.</w:t>
      </w:r>
    </w:p>
    <w:p>
      <w:pPr>
        <w:spacing w:after="0" w:line="16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Failure to mail or give a notice or communication to a Holder or any defect in it shall not affect its sufficiency with respect to other Holders. If a notice or communication is given in the manner provided above, it is duly given, whether or not the addressee receives it.</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impracticable to give such notice to Holders of Physical Notes by mail, then such notification as shall be made with the approval of the Trustee shall constitute a sufficient notification for every purpose hereunder.</w:t>
      </w:r>
    </w:p>
    <w:p>
      <w:pPr>
        <w:spacing w:after="0" w:line="18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INDENTURE AND EACH NOTE, AND ANY CLAIM, CONTROVERSY OR DISPUTE ARISING UNDER OR RELATED TO THIS INDENTURE AND EACH NOTE, SHALL BE GOVERNED BY, AND CONSTRUED IN ACCORDANCE WITH, THE LAWS OF THE STATE OF NEW YORK.</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8"/>
          <w:szCs w:val="18"/>
          <w:i w:val="1"/>
          <w:iCs w:val="1"/>
          <w:color w:val="auto"/>
        </w:rPr>
        <w:t>in personam</w:t>
      </w:r>
      <w:r>
        <w:rPr>
          <w:rFonts w:ascii="Arial" w:cs="Arial" w:eastAsia="Arial" w:hAnsi="Arial"/>
          <w:sz w:val="18"/>
          <w:szCs w:val="18"/>
          <w:color w:val="auto"/>
        </w:rPr>
        <w:t>, generally and unconditionally with respect to any action, suit or proceeding for itself in respect of its properties, assets and revenues.</w:t>
      </w:r>
    </w:p>
    <w:p>
      <w:pPr>
        <w:spacing w:after="0" w:line="19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or the Notes brought in the courts of the State of New York or the courts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0" w:right="459" w:bottom="1440" w:gutter="0" w:footer="0" w:header="0"/>
        </w:sectPr>
      </w:pPr>
    </w:p>
    <w:bookmarkStart w:id="77" w:name="page78"/>
    <w:bookmarkEnd w:id="77"/>
    <w:p>
      <w:pPr>
        <w:jc w:val="both"/>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4" w:lineRule="exact"/>
        <w:rPr>
          <w:sz w:val="20"/>
          <w:szCs w:val="20"/>
          <w:color w:val="auto"/>
        </w:rPr>
      </w:pPr>
    </w:p>
    <w:p>
      <w:pPr>
        <w:ind w:right="380" w:firstLine="440"/>
        <w:spacing w:after="0" w:line="259" w:lineRule="auto"/>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Evidence of Compliance with Conditions Precedent; Certificates and Opinions of Counsel to Trustee</w:t>
      </w:r>
      <w:r>
        <w:rPr>
          <w:rFonts w:ascii="Arial" w:cs="Arial" w:eastAsia="Arial" w:hAnsi="Arial"/>
          <w:sz w:val="18"/>
          <w:szCs w:val="18"/>
          <w:color w:val="auto"/>
        </w:rPr>
        <w:t>. Upon any application or demand by the Company to the Trustee to take any action under any of the provisions of this Indenture, the Company shall furnish to the Trustee an Officer’s Certificate and Opinion of Counsel stating that such action is permitted by the terms of this Indenture and all covenants and conditions precedent to such action have been satisfied.</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or opinion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all conditions precedent provided for in this Indenture have been complied with and whether or not such action is permitted by this Indenture; and (d) a statement as to whether or not, in the judgment of such person, such action is permitted by this Indenture and that all conditions precedent thereto have been complied with.</w:t>
      </w:r>
    </w:p>
    <w:p>
      <w:pPr>
        <w:spacing w:after="0" w:line="19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Legal Holidays</w:t>
      </w:r>
      <w:r>
        <w:rPr>
          <w:rFonts w:ascii="Arial" w:cs="Arial" w:eastAsia="Arial" w:hAnsi="Arial"/>
          <w:sz w:val="18"/>
          <w:szCs w:val="18"/>
          <w:color w:val="auto"/>
        </w:rPr>
        <w:t>. In any case where any Special Interest Payment Date, Fundamental Change Repurchase Date or Maturity Date is not a Business Day, then any action to be taken on such date need not be taken on such date, but may be taken on the next succeeding Business Day with the same force and effect as if taken on such date, and no Special Interest, if and to the extent any Special Interest is otherwise payable on such date, shall accrue in respect of the delay.</w:t>
      </w:r>
    </w:p>
    <w:p>
      <w:pPr>
        <w:spacing w:after="0" w:line="187"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 xml:space="preserve">Section 16.07 </w:t>
      </w:r>
      <w:r>
        <w:rPr>
          <w:rFonts w:ascii="Arial" w:cs="Arial" w:eastAsia="Arial" w:hAnsi="Arial"/>
          <w:sz w:val="16"/>
          <w:szCs w:val="16"/>
          <w:u w:val="single" w:color="auto"/>
          <w:color w:val="auto"/>
        </w:rPr>
        <w:t>No Security Interest Created</w:t>
      </w:r>
      <w:r>
        <w:rPr>
          <w:rFonts w:ascii="Arial" w:cs="Arial" w:eastAsia="Arial" w:hAnsi="Arial"/>
          <w:sz w:val="16"/>
          <w:szCs w:val="16"/>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2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16.08 </w:t>
      </w:r>
      <w:r>
        <w:rPr>
          <w:rFonts w:ascii="Arial" w:cs="Arial" w:eastAsia="Arial" w:hAnsi="Arial"/>
          <w:sz w:val="17"/>
          <w:szCs w:val="17"/>
          <w:u w:val="single" w:color="auto"/>
          <w:color w:val="auto"/>
        </w:rPr>
        <w:t>Benefits of Indenture</w:t>
      </w:r>
      <w:r>
        <w:rPr>
          <w:rFonts w:ascii="Arial" w:cs="Arial" w:eastAsia="Arial" w:hAnsi="Arial"/>
          <w:sz w:val="17"/>
          <w:szCs w:val="17"/>
          <w:color w:val="auto"/>
        </w:rPr>
        <w:t>. Nothing in this Indenture or in the Notes, expressed or implied, shall give to any Person, other than the Holders, the parties hereto, any Paying Agent, any Conversion Agent, any authenticating agent, any Note Registrar, any Bid Solicitation Agent and their respective successors hereunder, any benefit or any legal or equitable right, remedy or claim under this Indenture.</w:t>
      </w:r>
    </w:p>
    <w:p>
      <w:pPr>
        <w:spacing w:after="0" w:line="16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8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16.10 </w:t>
      </w:r>
      <w:r>
        <w:rPr>
          <w:rFonts w:ascii="Arial" w:cs="Arial" w:eastAsia="Arial" w:hAnsi="Arial"/>
          <w:sz w:val="17"/>
          <w:szCs w:val="17"/>
          <w:u w:val="single" w:color="auto"/>
          <w:color w:val="auto"/>
        </w:rPr>
        <w:t>Authenticating Agent</w:t>
      </w:r>
      <w:r>
        <w:rPr>
          <w:rFonts w:ascii="Arial" w:cs="Arial" w:eastAsia="Arial" w:hAnsi="Arial"/>
          <w:sz w:val="17"/>
          <w:szCs w:val="17"/>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14.04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7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16.10, without the execution or filing of any paper or any further act on the part of the parties hereto or the authenticating agent or such successor corporation or other entity.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78" w:name="page79"/>
    <w:bookmarkEnd w:id="78"/>
    <w:p>
      <w:pPr>
        <w:ind w:right="1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 in accordance with Section 16.03.</w:t>
      </w:r>
    </w:p>
    <w:p>
      <w:pPr>
        <w:spacing w:after="0" w:line="17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0"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The provisions of Section 7.02, Section 7.03, Section 7.04, Section 7.06, Section 8.03 and this Section 16.10 shall be applicable to any authenticating agent.</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If an authenticating agent is appointed pursuant to this Section 16.10, the Notes may have endorsed thereon, in addition to the Trustee’s certificate of authentication, an alternative certificate of authentication in the following form:</w:t>
      </w:r>
    </w:p>
    <w:p>
      <w:pPr>
        <w:spacing w:after="0" w:line="197"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-10160</wp:posOffset>
            </wp:positionV>
            <wp:extent cx="23418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4188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Authenticating Agent, certifies that this is one of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Notes described in the within-named Indenture.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16.11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the Trustee is under no obligation to agree to accept electronic signatures in any form or in any format unless expressly agreed to by the Trustee pursuant to reasonable procedures approved by the Trustee.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74"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6"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AND THE TRUSTEE HEREBY IRREVOCABLY WAIVES (AND EACH HOLDER, BY ITS ACCEPTANCE OF A NOTE OR A BENEFICIAL INTEREST IN A GLOBAL NOTE, SHALL BE DEEMED TO HAVE WAIVED), TO THE FULLEST EXTENT PERMITTED BY APPLICABLE LAW, ANY AND ALL RIGHT TO TRIAL BY JURY IN ANY LEGAL PROCEEDING ARISING OUT OF OR RELATING TO THIS INDENTURE, THE NOTES OR THE TRANSACTIONS CONTEMPLATED HEREBY.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9" w:name="page80"/>
    <w:bookmarkEnd w:id="79"/>
    <w:p>
      <w:pPr>
        <w:jc w:val="both"/>
        <w:ind w:right="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16.14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6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16.15 </w:t>
      </w:r>
      <w:r>
        <w:rPr>
          <w:rFonts w:ascii="Arial" w:cs="Arial" w:eastAsia="Arial" w:hAnsi="Arial"/>
          <w:sz w:val="16"/>
          <w:szCs w:val="16"/>
          <w:u w:val="single" w:color="auto"/>
          <w:color w:val="auto"/>
        </w:rPr>
        <w:t>Calculations</w:t>
      </w:r>
      <w:r>
        <w:rPr>
          <w:rFonts w:ascii="Arial" w:cs="Arial" w:eastAsia="Arial" w:hAnsi="Arial"/>
          <w:sz w:val="16"/>
          <w:szCs w:val="16"/>
          <w:color w:val="auto"/>
        </w:rPr>
        <w:t>. The Company shall be responsible for making all calculations called for under this Indenture and the Notes. These calculations include, but are not limited to, determinations of the Stock Price, the Last Reported Sale Prices of the Common Stock, the Trading Prices, the Daily VWAPs, the Daily Conversion Values, the Redemption Price, the Conversion Price, the Daily Settlement Amounts, the Daily Net Settlement Amounts, any accrued Special Interest payable on the Notes, and the Conversion Rate of the Notes, including adjustment to the Conversion Price and Conversion Rate.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Company will forward its calculations to any Holder of Notes upon the written request of that Holder at the sole cost and expense of the Company.</w:t>
      </w:r>
    </w:p>
    <w:p>
      <w:pPr>
        <w:spacing w:after="0" w:line="165"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Section 16.16 </w:t>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and no such indenture or loan or debt agreement may be used to interpret this Indenture.</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16.17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parties hereto acknowledge that in accordance with Section 326 of the U.S.A. Patriot Act, the Trustee (in all of its capacities),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Timothy Regan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Timothy Regan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Brad Silicani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Brad Silicani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A. Jason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A. Jason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580"/>
          </w:cols>
          <w:pgMar w:left="880" w:top="274"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FACE OF NOTE]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[INCLUDE FOLLOWING LEGEND IF A GLOBAL NOTE]</w:t>
      </w:r>
    </w:p>
    <w:p>
      <w:pPr>
        <w:spacing w:after="0" w:line="225"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[INCLUDE FOLLOWING LEGEND IF A RESTRICTED SECURITY]</w:t>
      </w:r>
    </w:p>
    <w:p>
      <w:pPr>
        <w:spacing w:after="0" w:line="225"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87" w:lineRule="exact"/>
        <w:rPr>
          <w:sz w:val="20"/>
          <w:szCs w:val="20"/>
          <w:color w:val="auto"/>
        </w:rPr>
      </w:pPr>
    </w:p>
    <w:p>
      <w:pPr>
        <w:ind w:left="4" w:right="140" w:firstLine="436"/>
        <w:spacing w:after="0" w:line="263" w:lineRule="auto"/>
        <w:tabs>
          <w:tab w:leader="none" w:pos="6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83" w:lineRule="exact"/>
        <w:rPr>
          <w:rFonts w:ascii="Arial" w:cs="Arial" w:eastAsia="Arial" w:hAnsi="Arial"/>
          <w:sz w:val="18"/>
          <w:szCs w:val="18"/>
          <w:color w:val="auto"/>
        </w:rPr>
      </w:pPr>
    </w:p>
    <w:p>
      <w:pPr>
        <w:ind w:left="4" w:right="500" w:firstLine="436"/>
        <w:spacing w:after="0" w:line="274" w:lineRule="auto"/>
        <w:tabs>
          <w:tab w:leader="none" w:pos="699" w:val="left"/>
        </w:tabs>
        <w:numPr>
          <w:ilvl w:val="1"/>
          <w:numId w:val="86"/>
        </w:numPr>
        <w:rPr>
          <w:rFonts w:ascii="Arial" w:cs="Arial" w:eastAsia="Arial" w:hAnsi="Arial"/>
          <w:sz w:val="17"/>
          <w:szCs w:val="17"/>
          <w:color w:val="auto"/>
        </w:rPr>
      </w:pPr>
      <w:r>
        <w:rPr>
          <w:rFonts w:ascii="Arial" w:cs="Arial" w:eastAsia="Arial" w:hAnsi="Arial"/>
          <w:sz w:val="17"/>
          <w:szCs w:val="17"/>
          <w:color w:val="auto"/>
        </w:rPr>
        <w:t>AGREES FOR THE BENEFIT OF DROPBOX, INC. (THE “COMPANY”) THAT IT WILL NOT OFFER, SELL, PLEDGE OR OTHERWISE TRANSFER THIS SECURITY OR ANY BENEFICIAL INTEREST HEREIN PRIOR TO THE DATE THAT IS THE LATER OF</w:t>
      </w:r>
    </w:p>
    <w:p>
      <w:pPr>
        <w:ind w:left="4" w:right="20" w:hanging="4"/>
        <w:spacing w:after="0" w:line="255" w:lineRule="auto"/>
        <w:tabs>
          <w:tab w:leader="none" w:pos="299"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81" w:lineRule="exact"/>
        <w:rPr>
          <w:rFonts w:ascii="Arial" w:cs="Arial" w:eastAsia="Arial" w:hAnsi="Arial"/>
          <w:sz w:val="18"/>
          <w:szCs w:val="18"/>
          <w:color w:val="auto"/>
        </w:rPr>
      </w:pPr>
    </w:p>
    <w:p>
      <w:pPr>
        <w:ind w:left="1164" w:hanging="301"/>
        <w:spacing w:after="0"/>
        <w:tabs>
          <w:tab w:leader="none" w:pos="1164" w:val="left"/>
        </w:tabs>
        <w:numPr>
          <w:ilvl w:val="2"/>
          <w:numId w:val="87"/>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1144" w:hanging="281"/>
        <w:spacing w:after="0"/>
        <w:tabs>
          <w:tab w:leader="none" w:pos="1144" w:val="left"/>
        </w:tabs>
        <w:numPr>
          <w:ilvl w:val="2"/>
          <w:numId w:val="87"/>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28" w:lineRule="exact"/>
        <w:rPr>
          <w:rFonts w:ascii="Arial" w:cs="Arial" w:eastAsia="Arial" w:hAnsi="Arial"/>
          <w:sz w:val="17"/>
          <w:szCs w:val="17"/>
          <w:color w:val="auto"/>
        </w:rPr>
      </w:pPr>
    </w:p>
    <w:p>
      <w:pPr>
        <w:ind w:left="1144" w:hanging="281"/>
        <w:spacing w:after="0"/>
        <w:tabs>
          <w:tab w:leader="none" w:pos="1144" w:val="left"/>
        </w:tabs>
        <w:numPr>
          <w:ilvl w:val="2"/>
          <w:numId w:val="87"/>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17" w:lineRule="exact"/>
        <w:rPr>
          <w:rFonts w:ascii="Arial" w:cs="Arial" w:eastAsia="Arial" w:hAnsi="Arial"/>
          <w:sz w:val="18"/>
          <w:szCs w:val="18"/>
          <w:color w:val="auto"/>
        </w:rPr>
      </w:pPr>
    </w:p>
    <w:p>
      <w:pPr>
        <w:ind w:left="444" w:right="20" w:firstLine="419"/>
        <w:spacing w:after="0" w:line="277" w:lineRule="auto"/>
        <w:tabs>
          <w:tab w:leader="none" w:pos="1162" w:val="left"/>
        </w:tabs>
        <w:numPr>
          <w:ilvl w:val="2"/>
          <w:numId w:val="87"/>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jc w:val="both"/>
        <w:ind w:left="4" w:right="220" w:firstLine="440"/>
        <w:spacing w:after="0" w:line="275" w:lineRule="auto"/>
        <w:rPr>
          <w:sz w:val="20"/>
          <w:szCs w:val="20"/>
          <w:color w:val="auto"/>
        </w:rPr>
      </w:pPr>
      <w:r>
        <w:rPr>
          <w:rFonts w:ascii="Arial" w:cs="Arial" w:eastAsia="Arial" w:hAnsi="Arial"/>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70" w:right="439" w:bottom="1440" w:gutter="0" w:footer="0" w:header="0"/>
        </w:sectPr>
      </w:pPr>
    </w:p>
    <w:bookmarkStart w:id="82" w:name="page83"/>
    <w:bookmarkEnd w:id="8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ITS ACQUISITION OF THIS SECURITY, THE HOLDER HEREOF WILL BE DEEMED TO HAVE REPRESENTED AND WARRANTED THAT EITHER (1) NO PORTION OF THE ASSETS USED BY SUCH HOLDER TO ACQUIRE OR HOLD THIS SECURITY CONSTITUTES THE ASSETS OF (A) AN EMPLOYEE BENEFIT PLAN THAT IS SUBJECT TO TITLE I OF THE U.S. EMPLOYEE RETIREMENT INCOME SECURITY ACT OF 1974, AS AMENDED (“ERISA”), (B) A PLAN, INDIVIDUAL RETIREMENT ACCOUNT OR OTHER ARRANGEMENT THAT IS SUBJECT TO SECTION 4975 OF THE U.S. INTERNAL REVENUE CODE OF 1986, AS AMENDED (THE “CODE”), OR PROVISIONS UNDER ANY OTHER U.S. OR NON-U.S. FEDERAL, STATE, LOCAL, NON-U.S. OR OTHER LAWS OR REGULATIONS THAT ARE SIMILAR TO SUCH PROVISIONS OF ERISA OR THE CODE (“COLLECTIVELY, SIMILAR LAWS”), OR OF AN ENTITY WHOSE UNDERLYING ASSETS ARE CONSIDERED TO INCLUDE “PLAN ASSETS” OF ANY SUCH PLAN, ACCOUNT OR ARRANGEMENT, OR (2) THE ACQUISITION, HOLDING AND SUBSEQUENT DISPOSITION OR CONVERSION OF THIS SECURITY DOES NOT AND WILL NOT CONSTITUTE A NON-EXEMPT PROHIBITED TRANSACTION UNDER SECTION 406 OF ERISA OR SECTION 4975 OF THE CODE OR A SIMILAR VIOLATION UNDER ANY APPLICABLE SIMILAR LAWS.]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440" w:top="274" w:right="5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 Convertible Senior Note due 2026</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No. [</w:t>
        <w:tab/>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CUSIP No. 26210C AA2</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ISIN No. US26210CAA27</w:t>
      </w:r>
    </w:p>
    <w:p>
      <w:pPr>
        <w:spacing w:after="0" w:line="207"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Dropbox, Inc., a corporation duly organized and validly existing under the laws of the State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 other entity under the Indenture referred to on the reverse hereof), for value received hereby promises to pay to CEDE &amp; CO., or registered assigns, the principal sum as set forth in the “Schedule of Increases and Decreases in Global Note” attached hereto, which amount, taken together with the principal amounts of all other outstanding Notes, shall not, unless permitted by the Indenture, exceed $653,000,000 in aggregate at any time, in accordance with the rules and procedures of the Depositary, on March 1, 2026, and interest thereon as set forth below.</w:t>
      </w:r>
    </w:p>
    <w:p>
      <w:pPr>
        <w:spacing w:after="0" w:line="1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This Note shall bear no regular cash interest, and the principal amount of this Note shall not accrete. Any interest on this Note shall be computed on the basis of a 360-day year composed of twelve 30-day months and, for partial months, on the basis of actual days elapsed over a 30-day month. Any Special Interest is payable semi-annually in arrears on each March 1 and September 1, commencing on September 1, 2021 (if Special Interest is then payable), to Holders of record at the close of business on the preceding February 15 and August 15 (whether or not such day is a Business Day), respectively. Any Special Interest will be payable as set forth in Section 4.06(d), Section 4.06(e) and Section 6.03 of the within-mentioned Indenture, and any reference to interest on, or in respect of, any Note therein shall be deemed to refer solely to Special Interest if, in such context, Special Interest is, was or would be payable pursuant to any of such Section 4.06(d), Section 4.06(e) or Section 6.03 or any interest on any Defaulted Amounts payable as set forth in Section 2.03(c) in the within-mentioned Indenture.</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Any Defaulted Amounts shall not accrue interest unless Special Interest was payable on the required payment date, in which case such Defaulted Amounts representing Special Interest shall accrue interest per annum at the then-applicable Special Interest rate, from, and including, such relevant payment date to, but excluding, the date on which such Defaulted Amounts shall have been paid by the Company, at its election, in accordance with Section 2.03(c) of the Indenture.</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Company shall pay the principal of and interest, if any, on this Note, if and so long as such Note is a Global Note, in immediately available funds in lawful money of the United States at the time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where Notes may be presented for payment or for registration of transfer and exchange.</w:t>
      </w:r>
    </w:p>
    <w:p>
      <w:pPr>
        <w:spacing w:after="0" w:line="19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83"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40" w:top="274" w:right="499" w:bottom="1440" w:gutter="0" w:footer="0" w:header="0"/>
        </w:sectPr>
      </w:pPr>
    </w:p>
    <w:bookmarkStart w:id="84" w:name="page85"/>
    <w:bookmarkEnd w:id="8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shall not be valid or become obligatory for any purpose until the certificate of authentication hereon shall have been manually or electronically signed by the Trustee or a duly authorized authenticating agent under the Indenture.</w:t>
      </w:r>
    </w:p>
    <w:p>
      <w:pPr>
        <w:spacing w:after="0" w:line="17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440"/>
          </w:cols>
          <w:pgMar w:left="440" w:top="274" w:right="101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DROPBOX,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certifies that this is one of the Notes described in the within-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019"/>
          </w:cols>
          <w:pgMar w:left="440" w:top="274"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 Convertible Senior Note due 2026</w:t>
      </w:r>
    </w:p>
    <w:p>
      <w:pPr>
        <w:spacing w:after="0" w:line="20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This Note is one of a duly authorized issue of Notes of the Company, designated as its 0% Convertible Senior Notes due 2026 (the “</w:t>
      </w:r>
      <w:r>
        <w:rPr>
          <w:rFonts w:ascii="Arial" w:cs="Arial" w:eastAsia="Arial" w:hAnsi="Arial"/>
          <w:sz w:val="17"/>
          <w:szCs w:val="17"/>
          <w:b w:val="1"/>
          <w:bCs w:val="1"/>
          <w:color w:val="auto"/>
        </w:rPr>
        <w:t>Notes</w:t>
      </w:r>
      <w:r>
        <w:rPr>
          <w:rFonts w:ascii="Arial" w:cs="Arial" w:eastAsia="Arial" w:hAnsi="Arial"/>
          <w:sz w:val="17"/>
          <w:szCs w:val="17"/>
          <w:color w:val="auto"/>
        </w:rPr>
        <w:t>”), in an initial aggregate principal amount of $653,000,000 all issued or to be issued under and pursuant to an Indenture dated as of February 26, 2021 (as amended or supplemented from time to time in accordance with its terms,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U.S. Bank National Association (the “</w:t>
      </w:r>
      <w:r>
        <w:rPr>
          <w:rFonts w:ascii="Arial" w:cs="Arial" w:eastAsia="Arial" w:hAnsi="Arial"/>
          <w:sz w:val="17"/>
          <w:szCs w:val="17"/>
          <w:b w:val="1"/>
          <w:bCs w:val="1"/>
          <w:color w:val="auto"/>
        </w:rPr>
        <w:t>Trustee</w:t>
      </w:r>
      <w:r>
        <w:rPr>
          <w:rFonts w:ascii="Arial" w:cs="Arial" w:eastAsia="Arial" w:hAnsi="Arial"/>
          <w:sz w:val="17"/>
          <w:szCs w:val="17"/>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76"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In case certain Events of Default shall have occurred and be continuing, the principal of, and Special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65"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Subject to the terms and conditions of the Indenture, the Company will make all payments and deliveries in respect of the Redemption Price on any Redemption Date,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57"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9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No reference herein to the Indenture and no provision of this Note or of the Indenture shall alter or impair the obligation of the Company, which is absolute and unconditional, to pay or deliver, as the case may be, the principal (including the Redemption Price and the Fundamental Change Repurchase Price, if applicable) of, any accrued and unpaid Special Interest on, and the consideration due upon conversion of, this Note at the place, at the respective times, at the rate and in the lawful money or shares of Common Stock, as the case may be, herein prescribed.</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9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Notes shall be redeemable at the Company’s option on or after March 6, 2024, in accordance with the terms and subject to the conditions specified in the Indenture. No sinking fund is provided for the Notes.</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Upon the occurrence of a Fundamental Change prior to the Maturity Date, the Holder has the right, at such Holder’s option exercised in the manner specified in the Indenture,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0980"/>
          </w:cols>
          <w:pgMar w:left="440" w:top="274" w:right="479" w:bottom="1440" w:gutter="0" w:footer="0" w:header="0"/>
        </w:sectPr>
      </w:pPr>
    </w:p>
    <w:bookmarkStart w:id="87" w:name="page88"/>
    <w:bookmarkEnd w:id="87"/>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at the Company’s election, cash or a combination of cash and shares of Common Stock, as applicable, as set forth in the Indenture at the Conversion Rate specified in the Indenture and as adjusted from time to time as provided in the Indenture.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R-2</w:t>
      </w:r>
    </w:p>
    <w:p>
      <w:pPr>
        <w:sectPr>
          <w:pgSz w:w="11900" w:h="16838" w:orient="portrait"/>
          <w:cols w:equalWidth="0" w:num="1">
            <w:col w:w="10920"/>
          </w:cols>
          <w:pgMar w:left="440" w:top="274" w:right="539" w:bottom="1440" w:gutter="0" w:footer="0" w:header="0"/>
        </w:sectPr>
      </w:pPr>
    </w:p>
    <w:bookmarkStart w:id="88" w:name="page89"/>
    <w:bookmarkEnd w:id="88"/>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225" w:lineRule="exact"/>
        <w:rPr>
          <w:sz w:val="20"/>
          <w:szCs w:val="20"/>
          <w:color w:val="auto"/>
        </w:rPr>
      </w:pPr>
    </w:p>
    <w:p>
      <w:pPr>
        <w:ind w:right="4760"/>
        <w:spacing w:after="0" w:line="519" w:lineRule="auto"/>
        <w:rPr>
          <w:sz w:val="20"/>
          <w:szCs w:val="20"/>
          <w:color w:val="auto"/>
        </w:rPr>
      </w:pPr>
      <w:r>
        <w:rPr>
          <w:rFonts w:ascii="Arial" w:cs="Arial" w:eastAsia="Arial" w:hAnsi="Arial"/>
          <w:sz w:val="16"/>
          <w:szCs w:val="16"/>
          <w:color w:val="auto"/>
        </w:rPr>
        <w:t>JT TEN = joint tenants with right of survivorship and not as tenants in common Additional abbreviations may also be used though not in the above list.</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0480"/>
          </w:cols>
          <w:pgMar w:left="440" w:top="274" w:right="9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INCREASES AND DECREASES OF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 Convertible Senior Notes due 2026</w:t>
      </w:r>
    </w:p>
    <w:p>
      <w:pPr>
        <w:spacing w:after="0" w:line="211" w:lineRule="exact"/>
        <w:rPr>
          <w:sz w:val="20"/>
          <w:szCs w:val="20"/>
          <w:color w:val="auto"/>
        </w:rPr>
      </w:pPr>
    </w:p>
    <w:p>
      <w:pPr>
        <w:ind w:left="440"/>
        <w:spacing w:after="0"/>
        <w:tabs>
          <w:tab w:leader="none" w:pos="4840" w:val="left"/>
          <w:tab w:leader="none" w:pos="6760" w:val="left"/>
        </w:tabs>
        <w:rPr>
          <w:sz w:val="20"/>
          <w:szCs w:val="20"/>
          <w:color w:val="auto"/>
        </w:rPr>
      </w:pPr>
      <w:r>
        <w:rPr>
          <w:rFonts w:ascii="Arial" w:cs="Arial" w:eastAsia="Arial" w:hAnsi="Arial"/>
          <w:sz w:val="18"/>
          <w:szCs w:val="18"/>
          <w:color w:val="auto"/>
        </w:rPr>
        <w:t>The initial principal amount of this Global Note is [</w:t>
      </w:r>
      <w:r>
        <w:rPr>
          <w:sz w:val="20"/>
          <w:szCs w:val="20"/>
          <w:color w:val="auto"/>
        </w:rPr>
        <w:tab/>
      </w:r>
      <w:r>
        <w:rPr>
          <w:rFonts w:ascii="Arial" w:cs="Arial" w:eastAsia="Arial" w:hAnsi="Arial"/>
          <w:sz w:val="18"/>
          <w:szCs w:val="18"/>
          <w:color w:val="auto"/>
        </w:rPr>
        <w:t>] DOLLARS ($[</w:t>
      </w:r>
      <w:r>
        <w:rPr>
          <w:sz w:val="20"/>
          <w:szCs w:val="20"/>
          <w:color w:val="auto"/>
        </w:rPr>
        <w:tab/>
      </w:r>
      <w:r>
        <w:rPr>
          <w:rFonts w:ascii="Arial" w:cs="Arial" w:eastAsia="Arial" w:hAnsi="Arial"/>
          <w:sz w:val="16"/>
          <w:szCs w:val="16"/>
          <w:color w:val="auto"/>
        </w:rPr>
        <w:t>]). The following increases or decreases in this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have been made:</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color w:val="auto"/>
        </w:rPr>
        <w:t>Date of increase or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decrease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Amount of decrease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principal amount</w:t>
      </w:r>
    </w:p>
    <w:p>
      <w:pPr>
        <w:ind w:left="20"/>
        <w:spacing w:after="0"/>
        <w:rPr>
          <w:sz w:val="20"/>
          <w:szCs w:val="20"/>
          <w:color w:val="auto"/>
        </w:rPr>
      </w:pPr>
      <w:r>
        <w:rPr>
          <w:rFonts w:ascii="Arial" w:cs="Arial" w:eastAsia="Arial" w:hAnsi="Arial"/>
          <w:sz w:val="13"/>
          <w:szCs w:val="13"/>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372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gridSpan w:val="2"/>
          </w:tcPr>
          <w:p>
            <w:pPr>
              <w:jc w:val="center"/>
              <w:ind w:right="740"/>
              <w:spacing w:after="0"/>
              <w:rPr>
                <w:sz w:val="20"/>
                <w:szCs w:val="20"/>
                <w:color w:val="auto"/>
              </w:rPr>
            </w:pPr>
            <w:r>
              <w:rPr>
                <w:rFonts w:ascii="Arial" w:cs="Arial" w:eastAsia="Arial" w:hAnsi="Arial"/>
                <w:sz w:val="14"/>
                <w:szCs w:val="14"/>
                <w:color w:val="auto"/>
                <w:w w:val="93"/>
              </w:rPr>
              <w:t>Principal amount</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Signature of</w:t>
            </w:r>
          </w:p>
        </w:tc>
      </w:tr>
      <w:tr>
        <w:trPr>
          <w:trHeight w:val="148"/>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Amount of increase</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of this Global Note</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3"/>
              </w:rPr>
              <w:t>authorized signatory</w:t>
            </w:r>
          </w:p>
        </w:tc>
      </w:tr>
      <w:tr>
        <w:trPr>
          <w:trHeight w:val="149"/>
        </w:trPr>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in principal amount</w:t>
            </w:r>
          </w:p>
        </w:tc>
        <w:tc>
          <w:tcPr>
            <w:tcW w:w="18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7"/>
              </w:rPr>
              <w:t>following such</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67"/>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5"/>
              </w:rPr>
              <w:t>of this Global Note</w:t>
            </w:r>
          </w:p>
        </w:tc>
        <w:tc>
          <w:tcPr>
            <w:tcW w:w="7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decrease or increase</w:t>
            </w:r>
          </w:p>
        </w:tc>
        <w:tc>
          <w:tcPr>
            <w:tcW w:w="7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ectPr>
          <w:pgSz w:w="11900" w:h="16838" w:orient="portrait"/>
          <w:cols w:equalWidth="0" w:num="3">
            <w:col w:w="3480" w:space="720"/>
            <w:col w:w="1160" w:space="720"/>
            <w:col w:w="4940"/>
          </w:cols>
          <w:pgMar w:left="440" w:top="270" w:right="4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Dropbox,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California Street, Suite 1000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94111Attention: D. Jason (Dropbox, Inc. 0% Convertible Senior Notes due 2026)</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undersigned registered owner of this Note hereby exercises the option to convert this Note, or the portion hereof (that is $1,000 principal amount or an integral multiple thereof) below designated, into, at the Company’s election, cash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13.02(d) and Section 13.02(e) of the Indenture. Any amount required to be paid to the undersigned on account of interest accompanies this Note. Capitalized terms used herein but not defined shall have the meanings ascribed to such terms in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306070</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-10160</wp:posOffset>
            </wp:positionV>
            <wp:extent cx="29133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574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5480"/>
        <w:spacing w:after="0" w:line="273" w:lineRule="auto"/>
        <w:rPr>
          <w:sz w:val="20"/>
          <w:szCs w:val="20"/>
          <w:color w:val="auto"/>
        </w:rPr>
      </w:pPr>
      <w:r>
        <w:rPr>
          <w:rFonts w:ascii="Arial" w:cs="Arial" w:eastAsia="Arial" w:hAnsi="Arial"/>
          <w:sz w:val="17"/>
          <w:szCs w:val="17"/>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p>
      <w:pPr>
        <w:sectPr>
          <w:pgSz w:w="11900" w:h="16838" w:orient="portrait"/>
          <w:cols w:equalWidth="0" w:num="1">
            <w:col w:w="11020"/>
          </w:cols>
          <w:pgMar w:left="440" w:top="270"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Fill in for registration of shares if to be issued, and Notes 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5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amount to be converted (if less than all):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-19050</wp:posOffset>
            </wp:positionV>
            <wp:extent cx="10566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4"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NOTICE: The above signature(s) of the Holder(s) hereof</w:t>
      </w:r>
    </w:p>
    <w:p>
      <w:pPr>
        <w:spacing w:after="0" w:line="4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must correspond with the name as written upon the face of</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Note in every particular without alteration or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280035</wp:posOffset>
            </wp:positionV>
            <wp:extent cx="27603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Social Security or Other Taxpayer Identification Number</w:t>
      </w:r>
    </w:p>
    <w:p>
      <w:pPr>
        <w:sectPr>
          <w:pgSz w:w="11900" w:h="16838" w:orient="portrait"/>
          <w:cols w:equalWidth="0" w:num="1">
            <w:col w:w="10880"/>
          </w:cols>
          <w:pgMar w:left="440" w:top="274" w:right="5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ATTACHMENT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Dropbox,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California Street,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94111Attention: D. Jason (Dropbox, Inc. 0% Convertible Senior Notes due 2026)</w:t>
      </w:r>
    </w:p>
    <w:p>
      <w:pPr>
        <w:spacing w:after="0" w:line="207"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The undersigned registered owner of this Note hereby acknowledges receipt of a notice from Dropbox, Inc.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14.02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Business Day immediately following the corresponding Special Interest Payment Date, accrued and unpaid Special Interest, if any, thereon to, but excluding, such Fundamental Change Repurchase Date. Capitalized terms used herein but not defined shall have the meanings ascribed to such terms in the Indenture.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13995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Identification Number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amount to be repurchased (if less than all):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-19050</wp:posOffset>
            </wp:positionV>
            <wp:extent cx="1028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7"/>
          <w:szCs w:val="17"/>
          <w:color w:val="auto"/>
        </w:rPr>
        <w:t>NOTICE: The above signature(s) of the Holder(s) hereof</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must correspond with the name as written upon the face of</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enlargement or any change whatever.</w:t>
      </w:r>
    </w:p>
    <w:p>
      <w:pPr>
        <w:sectPr>
          <w:pgSz w:w="11900" w:h="16838" w:orient="portrait"/>
          <w:cols w:equalWidth="0" w:num="1">
            <w:col w:w="11020"/>
          </w:cols>
          <w:pgMar w:left="440" w:top="270"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ATTACHMENT 3</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ASSIGNMENT AND TRANSFER]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California Street, Suite 1000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94111Attention: D. Jason (Dropbox, Inc. 0% Convertible Senior Notes due 2026)</w:t>
      </w:r>
    </w:p>
    <w:p>
      <w:pPr>
        <w:sectPr>
          <w:pgSz w:w="11900" w:h="16838" w:orient="portrait"/>
          <w:cols w:equalWidth="0" w:num="1">
            <w:col w:w="11024"/>
          </w:cols>
          <w:pgMar w:left="436" w:top="270" w:right="439" w:bottom="1440" w:gutter="0" w:footer="0" w:header="0"/>
        </w:sectPr>
      </w:pP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For value received hereby sell(s), assign(s) and transfer(s) unto of assignee) the within Note, and hereby irrevocably constitutes and appoints (the “</w:t>
      </w:r>
      <w:r>
        <w:rPr>
          <w:rFonts w:ascii="Arial" w:cs="Arial" w:eastAsia="Arial" w:hAnsi="Arial"/>
          <w:sz w:val="17"/>
          <w:szCs w:val="17"/>
          <w:b w:val="1"/>
          <w:bCs w:val="1"/>
          <w:color w:val="auto"/>
        </w:rPr>
        <w:t>Company</w:t>
      </w:r>
      <w:r>
        <w:rPr>
          <w:rFonts w:ascii="Arial" w:cs="Arial" w:eastAsia="Arial" w:hAnsi="Arial"/>
          <w:sz w:val="17"/>
          <w:szCs w:val="17"/>
          <w:color w:val="auto"/>
        </w:rPr>
        <w:t>”), with full power of substitution in the premises.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firstLine="106"/>
        <w:spacing w:after="0" w:line="342" w:lineRule="auto"/>
        <w:rPr>
          <w:sz w:val="20"/>
          <w:szCs w:val="20"/>
          <w:color w:val="auto"/>
        </w:rPr>
      </w:pPr>
      <w:r>
        <w:rPr>
          <w:rFonts w:ascii="Arial" w:cs="Arial" w:eastAsia="Arial" w:hAnsi="Arial"/>
          <w:sz w:val="16"/>
          <w:szCs w:val="16"/>
          <w:color w:val="auto"/>
        </w:rPr>
        <w:t>(Please insert social security or Taxpayer Identification Number attorney to transfer the said Note on the books of Dropbox, Inc.</w:t>
      </w:r>
    </w:p>
    <w:p>
      <w:pPr>
        <w:spacing w:after="0" w:line="339" w:lineRule="exact"/>
        <w:rPr>
          <w:sz w:val="20"/>
          <w:szCs w:val="20"/>
          <w:color w:val="auto"/>
        </w:rPr>
      </w:pPr>
    </w:p>
    <w:p>
      <w:pPr>
        <w:sectPr>
          <w:pgSz w:w="11900" w:h="16838" w:orient="portrait"/>
          <w:cols w:equalWidth="0" w:num="2">
            <w:col w:w="5664" w:space="600"/>
            <w:col w:w="4760"/>
          </w:cols>
          <w:pgMar w:left="436" w:top="270" w:right="439" w:bottom="1440" w:gutter="0" w:footer="0" w:header="0"/>
          <w:type w:val="continuous"/>
        </w:sectPr>
      </w:pPr>
    </w:p>
    <w:p>
      <w:pPr>
        <w:ind w:left="4" w:right="720" w:firstLine="440"/>
        <w:spacing w:after="0" w:line="277" w:lineRule="auto"/>
        <w:rPr>
          <w:sz w:val="20"/>
          <w:szCs w:val="20"/>
          <w:color w:val="auto"/>
        </w:rPr>
      </w:pPr>
      <w:r>
        <w:rPr>
          <w:rFonts w:ascii="Arial" w:cs="Arial" w:eastAsia="Arial" w:hAnsi="Arial"/>
          <w:sz w:val="18"/>
          <w:szCs w:val="18"/>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70" w:lineRule="exact"/>
        <w:rPr>
          <w:sz w:val="20"/>
          <w:szCs w:val="20"/>
          <w:color w:val="auto"/>
        </w:rPr>
      </w:pPr>
    </w:p>
    <w:p>
      <w:pPr>
        <w:ind w:left="204" w:hanging="204"/>
        <w:spacing w:after="0"/>
        <w:tabs>
          <w:tab w:leader="none" w:pos="204"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To the Company or a subsidiary thereof;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left="4" w:right="280" w:hanging="4"/>
        <w:spacing w:after="0" w:line="277" w:lineRule="auto"/>
        <w:tabs>
          <w:tab w:leader="none" w:pos="211"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7946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580390</wp:posOffset>
            </wp:positionV>
            <wp:extent cx="27946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-10160</wp:posOffset>
            </wp:positionV>
            <wp:extent cx="20853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7946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Institution (banks, stockbrokers, savings and loan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associations and credit unions) with membership in 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approved signature guarantee medallion program pursuant to</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 Rule 17Ad-15 if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 are to be delivered, other than to and in the name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registered holder.</w:t>
      </w:r>
    </w:p>
    <w:p>
      <w:pPr>
        <w:spacing w:after="0" w:line="21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ectPr>
          <w:pgSz w:w="11900" w:h="16838" w:orient="portrait"/>
          <w:cols w:equalWidth="0" w:num="1">
            <w:col w:w="11024"/>
          </w:cols>
          <w:pgMar w:left="436" w:top="270" w:right="4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DROPBOX, INC.</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February 26, 2021</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0% Convertible Senior Notes due 2028</w:t>
      </w:r>
    </w:p>
    <w:p>
      <w:pPr>
        <w:sectPr>
          <w:pgSz w:w="11900" w:h="16838" w:orient="portrait"/>
          <w:cols w:equalWidth="0" w:num="1">
            <w:col w:w="10020"/>
          </w:cols>
          <w:pgMar w:left="1440" w:top="121"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96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80" w:type="dxa"/>
            <w:vAlign w:val="bottom"/>
          </w:tcPr>
          <w:p>
            <w:pPr>
              <w:spacing w:after="0"/>
              <w:rPr>
                <w:sz w:val="24"/>
                <w:szCs w:val="24"/>
                <w:color w:val="auto"/>
              </w:rPr>
            </w:pPr>
          </w:p>
        </w:tc>
        <w:tc>
          <w:tcPr>
            <w:tcW w:w="9680" w:type="dxa"/>
            <w:vAlign w:val="bottom"/>
            <w:vMerge w:val="restart"/>
          </w:tcPr>
          <w:p>
            <w:pPr>
              <w:jc w:val="center"/>
              <w:ind w:right="59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9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96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1.02  References to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5"/>
              </w:rPr>
              <w:t>ISSUE, DESCRIPTION, EXECUTION, REGISTRATION AND EXCHANGE OF NOTES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2.01  Designation and Amount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2.02</w:t>
            </w:r>
          </w:p>
        </w:tc>
        <w:tc>
          <w:tcPr>
            <w:tcW w:w="9680" w:type="dxa"/>
            <w:vAlign w:val="bottom"/>
          </w:tcPr>
          <w:p>
            <w:pPr>
              <w:ind w:left="100"/>
              <w:spacing w:after="0"/>
              <w:rPr>
                <w:sz w:val="20"/>
                <w:szCs w:val="20"/>
                <w:color w:val="auto"/>
              </w:rPr>
            </w:pPr>
            <w:r>
              <w:rPr>
                <w:rFonts w:ascii="Arial" w:cs="Arial" w:eastAsia="Arial" w:hAnsi="Arial"/>
                <w:sz w:val="18"/>
                <w:szCs w:val="18"/>
                <w:color w:val="auto"/>
              </w:rPr>
              <w:t>Form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2.03  Date and Denomination of Notes; No Regular Interest; Special Interest and Defaulted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2.04  Execution, Authentication and Delivery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2.05  Exchange and Registration of Transfer of Notes; Restrictions on Transfer; Depositary</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2.06  Mutilated, Destroyed, Lost or Stolen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9680" w:type="dxa"/>
            <w:vAlign w:val="bottom"/>
          </w:tcPr>
          <w:p>
            <w:pPr>
              <w:ind w:left="100"/>
              <w:spacing w:after="0"/>
              <w:rPr>
                <w:sz w:val="20"/>
                <w:szCs w:val="20"/>
                <w:color w:val="auto"/>
              </w:rPr>
            </w:pPr>
            <w:r>
              <w:rPr>
                <w:rFonts w:ascii="Arial" w:cs="Arial" w:eastAsia="Arial" w:hAnsi="Arial"/>
                <w:sz w:val="18"/>
                <w:szCs w:val="18"/>
                <w:color w:val="auto"/>
              </w:rPr>
              <w:t>Temporary Notes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2.08  Cancellation of Notes Paid, Converted, Etc</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2.09</w:t>
            </w:r>
          </w:p>
        </w:tc>
        <w:tc>
          <w:tcPr>
            <w:tcW w:w="9680" w:type="dxa"/>
            <w:vAlign w:val="bottom"/>
          </w:tcPr>
          <w:p>
            <w:pPr>
              <w:ind w:left="100"/>
              <w:spacing w:after="0"/>
              <w:rPr>
                <w:sz w:val="20"/>
                <w:szCs w:val="20"/>
                <w:color w:val="auto"/>
              </w:rPr>
            </w:pPr>
            <w:r>
              <w:rPr>
                <w:rFonts w:ascii="Arial" w:cs="Arial" w:eastAsia="Arial" w:hAnsi="Arial"/>
                <w:sz w:val="18"/>
                <w:szCs w:val="18"/>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2.10  Additional Notes; Repurchases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6"/>
              </w:rPr>
              <w:t>SATISFACTION AND DISCHARGE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3.01  Satisfaction and Discharge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9680" w:type="dxa"/>
            <w:vAlign w:val="bottom"/>
          </w:tcPr>
          <w:p>
            <w:pPr>
              <w:jc w:val="center"/>
              <w:ind w:right="61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6"/>
              </w:rPr>
              <w:t>PARTICULAR COVENANTS OF THE COMPANY</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4.01  Payment of Principal and Special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4.03  Appointments to Fill Vacancies in Trustee’s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4.04  Provisions as to Paying Agent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9680" w:type="dxa"/>
            <w:vAlign w:val="bottom"/>
          </w:tcPr>
          <w:p>
            <w:pPr>
              <w:ind w:left="100"/>
              <w:spacing w:after="0"/>
              <w:rPr>
                <w:sz w:val="20"/>
                <w:szCs w:val="20"/>
                <w:color w:val="auto"/>
              </w:rPr>
            </w:pPr>
            <w:r>
              <w:rPr>
                <w:rFonts w:ascii="Arial" w:cs="Arial" w:eastAsia="Arial" w:hAnsi="Arial"/>
                <w:sz w:val="18"/>
                <w:szCs w:val="18"/>
                <w:color w:val="auto"/>
              </w:rPr>
              <w:t>Existence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4.06  Rule 144A Information Requirement and Annual Reports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4.07  Stay, Extension and Usury Laws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4.08  Compliance Certificate; Statements as to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4.09  Further Instruments and Acts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8"/>
              </w:rPr>
              <w:t>ARTICLE V</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680" w:type="dxa"/>
            <w:vAlign w:val="bottom"/>
          </w:tcPr>
          <w:p>
            <w:pPr>
              <w:jc w:val="center"/>
              <w:ind w:right="590"/>
              <w:spacing w:after="0"/>
              <w:rPr>
                <w:sz w:val="20"/>
                <w:szCs w:val="20"/>
                <w:color w:val="auto"/>
              </w:rPr>
            </w:pPr>
            <w:r>
              <w:rPr>
                <w:rFonts w:ascii="Arial" w:cs="Arial" w:eastAsia="Arial" w:hAnsi="Arial"/>
                <w:sz w:val="18"/>
                <w:szCs w:val="18"/>
                <w:color w:val="auto"/>
                <w:w w:val="95"/>
              </w:rPr>
              <w:t>LISTS OF HOLDERS AND REPORTS BY THE COMPANY AND THE TRUSTEE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5.01  Lists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5.02  Preservation and Disclosure of Lists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9"/>
        </w:trPr>
        <w:tc>
          <w:tcPr>
            <w:tcW w:w="9620" w:type="dxa"/>
            <w:vAlign w:val="bottom"/>
          </w:tcPr>
          <w:p>
            <w:pPr>
              <w:jc w:val="center"/>
              <w:ind w:left="1230"/>
              <w:spacing w:after="0"/>
              <w:rPr>
                <w:sz w:val="20"/>
                <w:szCs w:val="20"/>
                <w:color w:val="auto"/>
              </w:rPr>
            </w:pPr>
            <w:r>
              <w:rPr>
                <w:rFonts w:ascii="Arial" w:cs="Arial" w:eastAsia="Arial" w:hAnsi="Arial"/>
                <w:sz w:val="18"/>
                <w:szCs w:val="18"/>
                <w:color w:val="auto"/>
                <w:w w:val="99"/>
              </w:rPr>
              <w:t>ARTICLE VI</w:t>
            </w:r>
          </w:p>
        </w:tc>
        <w:tc>
          <w:tcPr>
            <w:tcW w:w="1340" w:type="dxa"/>
            <w:vAlign w:val="bottom"/>
          </w:tcPr>
          <w:p>
            <w:pPr>
              <w:spacing w:after="0"/>
              <w:rPr>
                <w:sz w:val="19"/>
                <w:szCs w:val="19"/>
                <w:color w:val="auto"/>
              </w:rPr>
            </w:pPr>
          </w:p>
        </w:tc>
      </w:tr>
      <w:tr>
        <w:trPr>
          <w:trHeight w:val="216"/>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6"/>
              </w:rPr>
              <w:t>DEFAULTS AND REMEDIES</w:t>
            </w:r>
          </w:p>
        </w:tc>
        <w:tc>
          <w:tcPr>
            <w:tcW w:w="1340" w:type="dxa"/>
            <w:vAlign w:val="bottom"/>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6.02  Acceleration; Rescission and Annulment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6.03  Special Interest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6.04  Payments of Notes on Default; Suit Therefor</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6.05  Application of Monies Collected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6.06  Proceedings by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6.07  Proceedings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6.08  Remedies Cumulative and Continuing</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6.09  Direction of Proceedings and Waiver of Defaults by Majority of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6.10  Notice of Defaults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6.11  Undertaking to Pay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7"/>
        </w:trPr>
        <w:tc>
          <w:tcPr>
            <w:tcW w:w="9620" w:type="dxa"/>
            <w:vAlign w:val="bottom"/>
          </w:tcPr>
          <w:p>
            <w:pPr>
              <w:jc w:val="center"/>
              <w:ind w:left="1250"/>
              <w:spacing w:after="0"/>
              <w:rPr>
                <w:sz w:val="20"/>
                <w:szCs w:val="20"/>
                <w:color w:val="auto"/>
              </w:rPr>
            </w:pPr>
            <w:r>
              <w:rPr>
                <w:rFonts w:ascii="Arial" w:cs="Arial" w:eastAsia="Arial" w:hAnsi="Arial"/>
                <w:sz w:val="18"/>
                <w:szCs w:val="18"/>
                <w:color w:val="auto"/>
              </w:rPr>
              <w:t>ARTICLE VII</w:t>
            </w:r>
          </w:p>
        </w:tc>
        <w:tc>
          <w:tcPr>
            <w:tcW w:w="1340" w:type="dxa"/>
            <w:vAlign w:val="bottom"/>
          </w:tcPr>
          <w:p>
            <w:pPr>
              <w:spacing w:after="0"/>
              <w:rPr>
                <w:sz w:val="24"/>
                <w:szCs w:val="24"/>
                <w:color w:val="auto"/>
              </w:rPr>
            </w:pPr>
          </w:p>
        </w:tc>
      </w:tr>
      <w:tr>
        <w:trPr>
          <w:trHeight w:val="216"/>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4"/>
              </w:rPr>
              <w:t>CONCERNING THE TRUSTEE</w:t>
            </w:r>
          </w:p>
        </w:tc>
        <w:tc>
          <w:tcPr>
            <w:tcW w:w="1340" w:type="dxa"/>
            <w:vAlign w:val="bottom"/>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7.01  Duties and Responsibilities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7.02  Reliance on Documents, Opinions, Etc</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7.03  No Responsibility for Recitals, Etc</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7.04  Trustee, Paying Agents, Conversion Agents, Bid Solicitation Agent or Note Registrar May Own Notes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7.05  Monies to Be Held in Trust</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7.06  Compensation and Expenses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7.07  Officer’s Certificate as Evidence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7.08  Eligibility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7.09  Resignation or Removal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7.10  Acceptance by Successor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7.11  Succession by Merger, Etc</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7.12  Trustee’s Application for Instructions from the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7"/>
        </w:trPr>
        <w:tc>
          <w:tcPr>
            <w:tcW w:w="9620" w:type="dxa"/>
            <w:vAlign w:val="bottom"/>
          </w:tcPr>
          <w:p>
            <w:pPr>
              <w:jc w:val="center"/>
              <w:ind w:left="1230"/>
              <w:spacing w:after="0"/>
              <w:rPr>
                <w:sz w:val="20"/>
                <w:szCs w:val="20"/>
                <w:color w:val="auto"/>
              </w:rPr>
            </w:pPr>
            <w:r>
              <w:rPr>
                <w:rFonts w:ascii="Arial" w:cs="Arial" w:eastAsia="Arial" w:hAnsi="Arial"/>
                <w:sz w:val="18"/>
                <w:szCs w:val="18"/>
                <w:color w:val="auto"/>
              </w:rPr>
              <w:t>ARTICLE VIII</w:t>
            </w:r>
          </w:p>
        </w:tc>
        <w:tc>
          <w:tcPr>
            <w:tcW w:w="1340" w:type="dxa"/>
            <w:vAlign w:val="bottom"/>
          </w:tcPr>
          <w:p>
            <w:pPr>
              <w:spacing w:after="0"/>
              <w:rPr>
                <w:sz w:val="24"/>
                <w:szCs w:val="24"/>
                <w:color w:val="auto"/>
              </w:rPr>
            </w:pPr>
          </w:p>
        </w:tc>
      </w:tr>
      <w:tr>
        <w:trPr>
          <w:trHeight w:val="216"/>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5"/>
              </w:rPr>
              <w:t>CONCERNING THE HOLDERS</w:t>
            </w:r>
          </w:p>
        </w:tc>
        <w:tc>
          <w:tcPr>
            <w:tcW w:w="1340" w:type="dxa"/>
            <w:vAlign w:val="bottom"/>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8.01  Action by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8.02  Proof of Execution by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8.03  Who Are Deemed Absolute Owners</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8.04  Company-Owned Notes Disregarded</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8.05  Revocation of Consents; Future Holders Bound</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37"/>
        </w:trPr>
        <w:tc>
          <w:tcPr>
            <w:tcW w:w="9620" w:type="dxa"/>
            <w:vAlign w:val="bottom"/>
          </w:tcPr>
          <w:p>
            <w:pPr>
              <w:jc w:val="center"/>
              <w:ind w:left="1230"/>
              <w:spacing w:after="0"/>
              <w:rPr>
                <w:sz w:val="20"/>
                <w:szCs w:val="20"/>
                <w:color w:val="auto"/>
              </w:rPr>
            </w:pPr>
            <w:r>
              <w:rPr>
                <w:rFonts w:ascii="Arial" w:cs="Arial" w:eastAsia="Arial" w:hAnsi="Arial"/>
                <w:sz w:val="18"/>
                <w:szCs w:val="18"/>
                <w:color w:val="auto"/>
                <w:w w:val="99"/>
              </w:rPr>
              <w:t>ARTICLE IX</w:t>
            </w:r>
          </w:p>
        </w:tc>
        <w:tc>
          <w:tcPr>
            <w:tcW w:w="1340" w:type="dxa"/>
            <w:vAlign w:val="bottom"/>
          </w:tcPr>
          <w:p>
            <w:pPr>
              <w:spacing w:after="0"/>
              <w:rPr>
                <w:sz w:val="24"/>
                <w:szCs w:val="24"/>
                <w:color w:val="auto"/>
              </w:rPr>
            </w:pPr>
          </w:p>
        </w:tc>
      </w:tr>
      <w:tr>
        <w:trPr>
          <w:trHeight w:val="216"/>
        </w:trPr>
        <w:tc>
          <w:tcPr>
            <w:tcW w:w="9620" w:type="dxa"/>
            <w:vAlign w:val="bottom"/>
          </w:tcPr>
          <w:p>
            <w:pPr>
              <w:jc w:val="center"/>
              <w:ind w:left="1250"/>
              <w:spacing w:after="0"/>
              <w:rPr>
                <w:sz w:val="20"/>
                <w:szCs w:val="20"/>
                <w:color w:val="auto"/>
              </w:rPr>
            </w:pPr>
            <w:r>
              <w:rPr>
                <w:rFonts w:ascii="Arial" w:cs="Arial" w:eastAsia="Arial" w:hAnsi="Arial"/>
                <w:sz w:val="18"/>
                <w:szCs w:val="18"/>
                <w:color w:val="auto"/>
                <w:w w:val="96"/>
              </w:rPr>
              <w:t>HOLDERS’ MEETINGS</w:t>
            </w:r>
          </w:p>
        </w:tc>
        <w:tc>
          <w:tcPr>
            <w:tcW w:w="1340" w:type="dxa"/>
            <w:vAlign w:val="bottom"/>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Section 9.01  Purpose of Meetings</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Section 9.02  Call of Meetings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95" w:right="4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9500" w:type="dxa"/>
            <w:vAlign w:val="bottom"/>
          </w:tcPr>
          <w:p>
            <w:pPr>
              <w:ind w:left="100"/>
              <w:spacing w:after="0"/>
              <w:rPr>
                <w:sz w:val="20"/>
                <w:szCs w:val="20"/>
                <w:color w:val="auto"/>
              </w:rPr>
            </w:pPr>
            <w:r>
              <w:rPr>
                <w:rFonts w:ascii="Arial" w:cs="Arial" w:eastAsia="Arial" w:hAnsi="Arial"/>
                <w:sz w:val="18"/>
                <w:szCs w:val="18"/>
                <w:color w:val="auto"/>
              </w:rPr>
              <w:t>Call of Meetings by Company or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9500" w:type="dxa"/>
            <w:vAlign w:val="bottom"/>
          </w:tcPr>
          <w:p>
            <w:pPr>
              <w:ind w:left="100"/>
              <w:spacing w:after="0"/>
              <w:rPr>
                <w:sz w:val="20"/>
                <w:szCs w:val="20"/>
                <w:color w:val="auto"/>
              </w:rPr>
            </w:pPr>
            <w:r>
              <w:rPr>
                <w:rFonts w:ascii="Arial" w:cs="Arial" w:eastAsia="Arial" w:hAnsi="Arial"/>
                <w:sz w:val="18"/>
                <w:szCs w:val="18"/>
                <w:color w:val="auto"/>
              </w:rPr>
              <w:t>Qualifications for Voting</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9500" w:type="dxa"/>
            <w:vAlign w:val="bottom"/>
          </w:tcPr>
          <w:p>
            <w:pPr>
              <w:ind w:left="100"/>
              <w:spacing w:after="0"/>
              <w:rPr>
                <w:sz w:val="20"/>
                <w:szCs w:val="20"/>
                <w:color w:val="auto"/>
              </w:rPr>
            </w:pPr>
            <w:r>
              <w:rPr>
                <w:rFonts w:ascii="Arial" w:cs="Arial" w:eastAsia="Arial" w:hAnsi="Arial"/>
                <w:sz w:val="18"/>
                <w:szCs w:val="18"/>
                <w:color w:val="auto"/>
              </w:rPr>
              <w:t>Regulations</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9.06</w:t>
            </w:r>
          </w:p>
        </w:tc>
        <w:tc>
          <w:tcPr>
            <w:tcW w:w="9500" w:type="dxa"/>
            <w:vAlign w:val="bottom"/>
          </w:tcPr>
          <w:p>
            <w:pPr>
              <w:ind w:left="100"/>
              <w:spacing w:after="0"/>
              <w:rPr>
                <w:sz w:val="20"/>
                <w:szCs w:val="20"/>
                <w:color w:val="auto"/>
              </w:rPr>
            </w:pPr>
            <w:r>
              <w:rPr>
                <w:rFonts w:ascii="Arial" w:cs="Arial" w:eastAsia="Arial" w:hAnsi="Arial"/>
                <w:sz w:val="18"/>
                <w:szCs w:val="18"/>
                <w:color w:val="auto"/>
              </w:rPr>
              <w:t>Voting</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9.07</w:t>
            </w:r>
          </w:p>
        </w:tc>
        <w:tc>
          <w:tcPr>
            <w:tcW w:w="9500" w:type="dxa"/>
            <w:vAlign w:val="bottom"/>
          </w:tcPr>
          <w:p>
            <w:pPr>
              <w:ind w:left="100"/>
              <w:spacing w:after="0"/>
              <w:rPr>
                <w:sz w:val="20"/>
                <w:szCs w:val="20"/>
                <w:color w:val="auto"/>
              </w:rPr>
            </w:pPr>
            <w:r>
              <w:rPr>
                <w:rFonts w:ascii="Arial" w:cs="Arial" w:eastAsia="Arial" w:hAnsi="Arial"/>
                <w:sz w:val="18"/>
                <w:szCs w:val="18"/>
                <w:color w:val="auto"/>
              </w:rPr>
              <w:t>No Delay of Rights by Meeting</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7"/>
        </w:trPr>
        <w:tc>
          <w:tcPr>
            <w:tcW w:w="1080" w:type="dxa"/>
            <w:vAlign w:val="bottom"/>
          </w:tcPr>
          <w:p>
            <w:pPr>
              <w:spacing w:after="0"/>
              <w:rPr>
                <w:sz w:val="24"/>
                <w:szCs w:val="24"/>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8"/>
              </w:rPr>
              <w:t>ARTICLE X</w:t>
            </w:r>
          </w:p>
        </w:tc>
        <w:tc>
          <w:tcPr>
            <w:tcW w:w="3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6"/>
              </w:rPr>
              <w:t>SUPPLEMENTAL INDENTURES</w:t>
            </w:r>
          </w:p>
        </w:tc>
        <w:tc>
          <w:tcPr>
            <w:tcW w:w="38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10.01</w:t>
            </w:r>
          </w:p>
        </w:tc>
        <w:tc>
          <w:tcPr>
            <w:tcW w:w="950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10.02</w:t>
            </w:r>
          </w:p>
        </w:tc>
        <w:tc>
          <w:tcPr>
            <w:tcW w:w="950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10.03</w:t>
            </w:r>
          </w:p>
        </w:tc>
        <w:tc>
          <w:tcPr>
            <w:tcW w:w="9500" w:type="dxa"/>
            <w:vAlign w:val="bottom"/>
          </w:tcPr>
          <w:p>
            <w:pPr>
              <w:ind w:left="100"/>
              <w:spacing w:after="0"/>
              <w:rPr>
                <w:sz w:val="20"/>
                <w:szCs w:val="20"/>
                <w:color w:val="auto"/>
              </w:rPr>
            </w:pPr>
            <w:r>
              <w:rPr>
                <w:rFonts w:ascii="Arial" w:cs="Arial" w:eastAsia="Arial" w:hAnsi="Arial"/>
                <w:sz w:val="18"/>
                <w:szCs w:val="18"/>
                <w:color w:val="auto"/>
              </w:rPr>
              <w:t>Effect of Supplemental Indentures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10.04</w:t>
            </w:r>
          </w:p>
        </w:tc>
        <w:tc>
          <w:tcPr>
            <w:tcW w:w="9500" w:type="dxa"/>
            <w:vAlign w:val="bottom"/>
          </w:tcPr>
          <w:p>
            <w:pPr>
              <w:ind w:left="100"/>
              <w:spacing w:after="0"/>
              <w:rPr>
                <w:sz w:val="20"/>
                <w:szCs w:val="20"/>
                <w:color w:val="auto"/>
              </w:rPr>
            </w:pPr>
            <w:r>
              <w:rPr>
                <w:rFonts w:ascii="Arial" w:cs="Arial" w:eastAsia="Arial" w:hAnsi="Arial"/>
                <w:sz w:val="18"/>
                <w:szCs w:val="18"/>
                <w:color w:val="auto"/>
              </w:rPr>
              <w:t>Notation on Notes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10.05</w:t>
            </w:r>
          </w:p>
        </w:tc>
        <w:tc>
          <w:tcPr>
            <w:tcW w:w="9500" w:type="dxa"/>
            <w:vAlign w:val="bottom"/>
          </w:tcPr>
          <w:p>
            <w:pPr>
              <w:ind w:left="100"/>
              <w:spacing w:after="0"/>
              <w:rPr>
                <w:sz w:val="20"/>
                <w:szCs w:val="20"/>
                <w:color w:val="auto"/>
              </w:rPr>
            </w:pPr>
            <w:r>
              <w:rPr>
                <w:rFonts w:ascii="Arial" w:cs="Arial" w:eastAsia="Arial" w:hAnsi="Arial"/>
                <w:sz w:val="18"/>
                <w:szCs w:val="18"/>
                <w:color w:val="auto"/>
              </w:rPr>
              <w:t>Evidence of Compliance of Supplemental Indenture to Be Furnished to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37"/>
        </w:trPr>
        <w:tc>
          <w:tcPr>
            <w:tcW w:w="1080" w:type="dxa"/>
            <w:vAlign w:val="bottom"/>
          </w:tcPr>
          <w:p>
            <w:pPr>
              <w:spacing w:after="0"/>
              <w:rPr>
                <w:sz w:val="24"/>
                <w:szCs w:val="24"/>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9"/>
              </w:rPr>
              <w:t>ARTICLE XI</w:t>
            </w:r>
          </w:p>
        </w:tc>
        <w:tc>
          <w:tcPr>
            <w:tcW w:w="3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6"/>
              </w:rPr>
              <w:t>CONSOLIDATION, MERGER, SALE, CONVEYANCE AND LEASE</w:t>
            </w:r>
          </w:p>
        </w:tc>
        <w:tc>
          <w:tcPr>
            <w:tcW w:w="38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11.01</w:t>
            </w:r>
          </w:p>
        </w:tc>
        <w:tc>
          <w:tcPr>
            <w:tcW w:w="9500" w:type="dxa"/>
            <w:vAlign w:val="bottom"/>
          </w:tcPr>
          <w:p>
            <w:pPr>
              <w:ind w:left="100"/>
              <w:spacing w:after="0"/>
              <w:rPr>
                <w:sz w:val="20"/>
                <w:szCs w:val="20"/>
                <w:color w:val="auto"/>
              </w:rPr>
            </w:pPr>
            <w:r>
              <w:rPr>
                <w:rFonts w:ascii="Arial" w:cs="Arial" w:eastAsia="Arial" w:hAnsi="Arial"/>
                <w:sz w:val="18"/>
                <w:szCs w:val="18"/>
                <w:color w:val="auto"/>
              </w:rPr>
              <w:t>Company May Consolidate, Etc. on Certain Terms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11.02</w:t>
            </w:r>
          </w:p>
        </w:tc>
        <w:tc>
          <w:tcPr>
            <w:tcW w:w="9500" w:type="dxa"/>
            <w:vAlign w:val="bottom"/>
          </w:tcPr>
          <w:p>
            <w:pPr>
              <w:ind w:left="100"/>
              <w:spacing w:after="0"/>
              <w:rPr>
                <w:sz w:val="20"/>
                <w:szCs w:val="20"/>
                <w:color w:val="auto"/>
              </w:rPr>
            </w:pPr>
            <w:r>
              <w:rPr>
                <w:rFonts w:ascii="Arial" w:cs="Arial" w:eastAsia="Arial" w:hAnsi="Arial"/>
                <w:sz w:val="18"/>
                <w:szCs w:val="18"/>
                <w:color w:val="auto"/>
              </w:rPr>
              <w:t>Successor Corporation to Be Substituted</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11.03</w:t>
            </w:r>
          </w:p>
        </w:tc>
        <w:tc>
          <w:tcPr>
            <w:tcW w:w="9500" w:type="dxa"/>
            <w:vAlign w:val="bottom"/>
          </w:tcPr>
          <w:p>
            <w:pPr>
              <w:ind w:left="100"/>
              <w:spacing w:after="0"/>
              <w:rPr>
                <w:sz w:val="20"/>
                <w:szCs w:val="20"/>
                <w:color w:val="auto"/>
              </w:rPr>
            </w:pPr>
            <w:r>
              <w:rPr>
                <w:rFonts w:ascii="Arial" w:cs="Arial" w:eastAsia="Arial" w:hAnsi="Arial"/>
                <w:sz w:val="18"/>
                <w:szCs w:val="18"/>
                <w:color w:val="auto"/>
              </w:rPr>
              <w:t>Officer’s Certification and Opinion of Counsel to Be Given to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7"/>
        </w:trPr>
        <w:tc>
          <w:tcPr>
            <w:tcW w:w="1080" w:type="dxa"/>
            <w:vAlign w:val="bottom"/>
          </w:tcPr>
          <w:p>
            <w:pPr>
              <w:spacing w:after="0"/>
              <w:rPr>
                <w:sz w:val="24"/>
                <w:szCs w:val="24"/>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rPr>
              <w:t>ARTICLE XII</w:t>
            </w:r>
          </w:p>
        </w:tc>
        <w:tc>
          <w:tcPr>
            <w:tcW w:w="3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5"/>
              </w:rPr>
              <w:t>IMMUNITY OF INCORPORATORS, STOCKHOLDERS, OFFICERS AND DIRECTORS</w:t>
            </w:r>
          </w:p>
        </w:tc>
        <w:tc>
          <w:tcPr>
            <w:tcW w:w="38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12.01</w:t>
            </w:r>
          </w:p>
        </w:tc>
        <w:tc>
          <w:tcPr>
            <w:tcW w:w="9500" w:type="dxa"/>
            <w:vAlign w:val="bottom"/>
          </w:tcPr>
          <w:p>
            <w:pPr>
              <w:ind w:left="100"/>
              <w:spacing w:after="0"/>
              <w:rPr>
                <w:sz w:val="20"/>
                <w:szCs w:val="20"/>
                <w:color w:val="auto"/>
              </w:rPr>
            </w:pPr>
            <w:r>
              <w:rPr>
                <w:rFonts w:ascii="Arial" w:cs="Arial" w:eastAsia="Arial" w:hAnsi="Arial"/>
                <w:sz w:val="18"/>
                <w:szCs w:val="18"/>
                <w:color w:val="auto"/>
              </w:rPr>
              <w:t>Indenture and Notes Solely Corporate Obligations</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7"/>
        </w:trPr>
        <w:tc>
          <w:tcPr>
            <w:tcW w:w="1080" w:type="dxa"/>
            <w:vAlign w:val="bottom"/>
          </w:tcPr>
          <w:p>
            <w:pPr>
              <w:spacing w:after="0"/>
              <w:rPr>
                <w:sz w:val="24"/>
                <w:szCs w:val="24"/>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rPr>
              <w:t>ARTICLE XIII</w:t>
            </w:r>
          </w:p>
        </w:tc>
        <w:tc>
          <w:tcPr>
            <w:tcW w:w="3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9500" w:type="dxa"/>
            <w:vAlign w:val="bottom"/>
          </w:tcPr>
          <w:p>
            <w:pPr>
              <w:jc w:val="center"/>
              <w:ind w:right="630"/>
              <w:spacing w:after="0"/>
              <w:rPr>
                <w:sz w:val="20"/>
                <w:szCs w:val="20"/>
                <w:color w:val="auto"/>
              </w:rPr>
            </w:pPr>
            <w:r>
              <w:rPr>
                <w:rFonts w:ascii="Arial" w:cs="Arial" w:eastAsia="Arial" w:hAnsi="Arial"/>
                <w:sz w:val="18"/>
                <w:szCs w:val="18"/>
                <w:color w:val="auto"/>
                <w:w w:val="94"/>
              </w:rPr>
              <w:t>CONVERSION OF NOTES</w:t>
            </w:r>
          </w:p>
        </w:tc>
        <w:tc>
          <w:tcPr>
            <w:tcW w:w="38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13.01</w:t>
            </w:r>
          </w:p>
        </w:tc>
        <w:tc>
          <w:tcPr>
            <w:tcW w:w="9500" w:type="dxa"/>
            <w:vAlign w:val="bottom"/>
          </w:tcPr>
          <w:p>
            <w:pPr>
              <w:ind w:left="100"/>
              <w:spacing w:after="0"/>
              <w:rPr>
                <w:sz w:val="20"/>
                <w:szCs w:val="20"/>
                <w:color w:val="auto"/>
              </w:rPr>
            </w:pPr>
            <w:r>
              <w:rPr>
                <w:rFonts w:ascii="Arial" w:cs="Arial" w:eastAsia="Arial" w:hAnsi="Arial"/>
                <w:sz w:val="18"/>
                <w:szCs w:val="18"/>
                <w:color w:val="auto"/>
              </w:rPr>
              <w:t>Conversion Privilege</w:t>
            </w: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13.02</w:t>
            </w:r>
          </w:p>
        </w:tc>
        <w:tc>
          <w:tcPr>
            <w:tcW w:w="9500" w:type="dxa"/>
            <w:vAlign w:val="bottom"/>
          </w:tcPr>
          <w:p>
            <w:pPr>
              <w:ind w:left="100"/>
              <w:spacing w:after="0"/>
              <w:rPr>
                <w:sz w:val="20"/>
                <w:szCs w:val="20"/>
                <w:color w:val="auto"/>
              </w:rPr>
            </w:pPr>
            <w:r>
              <w:rPr>
                <w:rFonts w:ascii="Arial" w:cs="Arial" w:eastAsia="Arial" w:hAnsi="Arial"/>
                <w:sz w:val="18"/>
                <w:szCs w:val="18"/>
                <w:color w:val="auto"/>
              </w:rPr>
              <w:t>Conversion Procedure; Settlement Upon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13.03</w:t>
            </w:r>
          </w:p>
        </w:tc>
        <w:tc>
          <w:tcPr>
            <w:tcW w:w="9500" w:type="dxa"/>
            <w:vAlign w:val="bottom"/>
          </w:tcPr>
          <w:p>
            <w:pPr>
              <w:ind w:left="100"/>
              <w:spacing w:after="0"/>
              <w:rPr>
                <w:sz w:val="20"/>
                <w:szCs w:val="20"/>
                <w:color w:val="auto"/>
              </w:rPr>
            </w:pPr>
            <w:r>
              <w:rPr>
                <w:rFonts w:ascii="Arial" w:cs="Arial" w:eastAsia="Arial" w:hAnsi="Arial"/>
                <w:sz w:val="18"/>
                <w:szCs w:val="18"/>
                <w:color w:val="auto"/>
                <w:w w:val="92"/>
              </w:rPr>
              <w:t>Increased Conversion Rate Applicable to Certain Notes Surrendered in Connection with Make-Whole Fundamental Changes or</w:t>
            </w:r>
          </w:p>
        </w:tc>
        <w:tc>
          <w:tcPr>
            <w:tcW w:w="3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auto"/>
              </w:rPr>
              <w:t>During a Redemption Period</w:t>
            </w: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13.04</w:t>
            </w:r>
          </w:p>
        </w:tc>
        <w:tc>
          <w:tcPr>
            <w:tcW w:w="9500" w:type="dxa"/>
            <w:vAlign w:val="bottom"/>
          </w:tcPr>
          <w:p>
            <w:pPr>
              <w:ind w:left="100"/>
              <w:spacing w:after="0"/>
              <w:rPr>
                <w:sz w:val="20"/>
                <w:szCs w:val="20"/>
                <w:color w:val="auto"/>
              </w:rPr>
            </w:pPr>
            <w:r>
              <w:rPr>
                <w:rFonts w:ascii="Arial" w:cs="Arial" w:eastAsia="Arial" w:hAnsi="Arial"/>
                <w:sz w:val="18"/>
                <w:szCs w:val="18"/>
                <w:color w:val="auto"/>
              </w:rPr>
              <w:t>Adjustment of Conversion Rate</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13.05</w:t>
            </w:r>
          </w:p>
        </w:tc>
        <w:tc>
          <w:tcPr>
            <w:tcW w:w="9500" w:type="dxa"/>
            <w:vAlign w:val="bottom"/>
          </w:tcPr>
          <w:p>
            <w:pPr>
              <w:ind w:left="100"/>
              <w:spacing w:after="0"/>
              <w:rPr>
                <w:sz w:val="20"/>
                <w:szCs w:val="20"/>
                <w:color w:val="auto"/>
              </w:rPr>
            </w:pPr>
            <w:r>
              <w:rPr>
                <w:rFonts w:ascii="Arial" w:cs="Arial" w:eastAsia="Arial" w:hAnsi="Arial"/>
                <w:sz w:val="18"/>
                <w:szCs w:val="18"/>
                <w:color w:val="auto"/>
              </w:rPr>
              <w:t>Adjustments of Prices</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13.06</w:t>
            </w:r>
          </w:p>
        </w:tc>
        <w:tc>
          <w:tcPr>
            <w:tcW w:w="9500" w:type="dxa"/>
            <w:vAlign w:val="bottom"/>
          </w:tcPr>
          <w:p>
            <w:pPr>
              <w:ind w:left="100"/>
              <w:spacing w:after="0"/>
              <w:rPr>
                <w:sz w:val="20"/>
                <w:szCs w:val="20"/>
                <w:color w:val="auto"/>
              </w:rPr>
            </w:pPr>
            <w:r>
              <w:rPr>
                <w:rFonts w:ascii="Arial" w:cs="Arial" w:eastAsia="Arial" w:hAnsi="Arial"/>
                <w:sz w:val="18"/>
                <w:szCs w:val="18"/>
                <w:color w:val="auto"/>
              </w:rPr>
              <w:t>Shares to Be Fully Paid</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13.07</w:t>
            </w:r>
          </w:p>
        </w:tc>
        <w:tc>
          <w:tcPr>
            <w:tcW w:w="9500" w:type="dxa"/>
            <w:vAlign w:val="bottom"/>
          </w:tcPr>
          <w:p>
            <w:pPr>
              <w:ind w:left="100"/>
              <w:spacing w:after="0"/>
              <w:rPr>
                <w:sz w:val="20"/>
                <w:szCs w:val="20"/>
                <w:color w:val="auto"/>
              </w:rPr>
            </w:pPr>
            <w:r>
              <w:rPr>
                <w:rFonts w:ascii="Arial" w:cs="Arial" w:eastAsia="Arial" w:hAnsi="Arial"/>
                <w:sz w:val="18"/>
                <w:szCs w:val="18"/>
                <w:color w:val="auto"/>
              </w:rPr>
              <w:t>Effect of Recapitalizations, Reclassifications, and Changes of the Common Stock</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13.08</w:t>
            </w:r>
          </w:p>
        </w:tc>
        <w:tc>
          <w:tcPr>
            <w:tcW w:w="9500" w:type="dxa"/>
            <w:vAlign w:val="bottom"/>
          </w:tcPr>
          <w:p>
            <w:pPr>
              <w:ind w:left="100"/>
              <w:spacing w:after="0"/>
              <w:rPr>
                <w:sz w:val="20"/>
                <w:szCs w:val="20"/>
                <w:color w:val="auto"/>
              </w:rPr>
            </w:pPr>
            <w:r>
              <w:rPr>
                <w:rFonts w:ascii="Arial" w:cs="Arial" w:eastAsia="Arial" w:hAnsi="Arial"/>
                <w:sz w:val="18"/>
                <w:szCs w:val="18"/>
                <w:color w:val="auto"/>
              </w:rPr>
              <w:t>Certain Covenants</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13.09</w:t>
            </w:r>
          </w:p>
        </w:tc>
        <w:tc>
          <w:tcPr>
            <w:tcW w:w="9500" w:type="dxa"/>
            <w:vAlign w:val="bottom"/>
          </w:tcPr>
          <w:p>
            <w:pPr>
              <w:ind w:left="100"/>
              <w:spacing w:after="0"/>
              <w:rPr>
                <w:sz w:val="20"/>
                <w:szCs w:val="20"/>
                <w:color w:val="auto"/>
              </w:rPr>
            </w:pPr>
            <w:r>
              <w:rPr>
                <w:rFonts w:ascii="Arial" w:cs="Arial" w:eastAsia="Arial" w:hAnsi="Arial"/>
                <w:sz w:val="18"/>
                <w:szCs w:val="18"/>
                <w:color w:val="auto"/>
              </w:rPr>
              <w:t>Responsibility of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13.10</w:t>
            </w:r>
          </w:p>
        </w:tc>
        <w:tc>
          <w:tcPr>
            <w:tcW w:w="9500" w:type="dxa"/>
            <w:vAlign w:val="bottom"/>
          </w:tcPr>
          <w:p>
            <w:pPr>
              <w:ind w:left="100"/>
              <w:spacing w:after="0"/>
              <w:rPr>
                <w:sz w:val="20"/>
                <w:szCs w:val="20"/>
                <w:color w:val="auto"/>
              </w:rPr>
            </w:pPr>
            <w:r>
              <w:rPr>
                <w:rFonts w:ascii="Arial" w:cs="Arial" w:eastAsia="Arial" w:hAnsi="Arial"/>
                <w:sz w:val="18"/>
                <w:szCs w:val="18"/>
                <w:color w:val="auto"/>
              </w:rPr>
              <w:t>Notice to Holders Prior to Certain Actions</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13.11</w:t>
            </w:r>
          </w:p>
        </w:tc>
        <w:tc>
          <w:tcPr>
            <w:tcW w:w="9500" w:type="dxa"/>
            <w:vAlign w:val="bottom"/>
          </w:tcPr>
          <w:p>
            <w:pPr>
              <w:ind w:left="100"/>
              <w:spacing w:after="0"/>
              <w:rPr>
                <w:sz w:val="20"/>
                <w:szCs w:val="20"/>
                <w:color w:val="auto"/>
              </w:rPr>
            </w:pPr>
            <w:r>
              <w:rPr>
                <w:rFonts w:ascii="Arial" w:cs="Arial" w:eastAsia="Arial" w:hAnsi="Arial"/>
                <w:sz w:val="18"/>
                <w:szCs w:val="18"/>
                <w:color w:val="auto"/>
              </w:rPr>
              <w:t>Stockholder Rights Plans</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13.12</w:t>
            </w:r>
          </w:p>
        </w:tc>
        <w:tc>
          <w:tcPr>
            <w:tcW w:w="9500" w:type="dxa"/>
            <w:vAlign w:val="bottom"/>
          </w:tcPr>
          <w:p>
            <w:pPr>
              <w:ind w:left="100"/>
              <w:spacing w:after="0"/>
              <w:rPr>
                <w:sz w:val="20"/>
                <w:szCs w:val="20"/>
                <w:color w:val="auto"/>
              </w:rPr>
            </w:pPr>
            <w:r>
              <w:rPr>
                <w:rFonts w:ascii="Arial" w:cs="Arial" w:eastAsia="Arial" w:hAnsi="Arial"/>
                <w:sz w:val="18"/>
                <w:szCs w:val="18"/>
                <w:color w:val="auto"/>
              </w:rPr>
              <w:t>Limit on Issuance of Shares of Common Stock Upon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13.13</w:t>
            </w:r>
          </w:p>
        </w:tc>
        <w:tc>
          <w:tcPr>
            <w:tcW w:w="9500" w:type="dxa"/>
            <w:vAlign w:val="bottom"/>
          </w:tcPr>
          <w:p>
            <w:pPr>
              <w:ind w:left="100"/>
              <w:spacing w:after="0"/>
              <w:rPr>
                <w:sz w:val="20"/>
                <w:szCs w:val="20"/>
                <w:color w:val="auto"/>
              </w:rPr>
            </w:pPr>
            <w:r>
              <w:rPr>
                <w:rFonts w:ascii="Arial" w:cs="Arial" w:eastAsia="Arial" w:hAnsi="Arial"/>
                <w:sz w:val="18"/>
                <w:szCs w:val="18"/>
                <w:color w:val="auto"/>
              </w:rPr>
              <w:t>Exchange in Lieu of Conversion</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7"/>
        </w:trPr>
        <w:tc>
          <w:tcPr>
            <w:tcW w:w="1080" w:type="dxa"/>
            <w:vAlign w:val="bottom"/>
          </w:tcPr>
          <w:p>
            <w:pPr>
              <w:spacing w:after="0"/>
              <w:rPr>
                <w:sz w:val="24"/>
                <w:szCs w:val="24"/>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rPr>
              <w:t>ARTICLE XIV</w:t>
            </w:r>
          </w:p>
        </w:tc>
        <w:tc>
          <w:tcPr>
            <w:tcW w:w="3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9500" w:type="dxa"/>
            <w:vAlign w:val="bottom"/>
          </w:tcPr>
          <w:p>
            <w:pPr>
              <w:jc w:val="center"/>
              <w:ind w:right="610"/>
              <w:spacing w:after="0"/>
              <w:rPr>
                <w:sz w:val="20"/>
                <w:szCs w:val="20"/>
                <w:color w:val="auto"/>
              </w:rPr>
            </w:pPr>
            <w:r>
              <w:rPr>
                <w:rFonts w:ascii="Arial" w:cs="Arial" w:eastAsia="Arial" w:hAnsi="Arial"/>
                <w:sz w:val="18"/>
                <w:szCs w:val="18"/>
                <w:color w:val="auto"/>
                <w:w w:val="94"/>
              </w:rPr>
              <w:t>REPURCHASE OF NOTES AT OPTION OF HOLDERS</w:t>
            </w:r>
          </w:p>
        </w:tc>
        <w:tc>
          <w:tcPr>
            <w:tcW w:w="38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14.01</w:t>
            </w:r>
          </w:p>
        </w:tc>
        <w:tc>
          <w:tcPr>
            <w:tcW w:w="95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14.02  Repurchase at Option of Holders Upon a Fundamental Change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60</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14.03  Withdrawal of Fundamental Change Repurchase Notice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62</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14.04  Deposit of Fundamental Change Repurchase Price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62</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Section 14.05  Covenant to Comply with Applicable Laws Upon Repurchase of Notes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63</w:t>
            </w:r>
          </w:p>
        </w:tc>
      </w:tr>
      <w:tr>
        <w:trPr>
          <w:trHeight w:val="337"/>
        </w:trPr>
        <w:tc>
          <w:tcPr>
            <w:tcW w:w="1080" w:type="dxa"/>
            <w:vAlign w:val="bottom"/>
          </w:tcPr>
          <w:p>
            <w:pPr>
              <w:spacing w:after="0"/>
              <w:rPr>
                <w:sz w:val="24"/>
                <w:szCs w:val="24"/>
                <w:color w:val="auto"/>
              </w:rPr>
            </w:pPr>
          </w:p>
        </w:tc>
        <w:tc>
          <w:tcPr>
            <w:tcW w:w="8500" w:type="dxa"/>
            <w:vAlign w:val="bottom"/>
          </w:tcPr>
          <w:p>
            <w:pPr>
              <w:jc w:val="center"/>
              <w:ind w:left="210"/>
              <w:spacing w:after="0"/>
              <w:rPr>
                <w:sz w:val="20"/>
                <w:szCs w:val="20"/>
                <w:color w:val="auto"/>
              </w:rPr>
            </w:pPr>
            <w:r>
              <w:rPr>
                <w:rFonts w:ascii="Arial" w:cs="Arial" w:eastAsia="Arial" w:hAnsi="Arial"/>
                <w:sz w:val="18"/>
                <w:szCs w:val="18"/>
                <w:color w:val="auto"/>
                <w:w w:val="98"/>
              </w:rPr>
              <w:t>ARTICLE XV</w:t>
            </w:r>
          </w:p>
        </w:tc>
        <w:tc>
          <w:tcPr>
            <w:tcW w:w="14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8500" w:type="dxa"/>
            <w:vAlign w:val="bottom"/>
          </w:tcPr>
          <w:p>
            <w:pPr>
              <w:jc w:val="center"/>
              <w:ind w:left="190"/>
              <w:spacing w:after="0"/>
              <w:rPr>
                <w:sz w:val="20"/>
                <w:szCs w:val="20"/>
                <w:color w:val="auto"/>
              </w:rPr>
            </w:pPr>
            <w:r>
              <w:rPr>
                <w:rFonts w:ascii="Arial" w:cs="Arial" w:eastAsia="Arial" w:hAnsi="Arial"/>
                <w:sz w:val="18"/>
                <w:szCs w:val="18"/>
                <w:color w:val="auto"/>
                <w:w w:val="97"/>
              </w:rPr>
              <w:t>OPTIONAL REDEMPTION</w:t>
            </w:r>
          </w:p>
        </w:tc>
        <w:tc>
          <w:tcPr>
            <w:tcW w:w="14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15.01</w:t>
            </w:r>
          </w:p>
        </w:tc>
        <w:tc>
          <w:tcPr>
            <w:tcW w:w="850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63</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15.02  Notice of Optional Redemption; Selection of Notes.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63</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15.03  Payment of Notes Called for Optional Redemption.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64</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Section 15.04  Restrictions on Redemption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64</w:t>
            </w:r>
          </w:p>
        </w:tc>
      </w:tr>
      <w:tr>
        <w:trPr>
          <w:trHeight w:val="337"/>
        </w:trPr>
        <w:tc>
          <w:tcPr>
            <w:tcW w:w="1080" w:type="dxa"/>
            <w:vAlign w:val="bottom"/>
          </w:tcPr>
          <w:p>
            <w:pPr>
              <w:spacing w:after="0"/>
              <w:rPr>
                <w:sz w:val="24"/>
                <w:szCs w:val="24"/>
                <w:color w:val="auto"/>
              </w:rPr>
            </w:pPr>
          </w:p>
        </w:tc>
        <w:tc>
          <w:tcPr>
            <w:tcW w:w="8500" w:type="dxa"/>
            <w:vAlign w:val="bottom"/>
          </w:tcPr>
          <w:p>
            <w:pPr>
              <w:jc w:val="center"/>
              <w:ind w:left="210"/>
              <w:spacing w:after="0"/>
              <w:rPr>
                <w:sz w:val="20"/>
                <w:szCs w:val="20"/>
                <w:color w:val="auto"/>
              </w:rPr>
            </w:pPr>
            <w:r>
              <w:rPr>
                <w:rFonts w:ascii="Arial" w:cs="Arial" w:eastAsia="Arial" w:hAnsi="Arial"/>
                <w:sz w:val="18"/>
                <w:szCs w:val="18"/>
                <w:color w:val="auto"/>
              </w:rPr>
              <w:t>ARTICLE XVI</w:t>
            </w:r>
          </w:p>
        </w:tc>
        <w:tc>
          <w:tcPr>
            <w:tcW w:w="14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8500" w:type="dxa"/>
            <w:vAlign w:val="bottom"/>
          </w:tcPr>
          <w:p>
            <w:pPr>
              <w:jc w:val="center"/>
              <w:ind w:left="210"/>
              <w:spacing w:after="0"/>
              <w:rPr>
                <w:sz w:val="20"/>
                <w:szCs w:val="20"/>
                <w:color w:val="auto"/>
              </w:rPr>
            </w:pPr>
            <w:r>
              <w:rPr>
                <w:rFonts w:ascii="Arial" w:cs="Arial" w:eastAsia="Arial" w:hAnsi="Arial"/>
                <w:sz w:val="18"/>
                <w:szCs w:val="18"/>
                <w:color w:val="auto"/>
                <w:w w:val="96"/>
              </w:rPr>
              <w:t>MISCELLANEOUS PROVISIONS</w:t>
            </w:r>
          </w:p>
        </w:tc>
        <w:tc>
          <w:tcPr>
            <w:tcW w:w="1440" w:type="dxa"/>
            <w:vAlign w:val="bottom"/>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16.01  Provisions Binding on Company’s Successors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16.02  Official Acts by Successor Corporation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16.03  Addresses for Notices, Etc</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16.04  Governing Law; Jurisdiction</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65</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16.05  Evidence of Compliance with Conditions Precedent; Certificates and Opinions of Counsel to Trustee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16.06</w:t>
            </w:r>
          </w:p>
        </w:tc>
        <w:tc>
          <w:tcPr>
            <w:tcW w:w="850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16.07  No Security Interest Created</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16.08  Benefits of Indenture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16.09  Table of Contents, Headings, Etc</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16.10</w:t>
            </w:r>
          </w:p>
        </w:tc>
        <w:tc>
          <w:tcPr>
            <w:tcW w:w="8500" w:type="dxa"/>
            <w:vAlign w:val="bottom"/>
          </w:tcPr>
          <w:p>
            <w:pPr>
              <w:ind w:left="100"/>
              <w:spacing w:after="0"/>
              <w:rPr>
                <w:sz w:val="20"/>
                <w:szCs w:val="20"/>
                <w:color w:val="auto"/>
              </w:rPr>
            </w:pPr>
            <w:r>
              <w:rPr>
                <w:rFonts w:ascii="Arial" w:cs="Arial" w:eastAsia="Arial" w:hAnsi="Arial"/>
                <w:sz w:val="18"/>
                <w:szCs w:val="18"/>
                <w:color w:val="auto"/>
              </w:rPr>
              <w:t>Authenticating Agent</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66</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16.11  Execution in Counterparts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16.12</w:t>
            </w:r>
          </w:p>
        </w:tc>
        <w:tc>
          <w:tcPr>
            <w:tcW w:w="85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67</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16.13  Waiver of Jury Trial</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16.14</w:t>
            </w:r>
          </w:p>
        </w:tc>
        <w:tc>
          <w:tcPr>
            <w:tcW w:w="850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16.15</w:t>
            </w:r>
          </w:p>
        </w:tc>
        <w:tc>
          <w:tcPr>
            <w:tcW w:w="8500" w:type="dxa"/>
            <w:vAlign w:val="bottom"/>
          </w:tcPr>
          <w:p>
            <w:pPr>
              <w:ind w:left="100"/>
              <w:spacing w:after="0"/>
              <w:rPr>
                <w:sz w:val="20"/>
                <w:szCs w:val="20"/>
                <w:color w:val="auto"/>
              </w:rPr>
            </w:pPr>
            <w:r>
              <w:rPr>
                <w:rFonts w:ascii="Arial" w:cs="Arial" w:eastAsia="Arial" w:hAnsi="Arial"/>
                <w:sz w:val="18"/>
                <w:szCs w:val="18"/>
                <w:color w:val="auto"/>
              </w:rPr>
              <w:t>Calculations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16.16  No Adverse Interpretation of Other Agreements</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Section 16.17  U.S.A. Patriot Act</w:t>
            </w:r>
          </w:p>
        </w:tc>
        <w:tc>
          <w:tcPr>
            <w:tcW w:w="1440" w:type="dxa"/>
            <w:vAlign w:val="bottom"/>
          </w:tcPr>
          <w:p>
            <w:pPr>
              <w:jc w:val="center"/>
              <w:ind w:left="1050"/>
              <w:spacing w:after="0"/>
              <w:rPr>
                <w:sz w:val="20"/>
                <w:szCs w:val="20"/>
                <w:color w:val="auto"/>
              </w:rPr>
            </w:pPr>
            <w:r>
              <w:rPr>
                <w:rFonts w:ascii="Arial" w:cs="Arial" w:eastAsia="Arial" w:hAnsi="Arial"/>
                <w:sz w:val="18"/>
                <w:szCs w:val="18"/>
                <w:color w:val="auto"/>
                <w:w w:val="89"/>
              </w:rPr>
              <w:t>68</w:t>
            </w:r>
          </w:p>
        </w:tc>
      </w:tr>
      <w:tr>
        <w:trPr>
          <w:trHeight w:val="648"/>
        </w:trPr>
        <w:tc>
          <w:tcPr>
            <w:tcW w:w="1080" w:type="dxa"/>
            <w:vAlign w:val="bottom"/>
          </w:tcPr>
          <w:p>
            <w:pPr>
              <w:spacing w:after="0"/>
              <w:rPr>
                <w:sz w:val="24"/>
                <w:szCs w:val="24"/>
                <w:color w:val="auto"/>
              </w:rPr>
            </w:pPr>
          </w:p>
        </w:tc>
        <w:tc>
          <w:tcPr>
            <w:tcW w:w="8500" w:type="dxa"/>
            <w:vAlign w:val="bottom"/>
          </w:tcPr>
          <w:p>
            <w:pPr>
              <w:ind w:left="4060"/>
              <w:spacing w:after="0"/>
              <w:rPr>
                <w:sz w:val="20"/>
                <w:szCs w:val="20"/>
                <w:color w:val="auto"/>
              </w:rPr>
            </w:pPr>
            <w:r>
              <w:rPr>
                <w:rFonts w:ascii="Arial" w:cs="Arial" w:eastAsia="Arial" w:hAnsi="Arial"/>
                <w:sz w:val="18"/>
                <w:szCs w:val="18"/>
                <w:color w:val="auto"/>
              </w:rPr>
              <w:t>EXHIBIT</w:t>
            </w:r>
          </w:p>
        </w:tc>
        <w:tc>
          <w:tcPr>
            <w:tcW w:w="1440" w:type="dxa"/>
            <w:vAlign w:val="bottom"/>
          </w:tcPr>
          <w:p>
            <w:pPr>
              <w:spacing w:after="0"/>
              <w:rPr>
                <w:sz w:val="24"/>
                <w:szCs w:val="24"/>
                <w:color w:val="auto"/>
              </w:rPr>
            </w:pPr>
          </w:p>
        </w:tc>
      </w:tr>
      <w:tr>
        <w:trPr>
          <w:trHeight w:val="459"/>
        </w:trPr>
        <w:tc>
          <w:tcPr>
            <w:tcW w:w="9580" w:type="dxa"/>
            <w:vAlign w:val="bottom"/>
            <w:gridSpan w:val="2"/>
          </w:tcPr>
          <w:p>
            <w:pPr>
              <w:spacing w:after="0"/>
              <w:rPr>
                <w:sz w:val="20"/>
                <w:szCs w:val="20"/>
                <w:color w:val="auto"/>
              </w:rPr>
            </w:pPr>
            <w:r>
              <w:rPr>
                <w:rFonts w:ascii="Arial" w:cs="Arial" w:eastAsia="Arial" w:hAnsi="Arial"/>
                <w:sz w:val="18"/>
                <w:szCs w:val="18"/>
                <w:color w:val="auto"/>
              </w:rPr>
              <w:t>Exhibit A  Form of Note</w:t>
            </w:r>
          </w:p>
        </w:tc>
        <w:tc>
          <w:tcPr>
            <w:tcW w:w="1440" w:type="dxa"/>
            <w:vAlign w:val="bottom"/>
          </w:tcPr>
          <w:p>
            <w:pPr>
              <w:jc w:val="center"/>
              <w:ind w:left="1070"/>
              <w:spacing w:after="0"/>
              <w:rPr>
                <w:sz w:val="20"/>
                <w:szCs w:val="20"/>
                <w:color w:val="auto"/>
              </w:rPr>
            </w:pPr>
            <w:r>
              <w:rPr>
                <w:rFonts w:ascii="Arial" w:cs="Arial" w:eastAsia="Arial" w:hAnsi="Arial"/>
                <w:sz w:val="18"/>
                <w:szCs w:val="18"/>
                <w:color w:val="auto"/>
                <w:w w:val="99"/>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4" w:right="439" w:bottom="1440" w:gutter="0" w:footer="0" w:header="0"/>
        </w:sectPr>
      </w:pPr>
    </w:p>
    <w:bookmarkStart w:id="99" w:name="page100"/>
    <w:bookmarkEnd w:id="99"/>
    <w:p>
      <w:pPr>
        <w:ind w:right="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dated as of February 26, 2021, between DROPBOX,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 Section 1.01) and U.S. BANK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issuance of its 0% Convertible Senior Notes due 2028 (the “</w:t>
      </w:r>
      <w:r>
        <w:rPr>
          <w:rFonts w:ascii="Arial" w:cs="Arial" w:eastAsia="Arial" w:hAnsi="Arial"/>
          <w:sz w:val="17"/>
          <w:szCs w:val="17"/>
          <w:b w:val="1"/>
          <w:bCs w:val="1"/>
          <w:color w:val="auto"/>
        </w:rPr>
        <w:t>Notes</w:t>
      </w:r>
      <w:r>
        <w:rPr>
          <w:rFonts w:ascii="Arial" w:cs="Arial" w:eastAsia="Arial" w:hAnsi="Arial"/>
          <w:sz w:val="17"/>
          <w:szCs w:val="17"/>
          <w:color w:val="auto"/>
        </w:rPr>
        <w:t>”), in an aggregate principal amount of $653,000,000, and in order to provide the terms and conditions upon which the Notes are to be authenticated, issued and delivered, the Company has duly authorized the execution and delivery of this Indenture; and</w:t>
      </w:r>
    </w:p>
    <w:p>
      <w:pPr>
        <w:spacing w:after="0" w:line="165" w:lineRule="exact"/>
        <w:rPr>
          <w:sz w:val="20"/>
          <w:szCs w:val="20"/>
          <w:color w:val="auto"/>
        </w:rPr>
      </w:pPr>
    </w:p>
    <w:p>
      <w:pPr>
        <w:jc w:val="both"/>
        <w:ind w:right="640" w:firstLine="440"/>
        <w:spacing w:after="0" w:line="263" w:lineRule="auto"/>
        <w:rPr>
          <w:sz w:val="20"/>
          <w:szCs w:val="20"/>
          <w:color w:val="auto"/>
        </w:rPr>
      </w:pPr>
      <w:r>
        <w:rPr>
          <w:rFonts w:ascii="Arial" w:cs="Arial" w:eastAsia="Arial" w:hAnsi="Arial"/>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Interest</w:t>
      </w:r>
      <w:r>
        <w:rPr>
          <w:rFonts w:ascii="Arial" w:cs="Arial" w:eastAsia="Arial" w:hAnsi="Arial"/>
          <w:sz w:val="17"/>
          <w:szCs w:val="17"/>
          <w:color w:val="auto"/>
        </w:rPr>
        <w:t>” means all amounts, if any, payable pursuant to Section 4.06(d), Section 4.06(e) and Section 6.03, as applicable.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have the meaning specified in Section 13.03(b).</w:t>
      </w:r>
    </w:p>
    <w:p>
      <w:pPr>
        <w:spacing w:after="0" w:line="225"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6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means the Company or the Person appointed by the Company to solicit bids for the Trading Price of the Notes in accordance with Section 13.01(b)(i). The Company shall initially act as the Bid Solicitation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100" w:name="page101"/>
    <w:bookmarkEnd w:id="10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 or a committee of such board duly authorized to act for it hereunder.</w:t>
      </w:r>
    </w:p>
    <w:p>
      <w:pPr>
        <w:spacing w:after="0" w:line="237"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0"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Note, any day other than a Saturday, a Sunday, or a day on which the Federal Reserve Bank of New York is authorized or required by law or executive order to close or be closed, except that, solely for purposes of the provision described in</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Section 16.06, a day on which the applicable place of payment is authorized or required by law or executive order to close or be closed shall be deemed not to be a “Business Day”.</w:t>
      </w:r>
    </w:p>
    <w:p>
      <w:pPr>
        <w:spacing w:after="0" w:line="18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Percentage</w:t>
      </w:r>
      <w:r>
        <w:rPr>
          <w:rFonts w:ascii="Arial" w:cs="Arial" w:eastAsia="Arial" w:hAnsi="Arial"/>
          <w:sz w:val="18"/>
          <w:szCs w:val="18"/>
          <w:color w:val="auto"/>
        </w:rPr>
        <w:t>” means, upon conversion of a Note, the percentage of each share of Common Stock issuable for the portion of the Conversion Obligation in excess of the principal portion of the Note being converted that will be paid in cash.</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Common Stock</w:t>
      </w:r>
      <w:r>
        <w:rPr>
          <w:rFonts w:ascii="Arial" w:cs="Arial" w:eastAsia="Arial" w:hAnsi="Arial"/>
          <w:sz w:val="17"/>
          <w:szCs w:val="17"/>
          <w:color w:val="auto"/>
        </w:rPr>
        <w:t>” means the Class B common stock of the Company, par value $0.00001 per share, at the date of this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C Common Stock</w:t>
      </w:r>
      <w:r>
        <w:rPr>
          <w:rFonts w:ascii="Arial" w:cs="Arial" w:eastAsia="Arial" w:hAnsi="Arial"/>
          <w:sz w:val="17"/>
          <w:szCs w:val="17"/>
          <w:color w:val="auto"/>
        </w:rPr>
        <w:t>” means the Class C common stock of the Company, par value $0.00001 per share, at the date of this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of the Company, par value $0.00001 per share, at the date of this Indenture, subject to Section 13.07.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Change Event</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specified in the first paragraph of this Indenture, and subject to the provisions of Article XI, shall include its successors and assigns.</w:t>
      </w:r>
    </w:p>
    <w:p>
      <w:pPr>
        <w:spacing w:after="0" w:line="162"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order of the Company, signed by the Company’s Chief Executive Officer, Chief Financial Officer, President, Executive or Senior Vice President or any Vice President (whether or not designated by a number or numbers or word or words added before or after the title “Vice President”), Treasurer or Assistant Treasurer or Secretary or any Assistant Secretary, and delivered to the Trustee.</w:t>
      </w:r>
    </w:p>
    <w:p>
      <w:pPr>
        <w:spacing w:after="0" w:line="158" w:lineRule="exact"/>
        <w:rPr>
          <w:sz w:val="20"/>
          <w:szCs w:val="20"/>
          <w:color w:val="auto"/>
        </w:rPr>
      </w:pPr>
    </w:p>
    <w:p>
      <w:pPr>
        <w:jc w:val="right"/>
        <w:ind w:right="5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Agent</w:t>
      </w:r>
      <w:r>
        <w:rPr>
          <w:rFonts w:ascii="Arial" w:cs="Arial" w:eastAsia="Arial" w:hAnsi="Arial"/>
          <w:sz w:val="17"/>
          <w:szCs w:val="17"/>
          <w:color w:val="auto"/>
        </w:rPr>
        <w:t>” shall have the meaning specified in Section 4.02.</w:t>
      </w:r>
    </w:p>
    <w:p>
      <w:pPr>
        <w:spacing w:after="0" w:line="173" w:lineRule="exact"/>
        <w:rPr>
          <w:sz w:val="20"/>
          <w:szCs w:val="20"/>
          <w:color w:val="auto"/>
        </w:rPr>
      </w:pPr>
    </w:p>
    <w:p>
      <w:pPr>
        <w:jc w:val="right"/>
        <w:ind w:right="5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01" w:name="page102"/>
    <w:bookmarkEnd w:id="1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13.02(c).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 shall have the meaning specified in Section 13.01(a).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time, $1,000, divided by the Conversion Rate as of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have the meaning specified in Section 13.01(a).</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designated office of the Trustee at which at any time this Indenture shall be administered, which office at the date hereof is located at U.S. Bank National Association, 1 California Street, Suite 1000, San Francisco, CA 94111 Attention: D. Jason (Dropbox, Inc. 0% Convertible Senior Notes due 2028),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83"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Trustee, as custodian for The Depository Trust Company, with respect to the Global Notes, or any successor entity appointed by the Depositary as custodian for the Global Notes.</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25 consecutive Trading Days during the Observation Period, one-twenty-fifth (1/25) of the product of (a) the Conversion Rate on such Trading Day and (b) the Daily VWAP for such Trading Day.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25 consecutive Trading Days during the Observation Period, shall consist of:</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cash in an amount equal to the lesser of (i) one-twenty-fifth (1/25) of $1,000 and (ii) the Daily Conversion Value on such Trading Day;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40" w:right="440" w:firstLine="547"/>
        <w:spacing w:after="0" w:line="530" w:lineRule="auto"/>
        <w:tabs>
          <w:tab w:leader="none" w:pos="1246"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Daily Conversion Value on such Trading Day exceeds one-twenty-fifth (1/25) of $1,000, the Daily Net Settlement Amount. “</w:t>
      </w:r>
      <w:r>
        <w:rPr>
          <w:rFonts w:ascii="Arial" w:cs="Arial" w:eastAsia="Arial" w:hAnsi="Arial"/>
          <w:sz w:val="17"/>
          <w:szCs w:val="17"/>
          <w:b w:val="1"/>
          <w:bCs w:val="1"/>
          <w:color w:val="auto"/>
        </w:rPr>
        <w:t>Daily Net Settlement Amount</w:t>
      </w:r>
      <w:r>
        <w:rPr>
          <w:rFonts w:ascii="Arial" w:cs="Arial" w:eastAsia="Arial" w:hAnsi="Arial"/>
          <w:sz w:val="17"/>
          <w:szCs w:val="17"/>
          <w:color w:val="auto"/>
        </w:rPr>
        <w:t>” for each of the 25 consecutive Trading Days during the Observation Period, means:</w:t>
      </w:r>
    </w:p>
    <w:p>
      <w:pPr>
        <w:spacing w:after="0" w:line="1" w:lineRule="exact"/>
        <w:rPr>
          <w:sz w:val="20"/>
          <w:szCs w:val="20"/>
          <w:color w:val="auto"/>
        </w:rPr>
      </w:pPr>
    </w:p>
    <w:p>
      <w:pPr>
        <w:ind w:right="200" w:firstLine="987"/>
        <w:spacing w:after="0" w:line="277"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Company does not elect a Cash Percentage, a number of shares of Common Stock equal to (i) the difference between the Daily Conversion Value and one-twenty-fifth (1/25) of $1,000, divided by (ii) the Daily VWAP for such Trading Day;</w:t>
      </w:r>
    </w:p>
    <w:p>
      <w:pPr>
        <w:spacing w:after="0" w:line="170" w:lineRule="exact"/>
        <w:rPr>
          <w:rFonts w:ascii="Arial" w:cs="Arial" w:eastAsia="Arial" w:hAnsi="Arial"/>
          <w:sz w:val="18"/>
          <w:szCs w:val="18"/>
          <w:color w:val="auto"/>
        </w:rPr>
      </w:pPr>
    </w:p>
    <w:p>
      <w:pPr>
        <w:ind w:right="420" w:firstLine="987"/>
        <w:spacing w:after="0" w:line="277" w:lineRule="auto"/>
        <w:tabs>
          <w:tab w:leader="none" w:pos="12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Company elects a Cash Percentage of 100% as set forth herein, cash in an amount equal to the difference between the Daily Conversion Value and one-twenty-fifth (1/25) of $1,000; or</w:t>
      </w:r>
    </w:p>
    <w:p>
      <w:pPr>
        <w:spacing w:after="0" w:line="170" w:lineRule="exact"/>
        <w:rPr>
          <w:rFonts w:ascii="Arial" w:cs="Arial" w:eastAsia="Arial" w:hAnsi="Arial"/>
          <w:sz w:val="18"/>
          <w:szCs w:val="18"/>
          <w:color w:val="auto"/>
        </w:rPr>
      </w:pPr>
    </w:p>
    <w:p>
      <w:pPr>
        <w:ind w:right="120" w:firstLine="987"/>
        <w:spacing w:after="0" w:line="259"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Company elects a Cash Percentage of less than 100% as set forth herein, (i) cash equal to the product of (x) the difference between the Daily Conversion Value and one-twenty-fifth (1/25) of $1,000 and (y) the Cash Percentage, plus (ii) a number of shares of Common Stock equal to the product of (x) (A) the difference between the Daily Conversion Value and one-twenty-fifth (1/25) of $1,000, divided by (B) the Daily VWAP for such Trading Day and (y) 100% minus the Cash Percentage.</w:t>
      </w:r>
    </w:p>
    <w:p>
      <w:pPr>
        <w:spacing w:after="0" w:line="183"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VWAP</w:t>
      </w:r>
      <w:r>
        <w:rPr>
          <w:rFonts w:ascii="Arial" w:cs="Arial" w:eastAsia="Arial" w:hAnsi="Arial"/>
          <w:sz w:val="18"/>
          <w:szCs w:val="18"/>
          <w:color w:val="auto"/>
        </w:rPr>
        <w:t>” means, for each of the 25 consecutive Trading Days during the relevant Observation Period, the per share volume-weighted average price as displayed under the heading “Bloomberg VWAP” on Bloomberg page “DBX &lt;equity&gt; AQR” (or its equivalent successor if such Bloomberg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Arial" w:cs="Arial" w:eastAsia="Arial" w:hAnsi="Arial"/>
          <w:sz w:val="18"/>
          <w:szCs w:val="18"/>
          <w:b w:val="1"/>
          <w:bCs w:val="1"/>
          <w:color w:val="auto"/>
        </w:rPr>
        <w:t>Daily VWAP</w:t>
      </w:r>
      <w:r>
        <w:rPr>
          <w:rFonts w:ascii="Arial" w:cs="Arial" w:eastAsia="Arial" w:hAnsi="Arial"/>
          <w:sz w:val="18"/>
          <w:szCs w:val="18"/>
          <w:color w:val="auto"/>
        </w:rPr>
        <w:t>” shall be determined without regard to after-hours trading or any other trading outside of the regular trading session trading hours.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02" w:name="page103"/>
    <w:bookmarkEnd w:id="1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jc w:val="both"/>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Note (including, without limitation, the Fundamental Change Repurchase Price, principal, and Special Interest) that are payable but are not punctually paid or duly provided for.</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“Depositary” shall mean or include such successor.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Institution</w:t>
      </w:r>
      <w:r>
        <w:rPr>
          <w:rFonts w:ascii="Arial" w:cs="Arial" w:eastAsia="Arial" w:hAnsi="Arial"/>
          <w:sz w:val="18"/>
          <w:szCs w:val="18"/>
          <w:color w:val="auto"/>
        </w:rPr>
        <w:t>” shall have the meaning specified in Section 13.13.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Wholly Owned Subsidiary of the Company that is a corporation organized and existing under the laws of the United States of America, any State thereof or the District of Columbia.</w:t>
      </w:r>
    </w:p>
    <w:p>
      <w:pPr>
        <w:spacing w:after="0" w:line="162"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13.03(d), except that, as used in Section 13.04 and Section 13.05,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right="3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Ex-Dividend Date</w:t>
      </w:r>
      <w:r>
        <w:rPr>
          <w:rFonts w:ascii="Arial" w:cs="Arial" w:eastAsia="Arial" w:hAnsi="Arial"/>
          <w:sz w:val="17"/>
          <w:szCs w:val="17"/>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shall mean the “Form of Assignment and Transfer” attached as Attachment 3 to the Form of Note attached hereto as Exhibit A.</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Repurchase Notice</w:t>
      </w:r>
      <w:r>
        <w:rPr>
          <w:rFonts w:ascii="Arial" w:cs="Arial" w:eastAsia="Arial" w:hAnsi="Arial"/>
          <w:sz w:val="18"/>
          <w:szCs w:val="18"/>
          <w:color w:val="auto"/>
        </w:rPr>
        <w:t>” shall mean the “Form of Fundamental Change Repurchase Notice” attached as Attachment 2 to the Form of Note attached hereto as Exhibit 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Note</w:t>
      </w:r>
      <w:r>
        <w:rPr>
          <w:rFonts w:ascii="Arial" w:cs="Arial" w:eastAsia="Arial" w:hAnsi="Arial"/>
          <w:sz w:val="18"/>
          <w:szCs w:val="18"/>
          <w:color w:val="auto"/>
        </w:rPr>
        <w:t>” shall mean the “Form of Note” attached hereto as Exhibit A.</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Notice of Conversion</w:t>
      </w:r>
      <w:r>
        <w:rPr>
          <w:rFonts w:ascii="Arial" w:cs="Arial" w:eastAsia="Arial" w:hAnsi="Arial"/>
          <w:sz w:val="18"/>
          <w:szCs w:val="18"/>
          <w:color w:val="auto"/>
        </w:rPr>
        <w:t>” shall mean the “Form of Notice of Conversion” attached as Attachment 1 to the Form of Note attached hereto as Exhibit A.</w:t>
      </w:r>
    </w:p>
    <w:p>
      <w:pPr>
        <w:spacing w:after="0" w:line="1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w:t>
      </w:r>
      <w:r>
        <w:rPr>
          <w:rFonts w:ascii="Arial" w:cs="Arial" w:eastAsia="Arial" w:hAnsi="Arial"/>
          <w:sz w:val="18"/>
          <w:szCs w:val="18"/>
          <w:color w:val="auto"/>
        </w:rPr>
        <w:t>” means, for purposes of the definition of a Fundamental Change, each of (a) Andrew W. Houston, (b) any trust, individual retirement account, or business entity (including any corporation, limited liability company, partnership, foundation, or similar entity) for which Andrew W. Houston retains sole voting and dispositive power with respect to the Class A Common Stock or Class B Common Stock held by such trust, individual retirement account, or business entity (including, without limitation, the Houston Remainder Trust dated 12/30/2010, the Andrew W. Houston Revocable Trust dated 9/7/2011, the Houston 2012 Irrevocable Children’s Trust dated 4/12/2012 and the Andrew Houston Revocable Trust u/a/d 9/7/2011), and the trustees, legal representatives, beneficiaries, and/or beneficial owners of such trust, individual retirement account, or business entity, and (c) the estate, heirs, and lineal descendants of Andrew W. Houston.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03" w:name="page104"/>
    <w:bookmarkEnd w:id="103"/>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Fundamental Change</w:t>
      </w:r>
      <w:r>
        <w:rPr>
          <w:rFonts w:ascii="Arial" w:cs="Arial" w:eastAsia="Arial" w:hAnsi="Arial"/>
          <w:sz w:val="17"/>
          <w:szCs w:val="17"/>
          <w:color w:val="auto"/>
        </w:rPr>
        <w:t>” shall be deemed to have occurred at the time after the Notes are originally issued if any of the following occurs:</w:t>
      </w:r>
    </w:p>
    <w:p>
      <w:pPr>
        <w:spacing w:after="0" w:line="241" w:lineRule="exact"/>
        <w:rPr>
          <w:sz w:val="20"/>
          <w:szCs w:val="20"/>
          <w:color w:val="auto"/>
        </w:rPr>
      </w:pPr>
    </w:p>
    <w:p>
      <w:pPr>
        <w:ind w:left="4" w:firstLine="987"/>
        <w:spacing w:after="0" w:line="285" w:lineRule="auto"/>
        <w:tabs>
          <w:tab w:leader="none" w:pos="12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a “person” or “group” within the meaning of Section 13(d) of the Exchange Act, other than the Company, its direct or indirect Wholly Owned Subsidiaries, the employee benefit plans of the Company or its Wholly Owned Subsidiaries, files a Schedule TO (or any successor schedule, form, or report) or any schedule, form, or report under the Exchange Act disclosing that such person or group has become the direct or indirect “beneficial owner,” as defined in Rule 13d-3 under the Exchange Act, of the Company’s Common Stock representing more than 50% of the voting power of the Company’s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voting power of the Common Stock (or such Common Equity into which the Common Stock has been reclassified), directly or indirectly “beneficially owned,” as defined in Rule 13d-3 under the Exchange Act, by one or more Founders or “group” (that includes the Founders) will exclude (i) any shares of Common Stock (or such Common Equity into which the Common Stock has been reclassified) directly or indirectly beneficially owned by the Founders on the date hereof and (ii) any shares of Common Stock (or such Common Equity into which the Common Stock has been reclassified) directly or indirectly beneficially owned by the Founders as a result of the acquisition by any of the Founders of equity grants (or the exercise or conversion thereof) outstanding on the date hereof or subsequently granted, in each case, made under the Company’s equity incentive plans; provided further, that no person or group shall be deemed to be the beneficial owner of any securities (x) tendered pursuant to a tender or exchange offer made by or on behalf of such “person” or “group” until such tendered securities are accepted for purchase or exchange under such offer or (y) subject to a support, voting, tender or similar agreement, arrangement or understanding (with or without granting a proxy) entered into in connection with a Liquidation Event (as defined in the Company’s Restated Certificate of Incorporation, as in effect on the date hereof), provided that such Liquidation Event was approved by a majority of the Independent Directors (as defined in the Company’s Restated Certificate of Incorporation, as in effect on the date hereof) then in office until such Liquidation Event is consummated;</w:t>
      </w:r>
    </w:p>
    <w:p>
      <w:pPr>
        <w:spacing w:after="0" w:line="176" w:lineRule="exact"/>
        <w:rPr>
          <w:rFonts w:ascii="Arial" w:cs="Arial" w:eastAsia="Arial" w:hAnsi="Arial"/>
          <w:sz w:val="16"/>
          <w:szCs w:val="16"/>
          <w:color w:val="auto"/>
        </w:rPr>
      </w:pPr>
    </w:p>
    <w:p>
      <w:pPr>
        <w:ind w:left="4" w:right="40" w:firstLine="987"/>
        <w:spacing w:after="0" w:line="283" w:lineRule="auto"/>
        <w:tabs>
          <w:tab w:leader="none" w:pos="125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the Common Stock (other than changes resulting from a subdivision or combination or a change in par value, or the reclassification of the Class B Common Stock into Common Stock pursuant to the terms of the Company’s Restated Certificate of Incorporation or the reclassification of the Class C Common Stock into Common Stock pursuant to the terms of the Company’s Restated Certificate of Incorporation, including, in each case, without limitation, any amendment to the Company’s Restated Certificate of Incorporation to remove references to Class A Common Stock, Class B Common Stock or Class C Common Stock and any inoperative provision related to such class of stock or multiple class structure in connection therewith) as a result of which the Common Stock would be converted into, or exchanged for, stock, other securities, or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direct or indirect Wholly Owned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(i) a transaction described in clause (A) or clause</w:t>
      </w:r>
    </w:p>
    <w:p>
      <w:pPr>
        <w:spacing w:after="0" w:line="4" w:lineRule="exact"/>
        <w:rPr>
          <w:rFonts w:ascii="Arial" w:cs="Arial" w:eastAsia="Arial" w:hAnsi="Arial"/>
          <w:sz w:val="16"/>
          <w:szCs w:val="16"/>
          <w:color w:val="auto"/>
        </w:rPr>
      </w:pPr>
    </w:p>
    <w:p>
      <w:pPr>
        <w:ind w:left="4" w:hanging="4"/>
        <w:spacing w:after="0" w:line="292" w:lineRule="auto"/>
        <w:tabs>
          <w:tab w:leader="none" w:pos="289"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nor (ii) any merger of the Company solely for the purpose of changing the Company’s jurisdiction of incorporation, that results in a reclassification, conversion, or exchange of outstanding shares of Common Stock solely into shares of common stock of the surviving entity shall be a Fundamental Change pursuant to this clause (b);</w:t>
      </w:r>
    </w:p>
    <w:p>
      <w:pPr>
        <w:spacing w:after="0" w:line="162" w:lineRule="exact"/>
        <w:rPr>
          <w:rFonts w:ascii="Arial" w:cs="Arial" w:eastAsia="Arial" w:hAnsi="Arial"/>
          <w:sz w:val="16"/>
          <w:szCs w:val="16"/>
          <w:color w:val="auto"/>
        </w:rPr>
      </w:pPr>
    </w:p>
    <w:p>
      <w:pPr>
        <w:ind w:left="1244" w:hanging="253"/>
        <w:spacing w:after="0"/>
        <w:tabs>
          <w:tab w:leader="none" w:pos="124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225" w:lineRule="exact"/>
        <w:rPr>
          <w:rFonts w:ascii="Arial" w:cs="Arial" w:eastAsia="Arial" w:hAnsi="Arial"/>
          <w:sz w:val="18"/>
          <w:szCs w:val="18"/>
          <w:color w:val="auto"/>
        </w:rPr>
      </w:pPr>
    </w:p>
    <w:p>
      <w:pPr>
        <w:ind w:left="4" w:right="620" w:firstLine="987"/>
        <w:spacing w:after="0" w:line="308" w:lineRule="auto"/>
        <w:tabs>
          <w:tab w:leader="none" w:pos="1250"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146" w:lineRule="exact"/>
        <w:rPr>
          <w:sz w:val="20"/>
          <w:szCs w:val="20"/>
          <w:color w:val="auto"/>
        </w:rPr>
      </w:pPr>
    </w:p>
    <w:p>
      <w:pPr>
        <w:jc w:val="both"/>
        <w:ind w:left="4" w:right="2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transaction that constitutes a Fundamental Change pursuant to both clause (a) and clause (b) without giving effect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proviso in clause (b) above shall be deemed a Fundamental Change solely under clause (b) above (subject to the proviso to clause (b));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a transaction or transactions described in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104" w:name="page105"/>
    <w:bookmarkEnd w:id="10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clauses (a) or (b) above shall not constitute a Fundamental Change if at least 90% of the consideration received or to be received by the common stockholders of the Company, excluding cash payments for fractional shares or pursuant to statutory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or pursuant to statutory dissenters’ appraisal rights (subject to the provisions of Section 13.07).</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shall have the meaning specified in Section 14.02(b)(i).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shall have the meaning specified in Section 14.02(a).</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given</w:t>
      </w:r>
      <w:r>
        <w:rPr>
          <w:rFonts w:ascii="Arial" w:cs="Arial" w:eastAsia="Arial" w:hAnsi="Arial"/>
          <w:sz w:val="18"/>
          <w:szCs w:val="18"/>
          <w:color w:val="auto"/>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16.03. Notice so “given” shall be deemed to include any notice to be “mailed” or “delivered,” as applicable, under this Indenture.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2.05(b).</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shall mean any Person in whose name at the time a particular Note is registered on the Note Register.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the initial purchasers identified on Schedule I to the Purchase Agreement.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last quoted bid price per share for the Common Stock in the over-the-counter market on the relevant date as reported by OTC Markets Group Inc. or a similar organization. If the Common Stock is not so quoted,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average of the mid-point of the last bid and last ask prices per share for the Common Stock on the relevant date from each of at least three nationally recognized independent investment banking firms selected by the Company for this purpose.</w:t>
      </w:r>
    </w:p>
    <w:p>
      <w:pPr>
        <w:spacing w:after="0" w:line="17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any transaction or event that constitutes a Fundamental Change (as defined above and determined after giving effect to any exceptions to or exclusions from such definition, but without regard to subclause (i) of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 clause (b) of the definition thereof).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Period</w:t>
      </w:r>
      <w:r>
        <w:rPr>
          <w:rFonts w:ascii="Arial" w:cs="Arial" w:eastAsia="Arial" w:hAnsi="Arial"/>
          <w:sz w:val="18"/>
          <w:szCs w:val="18"/>
          <w:color w:val="auto"/>
        </w:rPr>
        <w:t>” shall have the meaning specified in Section 13.03(b).</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5" w:name="page106"/>
    <w:bookmarkEnd w:id="105"/>
    <w:p>
      <w:pPr>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in the aggregate during regular trading hours of any suspension or limitation imposed on trading (by reason of movements in price exceeding limits permitted by the relevant stock exchange or otherwise) in the Common Stock or in any options contracts or futures contracts traded on any U.S. exchange relating to the Common Stock.</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March 1, 2028.</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shall have the meaning specified in Section 13.01(b)(i).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paragraph of the recitals of this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specified in Section 13.02(b).</w:t>
      </w:r>
    </w:p>
    <w:p>
      <w:pPr>
        <w:spacing w:after="0" w:line="225" w:lineRule="exact"/>
        <w:rPr>
          <w:sz w:val="20"/>
          <w:szCs w:val="20"/>
          <w:color w:val="auto"/>
        </w:rPr>
      </w:pPr>
    </w:p>
    <w:p>
      <w:pPr>
        <w:ind w:left="4" w:right="1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with respect to any Note surrendered for conversion means: (i) if the relevant Conversion Date occurs prior to December 1, 2027, the 25 consecutive Trading Day period beginning on, and including, the second Trading Day immediately succeeding such Conversion Date;</w:t>
      </w:r>
    </w:p>
    <w:p>
      <w:pPr>
        <w:spacing w:after="0" w:line="1" w:lineRule="exact"/>
        <w:rPr>
          <w:sz w:val="20"/>
          <w:szCs w:val="20"/>
          <w:color w:val="auto"/>
        </w:rPr>
      </w:pPr>
    </w:p>
    <w:p>
      <w:pPr>
        <w:ind w:left="4" w:right="120" w:hanging="4"/>
        <w:spacing w:after="0" w:line="253" w:lineRule="auto"/>
        <w:tabs>
          <w:tab w:leader="none" w:pos="2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relevant Conversion Date occurs during a Redemption Period pursuant to Section 15.02, the 25 consecutive Trading Days beginning on, and including, the 26</w:t>
      </w:r>
      <w:r>
        <w:rPr>
          <w:rFonts w:ascii="Arial" w:cs="Arial" w:eastAsia="Arial" w:hAnsi="Arial"/>
          <w:sz w:val="15"/>
          <w:szCs w:val="15"/>
          <w:color w:val="auto"/>
        </w:rPr>
        <w:t>th</w:t>
      </w:r>
      <w:r>
        <w:rPr>
          <w:rFonts w:ascii="Arial" w:cs="Arial" w:eastAsia="Arial" w:hAnsi="Arial"/>
          <w:sz w:val="18"/>
          <w:szCs w:val="18"/>
          <w:color w:val="auto"/>
        </w:rPr>
        <w:t xml:space="preserve"> Scheduled Trading Day immediately preceding the relevant Redemption Date; and (iii) if the relevant Conversion Date occurs on or after December 1, 2027, the 25 consecutive Trading Days beginning on, and including, the 26</w:t>
      </w:r>
      <w:r>
        <w:rPr>
          <w:rFonts w:ascii="Arial" w:cs="Arial" w:eastAsia="Arial" w:hAnsi="Arial"/>
          <w:sz w:val="15"/>
          <w:szCs w:val="15"/>
          <w:color w:val="auto"/>
        </w:rPr>
        <w:t>th</w:t>
      </w:r>
      <w:r>
        <w:rPr>
          <w:rFonts w:ascii="Arial" w:cs="Arial" w:eastAsia="Arial" w:hAnsi="Arial"/>
          <w:sz w:val="18"/>
          <w:szCs w:val="18"/>
          <w:color w:val="auto"/>
        </w:rPr>
        <w:t xml:space="preserve"> Scheduled Trading Day immediately preceding the Maturity Date.</w:t>
      </w:r>
    </w:p>
    <w:p>
      <w:pPr>
        <w:spacing w:after="0" w:line="189"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preliminary offering memorandum dated February 22, 2021, as supplemented by the related pricing term sheet dated February 23, 2021, relating to the offering and sale of the Notes.</w:t>
      </w:r>
    </w:p>
    <w:p>
      <w:pPr>
        <w:spacing w:after="0" w:line="162"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President, any Chief Executive Officer, the Chief Financial Officer, the Chief Accounting Officer, the Treasurer, the Secretary, any Assistant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when used with respect to the Company, means a certificate that is delivered to the Trustee and that is signed by an Officer of the Company. Each such certificate shall include the statements provided for in Section 16.05 if and to the extent required by the provisions of such Section. The Officer giving an Officer’s Certificate pursuant to Section 4.08 shall be the principal executive, financial or accounting officer of the Company.</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is reasonably satisfactory to the Trustee, who may be an employee of or counsel to the Company, that is delivered to the Trustee, which opinion may contain customary exceptions and qualifications as to the matters set forth therein. Each such opinion shall include the statements provided for in Section 16.05 if and to the extent required by the provisions of such Section 16.05.</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Redemption</w:t>
      </w:r>
      <w:r>
        <w:rPr>
          <w:rFonts w:ascii="Arial" w:cs="Arial" w:eastAsia="Arial" w:hAnsi="Arial"/>
          <w:sz w:val="18"/>
          <w:szCs w:val="18"/>
          <w:color w:val="auto"/>
        </w:rPr>
        <w:t>” shall have the meaning specified in Section 15.01.</w:t>
      </w:r>
    </w:p>
    <w:p>
      <w:pPr>
        <w:spacing w:after="0" w:line="225" w:lineRule="exact"/>
        <w:rPr>
          <w:sz w:val="20"/>
          <w:szCs w:val="20"/>
          <w:color w:val="auto"/>
        </w:rPr>
      </w:pPr>
    </w:p>
    <w:p>
      <w:pPr>
        <w:ind w:left="4"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66" w:lineRule="exact"/>
        <w:rPr>
          <w:sz w:val="20"/>
          <w:szCs w:val="20"/>
          <w:color w:val="auto"/>
        </w:rPr>
      </w:pPr>
    </w:p>
    <w:p>
      <w:pPr>
        <w:ind w:left="1244" w:hanging="253"/>
        <w:spacing w:after="0"/>
        <w:tabs>
          <w:tab w:leader="none" w:pos="1244"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225" w:lineRule="exact"/>
        <w:rPr>
          <w:rFonts w:ascii="Arial" w:cs="Arial" w:eastAsia="Arial" w:hAnsi="Arial"/>
          <w:sz w:val="18"/>
          <w:szCs w:val="18"/>
          <w:color w:val="auto"/>
        </w:rPr>
      </w:pPr>
    </w:p>
    <w:p>
      <w:pPr>
        <w:ind w:left="4" w:right="120" w:firstLine="987"/>
        <w:spacing w:after="0" w:line="263" w:lineRule="auto"/>
        <w:tabs>
          <w:tab w:leader="none" w:pos="125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06" w:name="page107"/>
    <w:bookmarkEnd w:id="106"/>
    <w:p>
      <w:pPr>
        <w:ind w:right="120" w:firstLine="987"/>
        <w:spacing w:after="0" w:line="263" w:lineRule="auto"/>
        <w:tabs>
          <w:tab w:leader="none" w:pos="1236"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Notes converted pursuant to Article XIII and required to be canceled pursuant to Section 2.08;</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Notes redeemed pursuant to Article XV; and</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Notes repurchased by the Company pursuant to the penultimate sentence of Section 2.10.</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specified in Section 4.02.</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62"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Notes</w:t>
      </w:r>
      <w:r>
        <w:rPr>
          <w:rFonts w:ascii="Arial" w:cs="Arial" w:eastAsia="Arial" w:hAnsi="Arial"/>
          <w:sz w:val="18"/>
          <w:szCs w:val="18"/>
          <w:color w:val="auto"/>
        </w:rPr>
        <w:t>” means permanent, certificated Notes in registered, non-global form issued in minimum denominations of $1,000 principal amount and integral multiples thereof.</w:t>
      </w:r>
    </w:p>
    <w:p>
      <w:pPr>
        <w:spacing w:after="0" w:line="162" w:lineRule="exact"/>
        <w:rPr>
          <w:sz w:val="20"/>
          <w:szCs w:val="20"/>
          <w:color w:val="auto"/>
        </w:rPr>
      </w:pPr>
    </w:p>
    <w:p>
      <w:pPr>
        <w:ind w:right="3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4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Purchase Agreement, dated as of February 23, 2021, entered into by the Company and the Initial Purchasers in connection with the sale of the Notes.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 Date</w:t>
      </w:r>
      <w:r>
        <w:rPr>
          <w:rFonts w:ascii="Arial" w:cs="Arial" w:eastAsia="Arial" w:hAnsi="Arial"/>
          <w:sz w:val="17"/>
          <w:szCs w:val="17"/>
          <w:color w:val="auto"/>
        </w:rPr>
        <w:t>” means the date on which a Redemption Notice is delivered to the Holders in accordance with Section 15.02.</w:t>
      </w:r>
    </w:p>
    <w:p>
      <w:pPr>
        <w:spacing w:after="0" w:line="237"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Period</w:t>
      </w:r>
      <w:r>
        <w:rPr>
          <w:rFonts w:ascii="Arial" w:cs="Arial" w:eastAsia="Arial" w:hAnsi="Arial"/>
          <w:sz w:val="18"/>
          <w:szCs w:val="18"/>
          <w:color w:val="auto"/>
        </w:rPr>
        <w:t>” means the period from, and including, the relevant Redemption Notice Date until the close of business on the second Scheduled Trading Day immediately preceding the related Redemption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for any Notes to be redeemed pursuant to an Optional Redemption, 100% of the principal amount of such</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Special Interest, if any, to, but excluding, the Redemption Date (unless the Redemption Date falls after a Special Interest Record Date but on or prior to the immediately succeeding Special Interest Payment Date, in which case Special Interest accrued, if any, to the Special Interest Payment Date will be paid to Holders of record of such Notes on such Special Interest Record Date, and the Redemption Price will be equal to 100% of the principal amount of such Notes).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at the Corporate Trust Office who shall have direct responsibility for the administration of this Indenture, and also means any officer of the Trustee to whom any corporate trust matter relating to this Indenture is referred because of such person’s knowledge of and familiarity with the particular subject.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2.05(c).</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as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8"/>
          <w:szCs w:val="18"/>
          <w:b w:val="1"/>
          <w:bCs w:val="1"/>
          <w:color w:val="auto"/>
        </w:rPr>
        <w:t>Scheduled Trading</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means a Business Day.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shall have the meaning specified in Section 13.02(a)(iv).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 shall have the meaning specified in Section 13.02(a)(iii).</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for purposes of Sections 6.01(g), (h) and (i), a Subsidiary of the Company that is a “significant subsidiary” as defined under Article 1, Rule 1-02(w) of Regulation S-X under the Exchange Act (or any successor rule); (or any successor rule); provided that, in the case of a Subsidiary that meets the criteria of clause (1)(iii) of the definition thereof but not clause (1)(i) or (1)(ii) thereof, in each case as such rule is in effect on the date hereof, then such Subsidiary shall not be deemed to be a Significant Subsidiary unless the Subsidiary’s income from continuing operations before income taxes, exclusive of amounts attributable to any non-controlling interests, for the last completed fiscal year prior to the date of such determination exceeds $35,000,000 (with such amount calculated pursuant to Rule 1-02(w) as in effect on the date hereof). For the avoidance of doubt, for purposes of this definition, to the extent any such Subsidiary would not be deemed to be a “significant subsidiary” under the relevant definition set forth in Rule 1-02(w) of Regulation S-X (or any successor rule) as in effect on the relevant date of determination, such Subsidiary shall not be deemed to be a “Significant Subsidiary” under this Indenture irrespective of whether such Subsidiary would otherwise be deemed to be a “Significant Subsidiary” after giving effect to the proviso in the immediately preceding sentence.</w:t>
      </w:r>
    </w:p>
    <w:p>
      <w:pPr>
        <w:spacing w:after="0" w:line="177" w:lineRule="exact"/>
        <w:rPr>
          <w:sz w:val="20"/>
          <w:szCs w:val="20"/>
          <w:color w:val="auto"/>
        </w:rPr>
      </w:pPr>
    </w:p>
    <w:p>
      <w:pPr>
        <w:ind w:right="8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means all amounts, if any, payable pursuant to Section 2.03(c), Section 4.06(d), Section 4.06(e) and Section 6.03, as applicable.</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 Payment Date</w:t>
      </w:r>
      <w:r>
        <w:rPr>
          <w:rFonts w:ascii="Arial" w:cs="Arial" w:eastAsia="Arial" w:hAnsi="Arial"/>
          <w:sz w:val="18"/>
          <w:szCs w:val="18"/>
          <w:color w:val="auto"/>
        </w:rPr>
        <w:t>” means, if and to the extent that Special Interest is payable on the Notes, each March 1 and September 1 of each year, beginning on September 1, 2021.</w:t>
      </w:r>
    </w:p>
    <w:p>
      <w:pPr>
        <w:spacing w:after="0" w:line="162"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Special Interest Record Date</w:t>
      </w:r>
      <w:r>
        <w:rPr>
          <w:rFonts w:ascii="Arial" w:cs="Arial" w:eastAsia="Arial" w:hAnsi="Arial"/>
          <w:sz w:val="16"/>
          <w:szCs w:val="16"/>
          <w:color w:val="auto"/>
        </w:rPr>
        <w:t>,” with respect to any Special Interest Payment Date, shall mean the February 15 or August 15 (whether or not such day is a Business Day) immediately preceding the applicable March 1 or September 1 Special Interest Payment Date,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shall have the meaning specified in Section 13.03(d).</w:t>
      </w:r>
    </w:p>
    <w:p>
      <w:pPr>
        <w:spacing w:after="0" w:line="225"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shall have the meaning specified in Section 11.01(a).</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08" w:name="page109"/>
    <w:bookmarkEnd w:id="108"/>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Common Stock (or such other security) is not so listed or traded, “</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 Business Day;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for purposes of determining amounts due upon conversion only, “</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8"/>
          <w:szCs w:val="18"/>
          <w:b w:val="1"/>
          <w:bCs w:val="1"/>
          <w:color w:val="auto"/>
        </w:rPr>
        <w:t>Trading</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means a Business Day.</w:t>
      </w:r>
    </w:p>
    <w:p>
      <w:pPr>
        <w:spacing w:after="0" w:line="19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Price</w:t>
      </w:r>
      <w:r>
        <w:rPr>
          <w:rFonts w:ascii="Arial" w:cs="Arial" w:eastAsia="Arial" w:hAnsi="Arial"/>
          <w:sz w:val="17"/>
          <w:szCs w:val="17"/>
          <w:color w:val="auto"/>
        </w:rPr>
        <w:t xml:space="preserve">” of the Notes on any date of determination means the average of the secondary market bid quotations obtained by the Bid Solicitation Agent for $2,000,000 principal amount of Notes at approximately 3:30 p.m., New York City time and notified to the Company, on such determination date from three independent nationally recognized securities dealers the Company selects for this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then that one bid shall be used. If the Bid Solicitation Agent cannot reasonably obtain at least one bid for $2,000,000 principal amount of Notes from a nationally recognized securities dealer on any determination date, then the Trading Price per $1,000 principal amount of Notes on such determination date shall be deemed to be less than 98% of the product of the Last Reported Sale Price of the Common Stock and the Conversion Rate.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right="4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any Subsidiary of such Person, except that, solely for purposes of this definition, the reference to “50%” in the definition of “Subsidiary” shall be deemed replaced by a reference to “100%” (except for director qualifying shares or similar requirements).</w:t>
      </w:r>
    </w:p>
    <w:p>
      <w:pPr>
        <w:spacing w:after="0" w:line="180"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References to Interest</w:t>
      </w:r>
      <w:r>
        <w:rPr>
          <w:rFonts w:ascii="Arial" w:cs="Arial" w:eastAsia="Arial" w:hAnsi="Arial"/>
          <w:sz w:val="17"/>
          <w:szCs w:val="17"/>
          <w:color w:val="auto"/>
        </w:rPr>
        <w:t>. Unless the context otherwise requires, any reference to interest on, or in respect of, any Note in this Indenture shall be deemed to refer solely to Special Interest if, in such context, Special Interest is, was or would be payable pursuant to any of Section 4.06(d), Section 4.06(e) and Section 6.03 or to any such interest payable on any Defaulted Amounts as set forth in Section 2.03(c).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DESCRIPTION, EXECUTION, REGISTRATION AND EXCHANGE OF NOTES</w:t>
      </w:r>
    </w:p>
    <w:p>
      <w:pPr>
        <w:spacing w:after="0" w:line="103"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Notes shall be designated as the “0% Convertible Senior Notes due 2028.” The aggregate principal amount of Notes that may be authenticated and delivered under this Indenture is initially limited to $653,000,000, subject to Section 2.10 and except for Notes authenticated and delivered upon registration or transfer of, or in exchange for, or in lieu of other Notes pursuant to Section 2.05, Section 2.06, Section 2.07, Section 10.04, Section 13.02 and Section 14.04.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09" w:name="page110"/>
    <w:bookmarkEnd w:id="109"/>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Form of Notes</w:t>
      </w:r>
      <w:r>
        <w:rPr>
          <w:rFonts w:ascii="Arial" w:cs="Arial" w:eastAsia="Arial" w:hAnsi="Arial"/>
          <w:sz w:val="18"/>
          <w:szCs w:val="18"/>
          <w:color w:val="auto"/>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8"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76"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exchanges or issuances of additional Notes permitted hereby (to the extent such issuances are fungible with the Notes represented by such Global Note for U.S. federal income tax and securities law purposes)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Special Interest on, a Global Note shall be made to the Holder of such Note on the date of payment, unless a record date or other means of determining Holders eligible to receive payment is provided for herein.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Date and Denomination of Notes; No Regular Interest; Special Interest and Defaulted Amounts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Notes shall be issuable in registered form without coupons in denominations of $1,000 principal amount and integral multiples thereof. Each Note shall be dated the date of its authentication and shall not bear regular interest, and the principal amount of the Notes will not accrete. Special Interest on the Notes, if any, shall be computed on the basis of a 360-day year composed of twelve 30-day months and, for partial months, on the basis of the number of days actually elapsed in a 30-day month.</w:t>
      </w:r>
    </w:p>
    <w:p>
      <w:pPr>
        <w:spacing w:after="0" w:line="186" w:lineRule="exact"/>
        <w:rPr>
          <w:rFonts w:ascii="Arial" w:cs="Arial" w:eastAsia="Arial" w:hAnsi="Arial"/>
          <w:sz w:val="18"/>
          <w:szCs w:val="18"/>
          <w:color w:val="auto"/>
        </w:rPr>
      </w:pPr>
    </w:p>
    <w:p>
      <w:pPr>
        <w:ind w:firstLine="987"/>
        <w:spacing w:after="0" w:line="287" w:lineRule="auto"/>
        <w:tabs>
          <w:tab w:leader="none" w:pos="124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Person in whose name any Note (or its Predecessor Note) is registered on the Note Register at the close of business on any Special Interest Record Date with respect to any Special Interest Payment Date shall be entitled to receive any Special Interest payable on such Special Interest Payment Date. The principal amount of any Note shall be payable at the office or agency of the Company maintained by the Company for such purposes in the United States of America, which shall initially be the Corporate Trust Office, or any other office or agency located in the United States of America so designated by the Trustee. The Company shall pay Special Interest, if any, (i) on any Physical Notes (A) to Holders holding Physical Notes having an aggregate principal amount of $5,000,000 or less, by check mailed to the Holders of these Notes at their addresses as they appear in the Note Register and (B) to Holders holding Physical Notes having an aggregate principal amount of more than $5,000,000, either by check mailed to each such Holder or, upon written application by such a Holder to the Note Registrar not later than the relevant Special Interest Record Date, by wire transfer in immediately available funds to that Holder’s account within the United States if such Holder has provided the Company, the Trustee or the Paying Agent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0" w:name="page111"/>
    <w:bookmarkEnd w:id="110"/>
    <w:p>
      <w:pPr>
        <w:ind w:right="140" w:firstLine="987"/>
        <w:spacing w:after="0" w:line="257" w:lineRule="auto"/>
        <w:tabs>
          <w:tab w:leader="none" w:pos="1236"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Defaulted Amounts shall forthwith cease to be payable to the Holder on the relevant payment date and shall not accrue interest unless Special Interest was payable with respect to such Defaulted Amounts on the relevant payment date, in which case such Defaulted Amounts representing unpaid Special Interest shall accrue interest per annum at the then-applicable Special Interest rate from, and including, such relevant payment date, and such Defaulted Amounts together with any interest thereon shall be paid by the Company, at its election in each case, as provided in clause (i) or (ii) below:</w:t>
      </w:r>
    </w:p>
    <w:p>
      <w:pPr>
        <w:spacing w:after="0" w:line="79" w:lineRule="exact"/>
        <w:rPr>
          <w:rFonts w:ascii="Arial" w:cs="Arial" w:eastAsia="Arial" w:hAnsi="Arial"/>
          <w:sz w:val="18"/>
          <w:szCs w:val="18"/>
          <w:color w:val="auto"/>
        </w:rPr>
      </w:pPr>
    </w:p>
    <w:p>
      <w:pPr>
        <w:ind w:left="440" w:firstLine="948"/>
        <w:spacing w:after="0" w:line="285" w:lineRule="auto"/>
        <w:tabs>
          <w:tab w:leader="none" w:pos="1607"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in accordance with Section 16.03, not less than 10 days prior to such special record date (provided the Trustee has received such notice at least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68" w:lineRule="exact"/>
        <w:rPr>
          <w:rFonts w:ascii="Arial" w:cs="Arial" w:eastAsia="Arial" w:hAnsi="Arial"/>
          <w:sz w:val="16"/>
          <w:szCs w:val="16"/>
          <w:color w:val="auto"/>
        </w:rPr>
      </w:pPr>
    </w:p>
    <w:p>
      <w:pPr>
        <w:ind w:left="440" w:right="120" w:firstLine="948"/>
        <w:spacing w:after="0" w:line="279" w:lineRule="auto"/>
        <w:tabs>
          <w:tab w:leader="none" w:pos="1657"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7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Authentication and Delivery of Notes</w:t>
      </w:r>
      <w:r>
        <w:rPr>
          <w:rFonts w:ascii="Arial" w:cs="Arial" w:eastAsia="Arial" w:hAnsi="Arial"/>
          <w:sz w:val="18"/>
          <w:szCs w:val="18"/>
          <w:color w:val="auto"/>
        </w:rPr>
        <w:t>. The Notes shall be signed in the name and on behalf of the Company by the manual, electronic or facsimile signature of its Chief Executive Officer, President, Chief Financial Officer, Treasurer, Secretary, any Assistant Secretary or any of its Executive or Senior Vice Presidents.</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provided that, subject to Section 16.05, the Trustee shall be entitled to receive an Officer’s Certificate and an Opinion of Counsel of the Company with respect to the issuance, authentication and delivery of such Note.</w:t>
      </w:r>
    </w:p>
    <w:p>
      <w:pPr>
        <w:spacing w:after="0" w:line="15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Only such Notes as shall bear thereon a certificate of authentication substantially in the form set forth on the form of Note attached as Exhibit A hereto, executed manually or electronically by an authorized signatory of the Trustee (or an authenticating agent appointed by the Trustee as provided by Section 16.10),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11" w:name="page112"/>
    <w:bookmarkEnd w:id="111"/>
    <w:p>
      <w:pPr>
        <w:ind w:right="2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Exchange and Registration of Transfer of Notes; Restrictions on Transfer; Depositary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5" w:lineRule="auto"/>
        <w:tabs>
          <w:tab w:leader="none" w:pos="123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6"/>
          <w:szCs w:val="16"/>
          <w:b w:val="1"/>
          <w:bCs w:val="1"/>
          <w:color w:val="auto"/>
        </w:rPr>
        <w:t>Note Registrar</w:t>
      </w:r>
      <w:r>
        <w:rPr>
          <w:rFonts w:ascii="Arial" w:cs="Arial" w:eastAsia="Arial" w:hAnsi="Arial"/>
          <w:sz w:val="16"/>
          <w:szCs w:val="16"/>
          <w:color w:val="auto"/>
        </w:rPr>
        <w:t>” for the purpose of registering Notes and transfers of Notes as herein provided. The Company may appoint one or more co-Note Registrars in accordance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4.02.</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Upon surrender for registration of transfer of any Note to the Note Registrar or any co-Note Registrar, and satisfaction of the requirements for such transfer set forth in this Section 2.05, the Company shall execute, and, upon Company Order,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upon Company Order, the Trustee shall authenticate and deliver, the Notes that the Holder making the exchange is entitled to receive, bearing registration numbers not contemporaneously outstanding.</w:t>
      </w:r>
    </w:p>
    <w:p>
      <w:pPr>
        <w:spacing w:after="0" w:line="17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6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XIV or (iii) any Notes selected for redemption in accordance with Article XV, except the unredeemed portion of any Note being redeemed in part.</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12" w:name="page113"/>
    <w:bookmarkEnd w:id="112"/>
    <w:p>
      <w:pPr>
        <w:ind w:right="120" w:firstLine="987"/>
        <w:spacing w:after="0" w:line="275" w:lineRule="auto"/>
        <w:tabs>
          <w:tab w:leader="none" w:pos="1246" w:val="left"/>
        </w:tabs>
        <w:numPr>
          <w:ilvl w:val="0"/>
          <w:numId w:val="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long as the Notes are eligible for book-entry settlement with the Depositary, unless otherwise required by law, subject to the fifth paragraph from the end of Section 2.05(c) all Notes shall be represented by one or more Notes in global form (each, a “</w:t>
      </w:r>
      <w:r>
        <w:rPr>
          <w:rFonts w:ascii="Arial" w:cs="Arial" w:eastAsia="Arial" w:hAnsi="Arial"/>
          <w:sz w:val="17"/>
          <w:szCs w:val="17"/>
          <w:b w:val="1"/>
          <w:bCs w:val="1"/>
          <w:color w:val="auto"/>
        </w:rPr>
        <w:t>Global Note</w:t>
      </w:r>
      <w:r>
        <w:rPr>
          <w:rFonts w:ascii="Arial" w:cs="Arial" w:eastAsia="Arial" w:hAnsi="Arial"/>
          <w:sz w:val="17"/>
          <w:szCs w:val="17"/>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76" w:lineRule="exact"/>
        <w:rPr>
          <w:rFonts w:ascii="Arial" w:cs="Arial" w:eastAsia="Arial" w:hAnsi="Arial"/>
          <w:sz w:val="17"/>
          <w:szCs w:val="17"/>
          <w:color w:val="auto"/>
        </w:rPr>
      </w:pPr>
    </w:p>
    <w:p>
      <w:pPr>
        <w:ind w:firstLine="987"/>
        <w:spacing w:after="0" w:line="293" w:lineRule="auto"/>
        <w:tabs>
          <w:tab w:leader="none" w:pos="12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shall be subject to the restrictions on transfer set forth in this Section 2.05(c) (including those contained in the legend set forth below),</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transfer or other disposition whatsoever of any Restricted Security.</w:t>
      </w:r>
    </w:p>
    <w:p>
      <w:pPr>
        <w:spacing w:after="0" w:line="16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Until the date (the “</w:t>
      </w:r>
      <w:r>
        <w:rPr>
          <w:rFonts w:ascii="Arial" w:cs="Arial" w:eastAsia="Arial" w:hAnsi="Arial"/>
          <w:sz w:val="17"/>
          <w:szCs w:val="17"/>
          <w:b w:val="1"/>
          <w:bCs w:val="1"/>
          <w:color w:val="auto"/>
        </w:rPr>
        <w:t>Resale Restriction Termination Date</w:t>
      </w:r>
      <w:r>
        <w:rPr>
          <w:rFonts w:ascii="Arial" w:cs="Arial" w:eastAsia="Arial" w:hAnsi="Arial"/>
          <w:sz w:val="17"/>
          <w:szCs w:val="17"/>
          <w:color w:val="auto"/>
        </w:rPr>
        <w:t>”) that is the later of (1) the date that is one year after the last date of original issuance of the Notes,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68"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75" w:lineRule="exact"/>
        <w:rPr>
          <w:sz w:val="20"/>
          <w:szCs w:val="20"/>
          <w:color w:val="auto"/>
        </w:rPr>
      </w:pPr>
    </w:p>
    <w:p>
      <w:pPr>
        <w:ind w:left="440" w:right="720" w:hanging="4"/>
        <w:spacing w:after="0" w:line="266"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w:t>
      </w:r>
      <w:r>
        <w:rPr>
          <w:rFonts w:ascii="Arial" w:cs="Arial" w:eastAsia="Arial" w:hAnsi="Arial"/>
          <w:sz w:val="18"/>
          <w:szCs w:val="18"/>
          <w:b w:val="1"/>
          <w:bCs w:val="1"/>
          <w:color w:val="auto"/>
        </w:rPr>
        <w:t>QUALIFIED INSTITUTIONAL BUYER</w:t>
      </w:r>
      <w:r>
        <w:rPr>
          <w:rFonts w:ascii="Arial" w:cs="Arial" w:eastAsia="Arial" w:hAnsi="Arial"/>
          <w:sz w:val="18"/>
          <w:szCs w:val="18"/>
          <w:color w:val="auto"/>
        </w:rPr>
        <w:t>” (WITHIN THE MEANING OF RULE 144A UNDER THE SECURITIES ACT) AND THAT IT EXERCISES SOLE INVESTMENT DISCRETION WITH RESPECT TO EACH SUCH ACCOUNT, AND</w:t>
      </w:r>
    </w:p>
    <w:p>
      <w:pPr>
        <w:spacing w:after="0" w:line="71" w:lineRule="exact"/>
        <w:rPr>
          <w:rFonts w:ascii="Arial" w:cs="Arial" w:eastAsia="Arial" w:hAnsi="Arial"/>
          <w:sz w:val="18"/>
          <w:szCs w:val="18"/>
          <w:color w:val="auto"/>
        </w:rPr>
      </w:pPr>
    </w:p>
    <w:p>
      <w:pPr>
        <w:ind w:left="440" w:right="40" w:hanging="4"/>
        <w:spacing w:after="0" w:line="274" w:lineRule="auto"/>
        <w:tabs>
          <w:tab w:leader="none" w:pos="69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AGREES FOR THE BENEFIT OF DROPBOX, INC. (THE “COMPANY”) THAT IT WILL NOT OFFER, SELL, PLEDGE OR OTHERWISE TRANSFER THIS SECURITY OR ANY BENEFICIAL INTEREST HEREIN PRIOR TO THE DATE THAT IS THE LATER OF</w:t>
      </w:r>
    </w:p>
    <w:p>
      <w:pPr>
        <w:ind w:left="440" w:right="240"/>
        <w:spacing w:after="0" w:line="255" w:lineRule="auto"/>
        <w:rPr>
          <w:rFonts w:ascii="Arial" w:cs="Arial" w:eastAsia="Arial" w:hAnsi="Arial"/>
          <w:sz w:val="17"/>
          <w:szCs w:val="17"/>
          <w:color w:val="auto"/>
        </w:rPr>
      </w:pPr>
      <w:r>
        <w:rPr>
          <w:rFonts w:ascii="Arial" w:cs="Arial" w:eastAsia="Arial" w:hAnsi="Arial"/>
          <w:sz w:val="18"/>
          <w:szCs w:val="18"/>
          <w:color w:val="auto"/>
        </w:rPr>
        <w:t>(X)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81" w:lineRule="exact"/>
        <w:rPr>
          <w:rFonts w:ascii="Arial" w:cs="Arial" w:eastAsia="Arial" w:hAnsi="Arial"/>
          <w:sz w:val="17"/>
          <w:szCs w:val="17"/>
          <w:color w:val="auto"/>
        </w:rPr>
      </w:pPr>
    </w:p>
    <w:p>
      <w:pPr>
        <w:ind w:left="1160" w:hanging="301"/>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1140" w:hanging="281"/>
        <w:spacing w:after="0"/>
        <w:tabs>
          <w:tab w:leader="none" w:pos="11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28" w:lineRule="exact"/>
        <w:rPr>
          <w:rFonts w:ascii="Arial" w:cs="Arial" w:eastAsia="Arial" w:hAnsi="Arial"/>
          <w:sz w:val="17"/>
          <w:szCs w:val="17"/>
          <w:color w:val="auto"/>
        </w:rPr>
      </w:pPr>
    </w:p>
    <w:p>
      <w:pPr>
        <w:ind w:left="1140" w:hanging="281"/>
        <w:spacing w:after="0"/>
        <w:tabs>
          <w:tab w:leader="none" w:pos="11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13" w:name="page114"/>
    <w:bookmarkEnd w:id="113"/>
    <w:p>
      <w:pPr>
        <w:ind w:left="440" w:right="20" w:firstLine="419"/>
        <w:spacing w:after="0" w:line="277" w:lineRule="auto"/>
        <w:tabs>
          <w:tab w:leader="none" w:pos="11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AN EXEMPTION FROM REGISTRATION PROVIDED BY RULE 144 UNDER THE SECURITIES ACT OR ANY OTHER AVAILABLE EXEMPTION FROM THE REGISTRATION REQUIREMENTS OF THE SECURITIES ACT.</w:t>
      </w:r>
    </w:p>
    <w:p>
      <w:pPr>
        <w:spacing w:after="0" w:line="62" w:lineRule="exact"/>
        <w:rPr>
          <w:sz w:val="20"/>
          <w:szCs w:val="20"/>
          <w:color w:val="auto"/>
        </w:rPr>
      </w:pPr>
    </w:p>
    <w:p>
      <w:pPr>
        <w:ind w:left="440" w:right="240"/>
        <w:spacing w:after="0" w:line="255"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84" w:lineRule="exact"/>
        <w:rPr>
          <w:sz w:val="20"/>
          <w:szCs w:val="20"/>
          <w:color w:val="auto"/>
        </w:rPr>
      </w:pPr>
    </w:p>
    <w:p>
      <w:pPr>
        <w:ind w:left="440"/>
        <w:spacing w:after="0" w:line="252" w:lineRule="auto"/>
        <w:rPr>
          <w:sz w:val="20"/>
          <w:szCs w:val="20"/>
          <w:color w:val="auto"/>
        </w:rPr>
      </w:pPr>
      <w:r>
        <w:rPr>
          <w:rFonts w:ascii="Arial" w:cs="Arial" w:eastAsia="Arial" w:hAnsi="Arial"/>
          <w:sz w:val="18"/>
          <w:szCs w:val="18"/>
          <w:color w:val="auto"/>
        </w:rPr>
        <w:t>BY ITS ACQUISITION OF THIS SECURITY, THE HOLDER HEREOF WILL BE DEEMED TO HAVE REPRESENTED AND WARRANTED THAT EITHER (1) NO PORTION OF THE ASSETS USED BY SUCH HOLDER TO ACQUIRE OR HOLD THIS SECURITY CONSTITUTES THE ASSETS OF (A) AN EMPLOYEE BENEFIT PLAN THAT IS SUBJECT TO TITLE I OF THE U.S. EMPLOYEE RETIREMENT INCOME SECURITY ACT OF 1974, AS AMENDED (“ERISA”), (B) A PLAN, INDIVIDUAL RETIREMENT ACCOUNT OR OTHER ARRANGEMENT THAT IS SUBJECT TO SECTION 4975 OF THE U.S. INTERNAL REVENUE CODE OF 1986, AS AMENDED (THE “CODE”), OR PROVISIONS UNDER ANY OTHER U.S. OR NON-U.S. FEDERAL, STATE, LOCAL, NON-U.S. OR OTHER LAWS OR REGULATIONS THAT ARE SIMILAR TO SUCH PROVISIONS OF ERISA OR THE CODE (“COLLECTIVELY, SIMILAR LAWS”), OR OF AN ENTITY WHOSE UNDERLYING ASSETS ARE CONSIDERED TO INCLUDE “PLAN ASSETS” OF ANY SUCH PLAN, ACCOUNT OR ARRANGEMENT, OR (2) THE ACQUISITION, HOLDING AND SUBSEQUENT DISPOSITION OR CONVERSION OF THIS SECURITY DOES NOT AND WILL NOT CONSTITUTE A NON-EXEMPT PROHIBITED TRANSACTION UNDER SECTION 406 OF ERISA OR SECTION 4975 OF THE CODE OR A SIMILAR VIOLATION UNDER ANY APPLICABLE SIMILAR LAWS.</w:t>
      </w:r>
    </w:p>
    <w:p>
      <w:pPr>
        <w:spacing w:after="0" w:line="20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Note (or security issued in exchange or substitution therefor) as to which such restrictions on transfer shall have expired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their terms may, upon surrender of such Note for exchange to the Note Registrar in accordance with the provisions of this Section 2.05, be exchanged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new Note or Notes, of like tenor and aggregate principal amount, which shall not bear the restrictive legend required by this Section 2.05(c)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not be assigned a restricted CUSIP number. The Company shall be entitled to instruct the Custodian in writing to so surrender any Global Note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which such restrictions on transfer shall have expired in accordance with their terms for exchange, and, upon such instruction, the Custodian shall 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surrender such Global Note for exchange; and any new Global Note so exchanged therefor shall not bear the restrictive legend specified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2.05(c) and shall not be assigned a restricted CUSIP number. The Company shall promptly notify the Trustee upon the occurrence of the Resale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Restriction Termination Date and promptly after a registration statement, if any, with respect to the Notes or any Common Stock issued upon conversion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Notes has been declared effective under the Securities Act. Any exchange pursuant to the foregoing paragraph shall be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procedures of the Depositary.</w:t>
      </w:r>
    </w:p>
    <w:p>
      <w:pPr>
        <w:spacing w:after="0" w:line="211"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portion thereof for one or more Physical Notes in accordance with the second immediately succeeding paragraph.</w:t>
      </w:r>
    </w:p>
    <w:p>
      <w:pPr>
        <w:spacing w:after="0" w:line="157"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The Depositary shall be a clearing agency registered under the Exchange Act. The Company has initially appointed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14" w:name="page115"/>
    <w:bookmarkEnd w:id="114"/>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subject to the Depositary’s applicable procedures, and a beneficial owner of any Note requests that its beneficial interest therein be exchanged for a Physical Note, the Company shall execute, and the Trustee, upon receipt of an Officer’s Certificate, Opinion of Counsel and a Company Order for the authentication and delivery of Notes, shall authenticate and deliver, at the Company’s expense, (x) in the case of clause (iii), a Physical Note to such beneficial owner in a principal amount equal to the principal amount of such Note corresponding to such beneficial owner’s beneficial interest and (y) in the case of clause</w:t>
      </w:r>
    </w:p>
    <w:p>
      <w:pPr>
        <w:spacing w:after="0" w:line="2" w:lineRule="exact"/>
        <w:rPr>
          <w:sz w:val="20"/>
          <w:szCs w:val="20"/>
          <w:color w:val="auto"/>
        </w:rPr>
      </w:pPr>
    </w:p>
    <w:p>
      <w:pPr>
        <w:ind w:left="4" w:right="140" w:hanging="4"/>
        <w:spacing w:after="0" w:line="255" w:lineRule="auto"/>
        <w:tabs>
          <w:tab w:leader="none" w:pos="21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9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shall instruct the Trustee. Upon execution and authentication, the Trustee shall deliver, at the Company’s expense, such Physical Notes to the Persons in whose names such Physical Notes are so registered.</w:t>
      </w:r>
    </w:p>
    <w:p>
      <w:pPr>
        <w:spacing w:after="0" w:line="187"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At such time as all interests in a Global Note have been redeemed, converted, canceled, repurchased or transferred, such Global Note shall be, upon receipt thereof, canceled by the Trustee in accordance with its customary procedures and instructions existing between the Depositary and the Custodian. At any time prior to such cancellation, if any interest in a Global Note is exchanged for Physical Notes, converted, canceled, redeemed,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6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None of the Company, the Trustee (including in its capacity as Paying Agent) or any agent of the Company or the Trustee shall have any responsibility or liability for any act or omission of the Depositary or for the payment of amounts to owners of beneficial interest in a Global Note, or for any aspect of the records relating to or payments made on account of beneficial ownership interests of a Global Note or maintaining, supervising or reviewing any records relating to such beneficial ownership interests.</w:t>
      </w:r>
    </w:p>
    <w:p>
      <w:pPr>
        <w:spacing w:after="0" w:line="18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None of the Trustee or any agent shall have any responsibility or obligation to any beneficial owner of an interest in a Global Note, a member of, or a participant in, the Depositary or other Person with respect to the accuracy of the records of the Depositary or its nominee or of any participant member thereof, with respect to any ownership interest in the Notes or with respect to the delivery to any participant, member, beneficial owner or other person (other than the Depositary) of any notice (including any Redemption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the Depositary or its nominee in the case of a Global Note). The rights of beneficial owners in any Global Note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81" w:lineRule="exact"/>
        <w:rPr>
          <w:sz w:val="20"/>
          <w:szCs w:val="20"/>
          <w:color w:val="auto"/>
        </w:rPr>
      </w:pPr>
    </w:p>
    <w:p>
      <w:pPr>
        <w:jc w:val="both"/>
        <w:ind w:left="4" w:right="220" w:firstLine="987"/>
        <w:spacing w:after="0" w:line="301" w:lineRule="auto"/>
        <w:tabs>
          <w:tab w:leader="none" w:pos="125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15" w:name="page116"/>
    <w:bookmarkEnd w:id="11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has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79" w:lineRule="exact"/>
        <w:rPr>
          <w:sz w:val="20"/>
          <w:szCs w:val="20"/>
          <w:color w:val="auto"/>
        </w:rPr>
      </w:pPr>
    </w:p>
    <w:p>
      <w:pPr>
        <w:ind w:left="440" w:right="100"/>
        <w:spacing w:after="0" w:line="263" w:lineRule="auto"/>
        <w:rPr>
          <w:sz w:val="20"/>
          <w:szCs w:val="20"/>
          <w:color w:val="auto"/>
        </w:rPr>
      </w:pPr>
      <w:r>
        <w:rPr>
          <w:rFonts w:ascii="Arial" w:cs="Arial" w:eastAsia="Arial" w:hAnsi="Arial"/>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6" w:lineRule="exact"/>
        <w:rPr>
          <w:sz w:val="20"/>
          <w:szCs w:val="20"/>
          <w:color w:val="auto"/>
        </w:rPr>
      </w:pPr>
    </w:p>
    <w:p>
      <w:pPr>
        <w:ind w:left="440" w:right="20" w:hanging="4"/>
        <w:spacing w:after="0" w:line="263"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5" w:lineRule="exact"/>
        <w:rPr>
          <w:rFonts w:ascii="Arial" w:cs="Arial" w:eastAsia="Arial" w:hAnsi="Arial"/>
          <w:sz w:val="18"/>
          <w:szCs w:val="18"/>
          <w:color w:val="auto"/>
        </w:rPr>
      </w:pPr>
    </w:p>
    <w:p>
      <w:pPr>
        <w:ind w:left="440" w:right="40" w:hanging="4"/>
        <w:spacing w:after="0" w:line="274"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AGREES FOR THE BENEFIT OF DROPBOX, INC. (THE “COMPANY”) THAT IT WILL NOT OFFER, SELL, PLEDGE OR OTHERWISE TRANSFER THIS SECURITY OR ANY BENEFICIAL INTEREST HEREIN PRIOR TO THE DATE THAT IS THE LATER OF</w:t>
      </w:r>
    </w:p>
    <w:p>
      <w:pPr>
        <w:ind w:left="440" w:right="180"/>
        <w:spacing w:after="0" w:line="253" w:lineRule="auto"/>
        <w:rPr>
          <w:rFonts w:ascii="Arial" w:cs="Arial" w:eastAsia="Arial" w:hAnsi="Arial"/>
          <w:sz w:val="17"/>
          <w:szCs w:val="17"/>
          <w:color w:val="auto"/>
        </w:rPr>
      </w:pPr>
      <w:r>
        <w:rPr>
          <w:rFonts w:ascii="Arial" w:cs="Arial" w:eastAsia="Arial" w:hAnsi="Arial"/>
          <w:sz w:val="18"/>
          <w:szCs w:val="18"/>
          <w:color w:val="auto"/>
        </w:rPr>
        <w:t>(X)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84" w:lineRule="exact"/>
        <w:rPr>
          <w:rFonts w:ascii="Arial" w:cs="Arial" w:eastAsia="Arial" w:hAnsi="Arial"/>
          <w:sz w:val="17"/>
          <w:szCs w:val="17"/>
          <w:color w:val="auto"/>
        </w:rPr>
      </w:pPr>
    </w:p>
    <w:p>
      <w:pPr>
        <w:ind w:left="1160" w:hanging="301"/>
        <w:spacing w:after="0"/>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1140" w:hanging="281"/>
        <w:spacing w:after="0"/>
        <w:tabs>
          <w:tab w:leader="none" w:pos="11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28" w:lineRule="exact"/>
        <w:rPr>
          <w:rFonts w:ascii="Arial" w:cs="Arial" w:eastAsia="Arial" w:hAnsi="Arial"/>
          <w:sz w:val="17"/>
          <w:szCs w:val="17"/>
          <w:color w:val="auto"/>
        </w:rPr>
      </w:pPr>
    </w:p>
    <w:p>
      <w:pPr>
        <w:ind w:left="1140" w:hanging="281"/>
        <w:spacing w:after="0"/>
        <w:tabs>
          <w:tab w:leader="none" w:pos="1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17" w:lineRule="exact"/>
        <w:rPr>
          <w:rFonts w:ascii="Arial" w:cs="Arial" w:eastAsia="Arial" w:hAnsi="Arial"/>
          <w:sz w:val="18"/>
          <w:szCs w:val="18"/>
          <w:color w:val="auto"/>
        </w:rPr>
      </w:pPr>
    </w:p>
    <w:p>
      <w:pPr>
        <w:ind w:left="440" w:firstLine="419"/>
        <w:spacing w:after="0" w:line="277" w:lineRule="auto"/>
        <w:tabs>
          <w:tab w:leader="none" w:pos="115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62" w:lineRule="exact"/>
        <w:rPr>
          <w:sz w:val="20"/>
          <w:szCs w:val="20"/>
          <w:color w:val="auto"/>
        </w:rPr>
      </w:pPr>
    </w:p>
    <w:p>
      <w:pPr>
        <w:ind w:left="440" w:right="220"/>
        <w:spacing w:after="0" w:line="259"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w:t>
      </w:r>
    </w:p>
    <w:p>
      <w:pPr>
        <w:spacing w:after="0" w:line="79" w:lineRule="exact"/>
        <w:rPr>
          <w:sz w:val="20"/>
          <w:szCs w:val="20"/>
          <w:color w:val="auto"/>
        </w:rPr>
      </w:pPr>
    </w:p>
    <w:p>
      <w:pPr>
        <w:ind w:left="440" w:right="240"/>
        <w:spacing w:after="0" w:line="263" w:lineRule="auto"/>
        <w:rPr>
          <w:sz w:val="20"/>
          <w:szCs w:val="20"/>
          <w:color w:val="auto"/>
        </w:rPr>
      </w:pPr>
      <w:r>
        <w:rPr>
          <w:rFonts w:ascii="Arial" w:cs="Arial" w:eastAsia="Arial" w:hAnsi="Arial"/>
          <w:sz w:val="18"/>
          <w:szCs w:val="18"/>
          <w:color w:val="auto"/>
        </w:rPr>
        <w:t>TRANSFER IS BEING MADE IN COMPLIANCE WITH THE SECURITIES ACT AND APPLICABLE STATE SECURITIES LAWS. NO REPRESENTATION IS MADE AS TO THE AVAILABILITY OF ANY EXEMPTION FROM THE REGISTRATION REQUIREMENTS OF THE SECURITIES ACT.</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16" w:name="page117"/>
    <w:bookmarkEnd w:id="116"/>
    <w:p>
      <w:pPr>
        <w:ind w:right="80" w:firstLine="987"/>
        <w:spacing w:after="0" w:line="254" w:lineRule="auto"/>
        <w:tabs>
          <w:tab w:leader="none" w:pos="12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Note or Common Stock issued upon the conversion or exchange of a Note that is repurchased or owned by any Affiliate of the Company (or any Person who was an Affiliate of the Company at any time during the three months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Any Note that is repurchased or owned by the Company or any Affiliate of the Company will be considered outstanding for all purposes under this Indenture (other than as set forth in Section 8.04) unless and until such Note is surrendered to the Trustee for cancellation in accordance with Section 2.08.</w:t>
      </w:r>
    </w:p>
    <w:p>
      <w:pPr>
        <w:spacing w:after="0" w:line="194" w:lineRule="exact"/>
        <w:rPr>
          <w:rFonts w:ascii="Arial" w:cs="Arial" w:eastAsia="Arial" w:hAnsi="Arial"/>
          <w:sz w:val="18"/>
          <w:szCs w:val="18"/>
          <w:color w:val="auto"/>
        </w:rPr>
      </w:pPr>
    </w:p>
    <w:p>
      <w:pPr>
        <w:ind w:right="420" w:firstLine="987"/>
        <w:spacing w:after="0" w:line="257" w:lineRule="auto"/>
        <w:tabs>
          <w:tab w:leader="none" w:pos="121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or holders of any Global Note) other than to require delivery of such certificates and other documentation or evidence as are expressly required by the terms of this Indenture, and to examine the same to determine substantial compliance as to form with the express requirements thereof.</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Neither the Trustee nor any agent shall have any responsibility or liability for any actions taken or not taken by the Depositary.</w:t>
      </w:r>
    </w:p>
    <w:p>
      <w:pPr>
        <w:spacing w:after="0" w:line="23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Mutilated, Destroyed, Lost or Stolen Notes</w:t>
      </w:r>
      <w:r>
        <w:rPr>
          <w:rFonts w:ascii="Arial" w:cs="Arial" w:eastAsia="Arial" w:hAnsi="Arial"/>
          <w:sz w:val="17"/>
          <w:szCs w:val="17"/>
          <w:color w:val="auto"/>
        </w:rPr>
        <w:t>. In case any Note shall become mutilated or be destroyed, lost or stolen, the Company in its discretion may execute, and upon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7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XIII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Note and of the ownership thereof.</w:t>
      </w:r>
    </w:p>
    <w:p>
      <w:pPr>
        <w:spacing w:after="0" w:line="168"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redemption or repurchase of mutilated, destroyed, lost or stolen Notes and shall preclude any and all other rights or remedies notwithstanding any law or statute existing or hereafter enacted to the contrary with respect to the replacement, payment, repurchase, redemption or conversion of negotiable instruments or other securities without their surrender.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17" w:name="page118"/>
    <w:bookmarkEnd w:id="117"/>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2.07 </w:t>
      </w:r>
      <w:r>
        <w:rPr>
          <w:rFonts w:ascii="Arial" w:cs="Arial" w:eastAsia="Arial" w:hAnsi="Arial"/>
          <w:sz w:val="16"/>
          <w:szCs w:val="16"/>
          <w:u w:val="single" w:color="auto"/>
          <w:color w:val="auto"/>
        </w:rPr>
        <w:t>Temporary Notes</w:t>
      </w:r>
      <w:r>
        <w:rPr>
          <w:rFonts w:ascii="Arial" w:cs="Arial" w:eastAsia="Arial" w:hAnsi="Arial"/>
          <w:sz w:val="16"/>
          <w:szCs w:val="16"/>
          <w:color w:val="auto"/>
        </w:rPr>
        <w:t>. Pending the preparation of Physical Notes, the Company may execute and the Trustee or an authenticating agent appointed by the Trustee shall, upon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72"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 of Notes Paid, Converted, Etc</w:t>
      </w:r>
      <w:r>
        <w:rPr>
          <w:rFonts w:ascii="Arial" w:cs="Arial" w:eastAsia="Arial" w:hAnsi="Arial"/>
          <w:sz w:val="18"/>
          <w:szCs w:val="18"/>
          <w:color w:val="auto"/>
        </w:rPr>
        <w:t>. The Company shall cause all Notes surrendered for the purpose of payment at maturity, redemption, registration of transfer or exchange or conversion, if surrendered to any of the Company’s agents, Subsidiaries, or Affiliates, to be surrendered to the Trustee for cancellation and they will no longer be considered “outstanding” under this Indenture upon their payment at maturity, redemption, registration of transfer or exchange or conversion. All Notes delivered to the Trustee shall be canceled by it in accordance with its customary procedures. Except for any Notes surrendered for registration of transfer or exchange, no Notes shall be authenticated in exchange therefor except as expressly permitted by any of the provisions of this Indenture. The Trustee shall dispose of canceled Notes in accordance with its customary procedures and, after such disposition, shall deliver a certificate of such disposition to the Company, at the Company’s written request in a Company Order.</w:t>
      </w:r>
    </w:p>
    <w:p>
      <w:pPr>
        <w:spacing w:after="0" w:line="192"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CUSIP Numbers</w:t>
      </w:r>
      <w:r>
        <w:rPr>
          <w:rFonts w:ascii="Arial" w:cs="Arial" w:eastAsia="Arial" w:hAnsi="Arial"/>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for any defect in the “CUSIP” numbers as they appear on any Note, notice or elsewhere,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Additional Notes; Repurchases</w:t>
      </w:r>
      <w:r>
        <w:rPr>
          <w:rFonts w:ascii="Arial" w:cs="Arial" w:eastAsia="Arial" w:hAnsi="Arial"/>
          <w:sz w:val="16"/>
          <w:szCs w:val="16"/>
          <w:color w:val="auto"/>
        </w:rPr>
        <w:t xml:space="preserve">. The Company may, without the consent of the Holders and notwithstanding Section 2.01, reopen this Indenture and issue additional Notes hereunder with the same terms as the Notes initially issued hereunder (except for any differences in the issue date, issue price and, if applicable, restrictions on transfer in respect of such additional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16.05. In addition, the Company may, to the extent permitted by law, and directly or indirectly (regardless of whether such Notes are surrendered to the Company), repurchase Notes in the open market or otherwise, with or without notice to Holders, whether by the Company or its Subsidiaries or through a private or public tender or exchange offer or through counterparties pursuant to private agreements, including by cash-settled swaps or other derivatives. The Company may, at its option and to the extent permitted by applicable law, reissue, resell, hold or surrender to the Trustee for cancellation, any Notes that it may repurchase, in the case of a reissuance or resale, so long as the Notes do not constitute “restricted securities” within the meaning of Rule 144(a)(3) under the Securities Act upon such reissuance or resale. Any Notes that the Company or its Subsidiaries may repurchase will be considered outstanding for all purposes under this Indenture (other than, at any time when such Notes are held by the Company, any of its Subsidiaries or its Affiliates or any Subsidiary of any of such Affiliates, for the purpose of determining whether Holders of the requisite aggregate principal amount of Notes have concurred in any direction, consent, waiver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18" w:name="page119"/>
    <w:bookmarkEnd w:id="118"/>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other action under this Indenture, such Notes shall be disregarded as set forth in Section 8.04) unless and until such time as the Company surrenders such Notes to the Trustee for cancellation and, upon receipt of a Company Order, the Trustee will cancel all Notes so surrendered in accordance with Section 2.08.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10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Satisfaction and Discharge</w:t>
      </w:r>
      <w:r>
        <w:rPr>
          <w:rFonts w:ascii="Arial" w:cs="Arial" w:eastAsia="Arial" w:hAnsi="Arial"/>
          <w:sz w:val="17"/>
          <w:szCs w:val="17"/>
          <w:color w:val="auto"/>
        </w:rPr>
        <w:t>. This Indenture shall upon request of the Company contained in an Officer’s Certificate cease to be of further effect, and the Trustee, at the expense of the Company, shall execute such instruments reasonably requested by the Company acknowledging satisfaction and discharge of this Indenture, when (a) (i) all Notes theretofore authenticated and delivered (other than (x) Notes which have been destroyed, lost or stolen and which have been replaced, paid or converted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and shares of Common Stock, if any,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 COVENANTS OF THE COMPANY</w:t>
      </w:r>
    </w:p>
    <w:p>
      <w:pPr>
        <w:spacing w:after="0" w:line="103"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Payment of Principal and Special Interest</w:t>
      </w:r>
      <w:r>
        <w:rPr>
          <w:rFonts w:ascii="Arial" w:cs="Arial" w:eastAsia="Arial" w:hAnsi="Arial"/>
          <w:sz w:val="17"/>
          <w:szCs w:val="17"/>
          <w:color w:val="auto"/>
        </w:rPr>
        <w:t>. The Company covenants and agrees that it will cause to be paid the principal (including the Redemption Price and the Fundamental Change Repurchase Price, if applicable) of, and any accrued and unpaid Special Interest on, each of the Notes at the places, at the respective times and in the manner provided herein and in the Notes.</w:t>
      </w:r>
    </w:p>
    <w:p>
      <w:pPr>
        <w:spacing w:after="0" w:line="165"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an office or agency, which initially shall be the Corporate Trust Office, where the Notes may be surrendered for registration of transfer or exchange or for presentation for payment or repurchase (“</w:t>
      </w:r>
      <w:r>
        <w:rPr>
          <w:rFonts w:ascii="Arial" w:cs="Arial" w:eastAsia="Arial" w:hAnsi="Arial"/>
          <w:sz w:val="16"/>
          <w:szCs w:val="16"/>
          <w:b w:val="1"/>
          <w:bCs w:val="1"/>
          <w:color w:val="auto"/>
        </w:rPr>
        <w:t>Paying 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w:t>
      </w:r>
    </w:p>
    <w:p>
      <w:pPr>
        <w:spacing w:after="0" w:line="15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designation or rescission shall in any manner relieve the Company of its obligation to maintain an office or agency in the United States of America so designated by the Trustee as a place for such purposes. The Company will give prompt written notice to the Trustee of any such designation or rescission and of any change in the location of any such other office or agency. The terms “</w:t>
      </w:r>
      <w:r>
        <w:rPr>
          <w:rFonts w:ascii="Arial" w:cs="Arial" w:eastAsia="Arial" w:hAnsi="Arial"/>
          <w:sz w:val="18"/>
          <w:szCs w:val="18"/>
          <w:b w:val="1"/>
          <w:bCs w:val="1"/>
          <w:color w:val="auto"/>
        </w:rPr>
        <w:t>Paying Agent</w:t>
      </w:r>
      <w:r>
        <w:rPr>
          <w:rFonts w:ascii="Arial" w:cs="Arial" w:eastAsia="Arial" w:hAnsi="Arial"/>
          <w:sz w:val="18"/>
          <w:szCs w:val="18"/>
          <w:color w:val="auto"/>
        </w:rPr>
        <w:t>” and “</w:t>
      </w:r>
      <w:r>
        <w:rPr>
          <w:rFonts w:ascii="Arial" w:cs="Arial" w:eastAsia="Arial" w:hAnsi="Arial"/>
          <w:sz w:val="18"/>
          <w:szCs w:val="18"/>
          <w:b w:val="1"/>
          <w:bCs w:val="1"/>
          <w:color w:val="auto"/>
        </w:rPr>
        <w:t>Conversion Agent</w:t>
      </w:r>
      <w:r>
        <w:rPr>
          <w:rFonts w:ascii="Arial" w:cs="Arial" w:eastAsia="Arial" w:hAnsi="Arial"/>
          <w:sz w:val="18"/>
          <w:szCs w:val="18"/>
          <w:color w:val="auto"/>
        </w:rPr>
        <w:t>” include any such additional or other offices or agencies, as applicable.</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The Company hereby initially designates the Trustee as the Paying Agent, Note Registrar and Conversion Agent and the Corporate Trust Office as the office or agency in the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Corporate Trust Office shall not be a place for service of legal process for the Company.</w:t>
      </w:r>
    </w:p>
    <w:p>
      <w:pPr>
        <w:spacing w:after="0" w:line="171"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Appointments to Fill Vacancies in Trustee’s Office</w:t>
      </w:r>
      <w:r>
        <w:rPr>
          <w:rFonts w:ascii="Arial" w:cs="Arial" w:eastAsia="Arial" w:hAnsi="Arial"/>
          <w:sz w:val="17"/>
          <w:szCs w:val="17"/>
          <w:color w:val="auto"/>
        </w:rPr>
        <w:t>. The Company, whenever necessary to avoid or fill a vacancy in the office of Trustee, will appoint, in the manner provided in Section 7.09, a Trustee, so that there shall at all times be a Trustee hereunder.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19" w:name="page120"/>
    <w:bookmarkEnd w:id="119"/>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4.04 </w:t>
      </w:r>
      <w:r>
        <w:rPr>
          <w:rFonts w:ascii="Arial" w:cs="Arial" w:eastAsia="Arial" w:hAnsi="Arial"/>
          <w:sz w:val="18"/>
          <w:szCs w:val="18"/>
          <w:u w:val="single" w:color="auto"/>
          <w:color w:val="auto"/>
        </w:rPr>
        <w:t>Provisions as to Paying Agent</w:t>
      </w:r>
      <w:r>
        <w:rPr>
          <w:rFonts w:ascii="Arial" w:cs="Arial" w:eastAsia="Arial" w:hAnsi="Arial"/>
          <w:sz w:val="18"/>
          <w:szCs w:val="18"/>
          <w:color w:val="auto"/>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76" w:lineRule="exact"/>
        <w:rPr>
          <w:sz w:val="20"/>
          <w:szCs w:val="20"/>
          <w:color w:val="auto"/>
        </w:rPr>
      </w:pPr>
    </w:p>
    <w:p>
      <w:pPr>
        <w:ind w:left="440" w:right="160" w:firstLine="948"/>
        <w:spacing w:after="0" w:line="263" w:lineRule="auto"/>
        <w:tabs>
          <w:tab w:leader="none" w:pos="160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(including the Redemption Price and Fundamental Change Repurchase Price, if applicable) of, and any accrued and unpaid Special Interest on, the Notes in trust for the benefit of the Holders of the Notes;</w:t>
      </w:r>
    </w:p>
    <w:p>
      <w:pPr>
        <w:spacing w:after="0" w:line="75"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it will give the Trustee prompt notice of any failure by the Company to make any payment of the principal (including the Redemption Price and Fundamental Change Repurchase Price, if applicable) of, and accrued and unpaid Special Interest on, the Notes when the same shall be due and payable; and</w:t>
      </w:r>
    </w:p>
    <w:p>
      <w:pPr>
        <w:spacing w:after="0" w:line="75" w:lineRule="exact"/>
        <w:rPr>
          <w:rFonts w:ascii="Arial" w:cs="Arial" w:eastAsia="Arial" w:hAnsi="Arial"/>
          <w:sz w:val="18"/>
          <w:szCs w:val="18"/>
          <w:color w:val="auto"/>
        </w:rPr>
      </w:pPr>
    </w:p>
    <w:p>
      <w:pPr>
        <w:ind w:left="440" w:firstLine="948"/>
        <w:spacing w:after="0" w:line="277" w:lineRule="auto"/>
        <w:tabs>
          <w:tab w:leader="none" w:pos="170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17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The Company shall, on or before each due date of the principal (including the Redemption Price and the Fundamental Change Repurchase Price, if applicable) of, or any accrued and unpaid Special Interest on, the Notes, deposit with the Paying Agent a sum sufficient to pay such principal (including the Redemption Price and the Fundamental Change Repurchase Price, if applicable) or any such accrued and unpaid Special Interest, and (unless such Paying Agent is the Trustee) the Company will promptly notify the Trustee of any failure to take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deposit is made on the due date, such deposit must be received by the Paying Agent by 11:00 a.m., New York City time, on such date.</w:t>
      </w:r>
    </w:p>
    <w:p>
      <w:pPr>
        <w:spacing w:after="0" w:line="161" w:lineRule="exact"/>
        <w:rPr>
          <w:sz w:val="20"/>
          <w:szCs w:val="20"/>
          <w:color w:val="auto"/>
        </w:rPr>
      </w:pPr>
    </w:p>
    <w:p>
      <w:pPr>
        <w:ind w:right="40" w:firstLine="987"/>
        <w:spacing w:after="0" w:line="254"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Company shall act as its own Paying Agent, it will, on or before each due date of the principal (including the Redemption Price and the Fundamental Change Repurchase Price, if applicable) of, and any accrued and unpaid Special Interest on, the Notes, set aside, segregate and hold in trust for the benefit of the Holders of the Notes a sum sufficient to pay such principal (including the Redemption Price and the Fundamental Change Repurchase Price, if applicable) and any accrued and unpaid Special Interest so becoming due and will promptly notify the Trustee in writing of any failure to take such action and of any failure by the Company to make any payment of the principal (including the Redemption Price and the Fundamental Change Repurchase Price, if applicable) of, or any accrued and unpaid Special Interest on, the Notes when the same shall become due and payable.</w:t>
      </w:r>
    </w:p>
    <w:p>
      <w:pPr>
        <w:spacing w:after="0" w:line="194" w:lineRule="exact"/>
        <w:rPr>
          <w:rFonts w:ascii="Arial" w:cs="Arial" w:eastAsia="Arial" w:hAnsi="Arial"/>
          <w:sz w:val="18"/>
          <w:szCs w:val="18"/>
          <w:color w:val="auto"/>
        </w:rPr>
      </w:pPr>
    </w:p>
    <w:p>
      <w:pPr>
        <w:ind w:right="40" w:firstLine="987"/>
        <w:spacing w:after="0" w:line="257" w:lineRule="auto"/>
        <w:tabs>
          <w:tab w:leader="none" w:pos="12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7" w:lineRule="exact"/>
        <w:rPr>
          <w:rFonts w:ascii="Arial" w:cs="Arial" w:eastAsia="Arial" w:hAnsi="Arial"/>
          <w:sz w:val="18"/>
          <w:szCs w:val="18"/>
          <w:color w:val="auto"/>
        </w:rPr>
      </w:pPr>
    </w:p>
    <w:p>
      <w:pPr>
        <w:ind w:right="20" w:firstLine="987"/>
        <w:spacing w:after="0" w:line="268" w:lineRule="auto"/>
        <w:tabs>
          <w:tab w:leader="none" w:pos="124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Subject to applicable abandoned property laws, any money and shares of Common Stock deposited with the Trustee or any Paying Agent, or then held by the Company, in trust for the payment of the principal (including the Redemption Price and the Fundamental Change Repurchase Price, if applicable) of, any accrued and unpaid Special Interest on and the consideration due upon conversion of any Note and remaining unclaimed for two years after such principal (including the Redemption Price and the Fundamental Change Repurchase Price, if applicable), Special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(but shall not be obligated) at the expense of the Company cause to be published once, in a newspaper published in the English language, customarily published on each Business Day and of general circulation in The Borough of Manhattan, The City of New York, notice that such money and shares of Common Stock remains unclaimed and that, after a date specified therein, which shall not be less than 30 days from the date of such publication, any unclaimed balance of such money and shares of Common Stock then remaining will be repaid or delivered to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20" w:name="page121"/>
    <w:bookmarkEnd w:id="1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Upon any Event of Default pursuant to Section 6.01(h) or (i), the Trustee shall automatically be the Paying Agent.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Existence</w:t>
      </w:r>
      <w:r>
        <w:rPr>
          <w:rFonts w:ascii="Arial" w:cs="Arial" w:eastAsia="Arial" w:hAnsi="Arial"/>
          <w:sz w:val="18"/>
          <w:szCs w:val="18"/>
          <w:color w:val="auto"/>
        </w:rPr>
        <w:t>. Subject to Article XI, the Company shall do or cause to be done all things necessary to preserve and keep in full force and effect its corporate existence.</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Rule 144A Information Requirement and Annual Reports</w:t>
      </w:r>
      <w:r>
        <w:rPr>
          <w:rFonts w:ascii="Arial" w:cs="Arial" w:eastAsia="Arial" w:hAnsi="Arial"/>
          <w:sz w:val="18"/>
          <w:szCs w:val="18"/>
          <w:color w:val="auto"/>
        </w:rPr>
        <w:t>.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will, upon written request, provide to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92" w:lineRule="exact"/>
        <w:rPr>
          <w:sz w:val="20"/>
          <w:szCs w:val="20"/>
          <w:color w:val="auto"/>
        </w:rPr>
      </w:pPr>
    </w:p>
    <w:p>
      <w:pPr>
        <w:ind w:firstLine="987"/>
        <w:spacing w:after="0" w:line="254"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file with the Trustee, within 15 days after the same are required to be filed with the Commission (giving effect to any grace period provided by Rule 12b-25 (or any successor rule) under the Exchange Act), copies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shall be deemed to be filed with the Trustee for purposes of this Section 4.06(b) at the time such documents are filed via the EDGAR system (or any successor thereto), it being understood that the Trustee shall not be responsible for determining whether such filings have been made.</w:t>
      </w:r>
    </w:p>
    <w:p>
      <w:pPr>
        <w:spacing w:after="0" w:line="194" w:lineRule="exact"/>
        <w:rPr>
          <w:rFonts w:ascii="Arial" w:cs="Arial" w:eastAsia="Arial" w:hAnsi="Arial"/>
          <w:sz w:val="18"/>
          <w:szCs w:val="18"/>
          <w:color w:val="auto"/>
        </w:rPr>
      </w:pPr>
    </w:p>
    <w:p>
      <w:pPr>
        <w:ind w:right="400" w:firstLine="987"/>
        <w:spacing w:after="0" w:line="259" w:lineRule="auto"/>
        <w:tabs>
          <w:tab w:leader="none" w:pos="12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Delivery of the reports and documents described in subsection (b) above to the Trustee is for informational purposes only, and the Trustee’s receipt of such shall not constitute actual or constructive notice of any information contained therein or determinable from information contained therein, including the Company’s compliance with any of the Company’s covenants hereunder (as to which the Trustee is entitled to conclusively rely on an Officer’s Certificate).</w:t>
      </w:r>
    </w:p>
    <w:p>
      <w:pPr>
        <w:spacing w:after="0" w:line="186" w:lineRule="exact"/>
        <w:rPr>
          <w:rFonts w:ascii="Arial" w:cs="Arial" w:eastAsia="Arial" w:hAnsi="Arial"/>
          <w:sz w:val="18"/>
          <w:szCs w:val="18"/>
          <w:color w:val="auto"/>
        </w:rPr>
      </w:pPr>
    </w:p>
    <w:p>
      <w:pPr>
        <w:ind w:right="20" w:firstLine="987"/>
        <w:spacing w:after="0" w:line="287" w:lineRule="auto"/>
        <w:tabs>
          <w:tab w:leader="none" w:pos="124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by Holders other than the Company’s Affiliates or Holders that were the Company’s Affiliates at any time during the three months preceding (as a result of restrictions pursuant to U.S. securities laws or the terms of this Indenture or the Notes), the Company shall pay Special Interest on the Notes. Such Special Interest shall accrue on the Notes at the rate of 0.50% per annum of the principal amount of the Notes outstanding for each day during such period for which the Company’s failure to file has occurred and is continuing or the Notes are not otherwise freely tradable by Holders other than the Company’s Affiliates (or Holders that have been the Company’s Affiliates at any time during the three months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171" w:lineRule="exact"/>
        <w:rPr>
          <w:rFonts w:ascii="Arial" w:cs="Arial" w:eastAsia="Arial" w:hAnsi="Arial"/>
          <w:sz w:val="16"/>
          <w:szCs w:val="16"/>
          <w:color w:val="auto"/>
        </w:rPr>
      </w:pPr>
    </w:p>
    <w:p>
      <w:pPr>
        <w:ind w:right="20" w:firstLine="987"/>
        <w:spacing w:after="0" w:line="288" w:lineRule="auto"/>
        <w:tabs>
          <w:tab w:leader="none" w:pos="123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and for so long as, the restrictive legend on the Notes specified in Section 2.05(c) has not been removed, the Notes are assigned a restricted CUSIP number or the Notes are not otherwise freely tradable by Holders other than the Company’s Affiliates or Holders that were the Company’s Affiliates at any time during the three months preceding (without restrictions pursuant to U.S. securities laws or the terms of this Indenture or the Notes) as of the 380th day after the last date of original issuance of the Notes, the Company shall pay Special Interest on the Notes at a rate equal to 0.50% per annum of the principal amount of Notes outstanding until the restrictive legend on the Notes has been removed in accordance with Section 2.05(c), the Notes are assigned an unrestricted CUSIP and the Notes are freely tradable by Holders other than the Company’s Affiliates (or Holders that were the Company’s Affiliates at any time during the three months preceding) (without restrictions pursuant to U.S. securities laws or the terms of this Indenture or the Notes). For purposes of this clause (e), “freely tradable” shall mean that the Notes are eligible for sale and transfer without registration under the Securities Act pursuant to Rule 144 without regard to any of the conditions specified therein (other than the holding period requirement in paragraph (d) of Rule 144 so long as such holding period requirement is satisfied at the time of determination).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21" w:name="page122"/>
    <w:bookmarkEnd w:id="121"/>
    <w:p>
      <w:pPr>
        <w:ind w:left="1220" w:hanging="233"/>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Special Interest will be payable in arrears on each Special Interest Payment Date as set forth in Section 2.03(b).</w:t>
      </w:r>
    </w:p>
    <w:p>
      <w:pPr>
        <w:spacing w:after="0" w:line="225" w:lineRule="exact"/>
        <w:rPr>
          <w:rFonts w:ascii="Arial" w:cs="Arial" w:eastAsia="Arial" w:hAnsi="Arial"/>
          <w:sz w:val="18"/>
          <w:szCs w:val="18"/>
          <w:color w:val="auto"/>
        </w:rPr>
      </w:pPr>
    </w:p>
    <w:p>
      <w:pPr>
        <w:ind w:firstLine="987"/>
        <w:spacing w:after="0" w:line="273" w:lineRule="auto"/>
        <w:tabs>
          <w:tab w:leader="none" w:pos="124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Special Interest that is payable in accordance with Section 4.06(d) or Section 4.06(e) shall be in addition to, and not in lieu of, any Special Interest that may be payable as a result of the Company’s election pursuant to Section 6.03. Notwithstanding the foregoing, in no event shall Special Interest accrue under the terms of this Indenture (aggregating any Special Interest payable pursuant to Section 4.06(d) or Section 4.06(e) with any Special Interest payable pursuant to Section 6.03) at a rate per year in excess of 0.50%, regardless of the number of events or circumstances giving rise to the requirement to pay such Special Interest. The Trustee shall have no duty to verify the Company’s determination of whether Special Interest is due or the Company’s calculations as to the amount of Special Interest.</w:t>
      </w:r>
    </w:p>
    <w:p>
      <w:pPr>
        <w:spacing w:after="0" w:line="177" w:lineRule="exact"/>
        <w:rPr>
          <w:rFonts w:ascii="Arial" w:cs="Arial" w:eastAsia="Arial" w:hAnsi="Arial"/>
          <w:sz w:val="17"/>
          <w:szCs w:val="17"/>
          <w:color w:val="auto"/>
        </w:rPr>
      </w:pPr>
    </w:p>
    <w:p>
      <w:pPr>
        <w:ind w:right="20" w:firstLine="987"/>
        <w:spacing w:after="0" w:line="275" w:lineRule="auto"/>
        <w:tabs>
          <w:tab w:leader="none" w:pos="124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a certificate, the Trustee may assume without inquiry that no such Special Interest is payable. If the Company has paid Special Interest directly to the Persons entitled to it, the Company shall deliver to the Trustee an Officer’s Certificate setting forth the particulars of such payment.</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Special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9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Compliance Certificate; Statements as to Defaults</w:t>
      </w:r>
      <w:r>
        <w:rPr>
          <w:rFonts w:ascii="Arial" w:cs="Arial" w:eastAsia="Arial" w:hAnsi="Arial"/>
          <w:sz w:val="18"/>
          <w:szCs w:val="18"/>
          <w:color w:val="auto"/>
        </w:rPr>
        <w:t>. The Company shall deliver to the Trustee within 120 days after the end of each fiscal year of the Company (beginning with the fiscal year ending on December 31, 2021) an Officer’s Certificate stating whether the signers thereof have knowledge of any failure by the Company to comply with all conditions and covenants then required to be performed under this Indenture and, if so, specifying each such failure and the nature thereof.</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In addition, the Company shall deliver to the Trustee, as soon as possible, and in any event within 30 days after the occurrence of any Event of Default or Default, an Officer’s Certificate setting forth the details of such Event of Default or Default, its status and the action that the Company is taking or proposing to take in respect thereof; provided, that the Company is not required to deliver such notice if such Default or Event of Default has been cured within the applicable grace period (if any) as provided for in this Indenture.</w:t>
      </w:r>
    </w:p>
    <w:p>
      <w:pPr>
        <w:spacing w:after="0" w:line="18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Further Instruments and Acts</w:t>
      </w:r>
      <w:r>
        <w:rPr>
          <w:rFonts w:ascii="Arial" w:cs="Arial" w:eastAsia="Arial" w:hAnsi="Arial"/>
          <w:sz w:val="17"/>
          <w:szCs w:val="17"/>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LISTS OF HOLDERS AND REPORTS BY THE COMPANY AND THE TRUSTEE</w:t>
      </w:r>
    </w:p>
    <w:p>
      <w:pPr>
        <w:spacing w:after="0" w:line="103" w:lineRule="exact"/>
        <w:rPr>
          <w:sz w:val="20"/>
          <w:szCs w:val="20"/>
          <w:color w:val="auto"/>
        </w:rPr>
      </w:pPr>
    </w:p>
    <w:p>
      <w:pPr>
        <w:jc w:val="both"/>
        <w:ind w:right="280" w:firstLine="440"/>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Lists of Holders</w:t>
      </w:r>
      <w:r>
        <w:rPr>
          <w:rFonts w:ascii="Arial" w:cs="Arial" w:eastAsia="Arial" w:hAnsi="Arial"/>
          <w:sz w:val="18"/>
          <w:szCs w:val="18"/>
          <w:color w:val="auto"/>
        </w:rPr>
        <w:t>. The Company covenants and agrees that it will furnish or cause to be furnished to the Trustee and any Paying Agent, semi-annually, not more than 15 days after each February 15 and August 15 in each year beginning with August 15, 2021, and at such other times as the Trustee may request in writing, within 30 days after receipt by the Company of any such request (or such lesser time as the Trustee may reasonably</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122" w:name="page123"/>
    <w:bookmarkEnd w:id="12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and Disclosure of Lists</w:t>
      </w:r>
      <w:r>
        <w:rPr>
          <w:rFonts w:ascii="Arial" w:cs="Arial" w:eastAsia="Arial" w:hAnsi="Arial"/>
          <w:sz w:val="18"/>
          <w:szCs w:val="18"/>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events shall be an “Event of Default” with respect to the Notes:</w:t>
      </w:r>
    </w:p>
    <w:p>
      <w:pPr>
        <w:spacing w:after="0" w:line="225" w:lineRule="exact"/>
        <w:rPr>
          <w:sz w:val="20"/>
          <w:szCs w:val="20"/>
          <w:color w:val="auto"/>
        </w:rPr>
      </w:pPr>
    </w:p>
    <w:p>
      <w:pPr>
        <w:ind w:left="1240" w:hanging="253"/>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default in any payment of Special Interest on any Note when due and payable, and the default continues for a period of 30 days;</w:t>
      </w:r>
    </w:p>
    <w:p>
      <w:pPr>
        <w:spacing w:after="0" w:line="236" w:lineRule="exact"/>
        <w:rPr>
          <w:rFonts w:ascii="Arial" w:cs="Arial" w:eastAsia="Arial" w:hAnsi="Arial"/>
          <w:sz w:val="17"/>
          <w:szCs w:val="17"/>
          <w:color w:val="auto"/>
        </w:rPr>
      </w:pPr>
    </w:p>
    <w:p>
      <w:pPr>
        <w:ind w:right="360" w:firstLine="987"/>
        <w:spacing w:after="0" w:line="27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on the Maturity Date, upon Optional Redemption, upon any required repurchase, upon declaration of acceleration, or otherwise;</w:t>
      </w:r>
    </w:p>
    <w:p>
      <w:pPr>
        <w:spacing w:after="0" w:line="170" w:lineRule="exact"/>
        <w:rPr>
          <w:rFonts w:ascii="Arial" w:cs="Arial" w:eastAsia="Arial" w:hAnsi="Arial"/>
          <w:sz w:val="18"/>
          <w:szCs w:val="18"/>
          <w:color w:val="auto"/>
        </w:rPr>
      </w:pPr>
    </w:p>
    <w:p>
      <w:pPr>
        <w:ind w:right="640" w:firstLine="987"/>
        <w:spacing w:after="0" w:line="277"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in accordance with this Indenture upon exercise of a Holder’s conversion right and such failure continues for a period of three Business Days;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Article XI;</w:t>
      </w:r>
    </w:p>
    <w:p>
      <w:pPr>
        <w:spacing w:after="0" w:line="225" w:lineRule="exact"/>
        <w:rPr>
          <w:rFonts w:ascii="Arial" w:cs="Arial" w:eastAsia="Arial" w:hAnsi="Arial"/>
          <w:sz w:val="18"/>
          <w:szCs w:val="18"/>
          <w:color w:val="auto"/>
        </w:rPr>
      </w:pPr>
    </w:p>
    <w:p>
      <w:pPr>
        <w:jc w:val="both"/>
        <w:ind w:right="160" w:firstLine="987"/>
        <w:spacing w:after="0" w:line="263"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by the Company to issue a Fundamental Change Company Notice in accordance with Section 14.02(c) or notice of a specified corporate event in accordance with Section 13.01(b)(ii) or Section 13.01(b)(iii), in each case when due and such failure continues for a period of three Business Days;</w:t>
      </w:r>
    </w:p>
    <w:p>
      <w:pPr>
        <w:spacing w:after="0" w:line="183" w:lineRule="exact"/>
        <w:rPr>
          <w:rFonts w:ascii="Arial" w:cs="Arial" w:eastAsia="Arial" w:hAnsi="Arial"/>
          <w:sz w:val="18"/>
          <w:szCs w:val="18"/>
          <w:color w:val="auto"/>
        </w:rPr>
      </w:pPr>
    </w:p>
    <w:p>
      <w:pPr>
        <w:ind w:firstLine="987"/>
        <w:spacing w:after="0" w:line="308" w:lineRule="auto"/>
        <w:tabs>
          <w:tab w:leader="none" w:pos="12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46" w:lineRule="exact"/>
        <w:rPr>
          <w:rFonts w:ascii="Arial" w:cs="Arial" w:eastAsia="Arial" w:hAnsi="Arial"/>
          <w:sz w:val="17"/>
          <w:szCs w:val="17"/>
          <w:color w:val="auto"/>
        </w:rPr>
      </w:pPr>
    </w:p>
    <w:p>
      <w:pPr>
        <w:ind w:firstLine="987"/>
        <w:spacing w:after="0" w:line="289" w:lineRule="auto"/>
        <w:tabs>
          <w:tab w:leader="none" w:pos="12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default by the Company or any Significant Subsidiary with respect to any mortgage, agreement, or other instrument under which there may be outstanding, or by which there may be secured or evidenced, any indebtedness for money borrowed in excess of $75,000,000 (or its foreign currency equivalent) in the aggregate of the Company and/or any such Significant Subsidiary, whether such indebtedness now exists or shall hereafter be created (i) resulting in such indebtedness becoming or being declared due and payable or (ii) constituting a failure to pay the principal of any such indebtedness when due and payable at its stated maturity, upon required repurchase, upon declaration of acceleration or otherwise, and in the cases of clauses (i) and (ii) such acceleration shall not, after the expiration of any applicable grace period, have been rescinded or annulled or such failure to pay or default shall not have been cured or waived, or such indebtedness shall not have been paid or discharged, as the case may be, within 30 days after written notice of such acceleration or failure to pay, as the case may be, has been received by the Company or such Subsidiary of the Company from the Trustee, or by the Trustee and the Company from the Holders of at least 25% in principal amount of the Notes then outstanding;</w:t>
      </w:r>
    </w:p>
    <w:p>
      <w:pPr>
        <w:spacing w:after="0" w:line="166" w:lineRule="exact"/>
        <w:rPr>
          <w:rFonts w:ascii="Arial" w:cs="Arial" w:eastAsia="Arial" w:hAnsi="Arial"/>
          <w:sz w:val="16"/>
          <w:szCs w:val="16"/>
          <w:color w:val="auto"/>
        </w:rPr>
      </w:pPr>
    </w:p>
    <w:p>
      <w:pPr>
        <w:ind w:right="20" w:firstLine="987"/>
        <w:spacing w:after="0" w:line="255"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23" w:name="page124"/>
    <w:bookmarkEnd w:id="123"/>
    <w:p>
      <w:pPr>
        <w:ind w:right="60" w:firstLine="987"/>
        <w:spacing w:after="0" w:line="257" w:lineRule="auto"/>
        <w:tabs>
          <w:tab w:leader="none" w:pos="12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188"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Acceleration; Rescission and Annulment</w:t>
      </w:r>
      <w:r>
        <w:rPr>
          <w:rFonts w:ascii="Arial" w:cs="Arial" w:eastAsia="Arial" w:hAnsi="Arial"/>
          <w:sz w:val="16"/>
          <w:szCs w:val="16"/>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any accrued and unpaid Special Interest on, all the Notes to be due and payable immediately, and upon any such declaration the same shall become and shall automatically be immediately due and payable, anything in this Indenture or in the Notes contained to the contrary notwithstanding. If an Event of Default specified in Section 6.01(h) or Section 6.01(i) with respect to the Company occurs and is continuing, 100% of the principal of, and accrued and unpaid Special Interest, if any, on, all Notes shall become and shall automatically be immediately due and payable.</w:t>
      </w:r>
    </w:p>
    <w:p>
      <w:pPr>
        <w:spacing w:after="0" w:line="168" w:lineRule="exact"/>
        <w:rPr>
          <w:sz w:val="20"/>
          <w:szCs w:val="20"/>
          <w:color w:val="auto"/>
        </w:rPr>
      </w:pPr>
    </w:p>
    <w:p>
      <w:pPr>
        <w:ind w:right="80" w:firstLine="440"/>
        <w:spacing w:after="0" w:line="285" w:lineRule="auto"/>
        <w:rPr>
          <w:sz w:val="20"/>
          <w:szCs w:val="20"/>
          <w:color w:val="auto"/>
        </w:rPr>
      </w:pPr>
      <w:r>
        <w:rPr>
          <w:rFonts w:ascii="Arial" w:cs="Arial" w:eastAsia="Arial" w:hAnsi="Arial"/>
          <w:sz w:val="16"/>
          <w:szCs w:val="16"/>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any accrued and unpaid Special Interest upon all Notes and the principal of any and all Notes that shall have become due otherwise than by acceleration (with interest on overdue installments of any accrued and unpaid Special Interest, and on such principal at the then-applicable Special Interest rate only and to the extent any Special Interest is payable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Special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any accrued and unpaid Special Interest on, any Notes, (ii) a failure to repurchase any Notes when required or (iii) a failure to pay or deliver, as the case may be, the consideration due upon conversion of the Notes.</w:t>
      </w:r>
    </w:p>
    <w:p>
      <w:pPr>
        <w:spacing w:after="0" w:line="3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Special Interest</w:t>
      </w:r>
      <w:r>
        <w:rPr>
          <w:rFonts w:ascii="Arial" w:cs="Arial" w:eastAsia="Arial" w:hAnsi="Arial"/>
          <w:sz w:val="17"/>
          <w:szCs w:val="17"/>
          <w:color w:val="auto"/>
        </w:rPr>
        <w:t>. Notwithstanding anything in this Indenture or in the Notes to the contrary, to the extent the Company elects, the sole remedy for an Event of Default relating to the Company’s failure to comply with its obligations as set forth in Section 4.06(b) shall, for the first 360 days after the occurrence of such an Event of Default, consist exclusively of the right to receive Special Interest on the Notes at a rate equal to (i) 0.25% per annum of the principal amount of the Notes outstanding for each day during the first 180 calendar days on which such Event of Default is continuing beginning on, and including, the date on which such Event of Default first occurs (or, if earlier, the date on which such Event of Default is cured or waived as provided for in this Indenture)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Special Interest payable pursuant to this Section 6.03 shall be in addition to, not in lieu of, any Special Interest payable pursuant to</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4.06(d) or Section 4.06(e). If the Company so elects, such Special Interest shall be payable as set forth in Section 2.03(b). On the 361st day after such Event of Default (if the Event of Default relating to the Company’s failure to comply with its obligations as set forth in Section 4.06(b) is not cured or waived prior to such 361st day), the Notes shall be immediately subject to acceleration as provided in Section 6.02. In the event the Company does not elect to pay Special Interest following an Event of Default in accordance with this Section 6.03 or the Company elected to make such payment but does not pay the Special Interest when due, the Notes shall be immediately subject to acceleration as provided in Section 6.02.</w:t>
      </w:r>
    </w:p>
    <w:p>
      <w:pPr>
        <w:spacing w:after="0" w:line="16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In order to elect to pay Special Interest as the sole remedy during the first 360 days after the occurrence of any Event of Default described in the immediately preceding paragraph, the Company must notify all Holders of the Notes, the Trustee and the Paying Agent of such election in writing prior to the beginning of such 360-day period. Upon the failure to timely give such notice, the Notes shall be immediately subject to acceleration as provided in Section 6.02.</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no event shall Special Interest accrue under the terms of this Indenture (aggregating any Special Interest payable pursuant to this Section 6.03 with any Special Interest payable pursuant to Section 4.06(d) or Section 4.06(e)) at a rate per year in excess of 0.50%, regardless of the number of events or circumstances giving rise to the requirement to pay such Special Interest.</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Payments of Notes on Default; Suit Therefor</w:t>
      </w:r>
      <w:r>
        <w:rPr>
          <w:rFonts w:ascii="Arial" w:cs="Arial" w:eastAsia="Arial" w:hAnsi="Arial"/>
          <w:sz w:val="17"/>
          <w:szCs w:val="17"/>
          <w:color w:val="auto"/>
        </w:rPr>
        <w:t>. If an Event of Default described in clause (a) or (b) of Section 6.01 shall have occurred, the Company shall, upon demand of the Trustee, pay to the Trustee, for the benefit of the Holders of the Notes, the whole amount then due and payable on the Notes for principal and Special Interest, if any, with no interest accruing on any overdue principal unless Special Interest was payable on the required payment date, in which case such payments will accrue interest at the then-applicable Special Interest rate from such required payment date,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Special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25" w:name="page126"/>
    <w:bookmarkEnd w:id="125"/>
    <w:p>
      <w:pPr>
        <w:jc w:val="both"/>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4"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5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Application of Monies Collected by Trustee</w:t>
      </w:r>
      <w:r>
        <w:rPr>
          <w:rFonts w:ascii="Arial" w:cs="Arial" w:eastAsia="Arial" w:hAnsi="Arial"/>
          <w:sz w:val="17"/>
          <w:szCs w:val="17"/>
          <w:color w:val="auto"/>
        </w:rPr>
        <w:t>. Any monies or property collected by the Trustee pursuant to this Article VI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(in each of its capacities) under Section 7.06;</w:t>
      </w:r>
    </w:p>
    <w:p>
      <w:pPr>
        <w:spacing w:after="0" w:line="117" w:lineRule="exact"/>
        <w:rPr>
          <w:sz w:val="20"/>
          <w:szCs w:val="20"/>
          <w:color w:val="auto"/>
        </w:rPr>
      </w:pPr>
    </w:p>
    <w:p>
      <w:pPr>
        <w:ind w:left="440" w:right="20"/>
        <w:spacing w:after="0" w:line="258"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Notes shall not have become due and be unpaid, to the payment of any Special Interest on,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cash due upon conversion of, the Notes in default in the order of the date due of the payments of such interest and cash due upon conversion, as the case may be, with interest (to the extent that any interest is payable on such Notes and has been collected by the Trustee) payable upon such overdue amounts at the rate of Special Interest then payable on such Notes, if any, such payments to be made ratably to the Persons entitled thereto;</w:t>
      </w:r>
    </w:p>
    <w:p>
      <w:pPr>
        <w:spacing w:after="0" w:line="75" w:lineRule="exact"/>
        <w:rPr>
          <w:sz w:val="20"/>
          <w:szCs w:val="20"/>
          <w:color w:val="auto"/>
        </w:rPr>
      </w:pPr>
    </w:p>
    <w:p>
      <w:pPr>
        <w:ind w:left="440" w:right="80"/>
        <w:spacing w:after="0" w:line="269" w:lineRule="auto"/>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in case the principal of the outstanding Notes shall have become due, by declaration or otherwise, and be unpaid to the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whole amount (including, if applicable, the payment of the Redemption Price and the Fundamental Change Repurchase Price and any cash due upon conversion) then owing and unpaid upon the Notes for principal and Special Interest, if any, with interest (to the extent that any interest is payable on such Notes and has been collected by the Trustee) on the overdue principal to the extent that such interest has been collected by the Trustee, payable upon such overdue installments of interest at the rate of Special Interest then payable on such Notes, if any, and in case such monies shall be insufficient to pay in full the whole amounts so due and unpaid upon the Notes, then to the payment of such principal (including, if applicable, the Redemption Price and the Fundamental Change Repurchase Price and the cash due upon conversion) and any Special Interest without preference or priority of principal over such Special Interest, or of any Special Interest over principal or of any installment of Special Interest over any other installment of Special Interest, or of any Note over any other Note, ratably to the aggregate of such principal (including, if applicable, the Redemption Price and the Fundamental Change Repurchase Price and any cash due upon conversion) and any accrued and unpaid Special Interest;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126" w:name="page127"/>
    <w:bookmarkEnd w:id="126"/>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Fourth</w:t>
      </w:r>
      <w:r>
        <w:rPr>
          <w:rFonts w:ascii="Arial" w:cs="Arial" w:eastAsia="Arial" w:hAnsi="Arial"/>
          <w:sz w:val="16"/>
          <w:szCs w:val="16"/>
          <w:color w:val="auto"/>
        </w:rPr>
        <w:t>, to the payment of the remainder, if any, to the Company or as a court of competent jurisdiction may direct in a final non-appealable order.</w:t>
      </w:r>
    </w:p>
    <w:p>
      <w:pPr>
        <w:spacing w:after="0" w:line="25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Proceedings by Holders</w:t>
      </w:r>
      <w:r>
        <w:rPr>
          <w:rFonts w:ascii="Arial" w:cs="Arial" w:eastAsia="Arial" w:hAnsi="Arial"/>
          <w:sz w:val="18"/>
          <w:szCs w:val="18"/>
          <w:color w:val="auto"/>
        </w:rPr>
        <w:t>.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such Holder previously shall have given to the Trustee written notice of an Event of Default and of the continuance thereof, as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provided;</w:t>
      </w:r>
    </w:p>
    <w:p>
      <w:pPr>
        <w:spacing w:after="0" w:line="211" w:lineRule="exact"/>
        <w:rPr>
          <w:sz w:val="20"/>
          <w:szCs w:val="20"/>
          <w:color w:val="auto"/>
        </w:rPr>
      </w:pPr>
    </w:p>
    <w:p>
      <w:pPr>
        <w:ind w:right="140" w:firstLine="987"/>
        <w:spacing w:after="0" w:line="277" w:lineRule="auto"/>
        <w:tabs>
          <w:tab w:leader="none" w:pos="12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70"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Holders shall have offered to the Trustee such indemnity or security satisfactory to it against any loss, liability, or expense to be incurred therein or thereby;</w:t>
      </w:r>
    </w:p>
    <w:p>
      <w:pPr>
        <w:spacing w:after="0" w:line="170"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such indemnity or security, shall have neglected or refused to institute any such action, suit or proceeding; and</w:t>
      </w:r>
    </w:p>
    <w:p>
      <w:pPr>
        <w:spacing w:after="0" w:line="170" w:lineRule="exact"/>
        <w:rPr>
          <w:rFonts w:ascii="Arial" w:cs="Arial" w:eastAsia="Arial" w:hAnsi="Arial"/>
          <w:sz w:val="18"/>
          <w:szCs w:val="18"/>
          <w:color w:val="auto"/>
        </w:rPr>
      </w:pPr>
    </w:p>
    <w:p>
      <w:pPr>
        <w:ind w:right="380" w:firstLine="987"/>
        <w:spacing w:after="0" w:line="342" w:lineRule="auto"/>
        <w:tabs>
          <w:tab w:leader="none" w:pos="123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77"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Notwithstanding any other provision of this Indenture and any provision of any Note, the right of any Holder to receive payment or delivery, as the case may be, of (x) the principal (including the Redemption Price and the Fundamental Change Repurchase Price, if applicable) of, (y) accrued and unpaid Special Interest, if any,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spacing w:after="0" w:line="17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Proceedings by Trustee</w:t>
      </w:r>
      <w:r>
        <w:rPr>
          <w:rFonts w:ascii="Arial" w:cs="Arial" w:eastAsia="Arial" w:hAnsi="Arial"/>
          <w:sz w:val="18"/>
          <w:szCs w:val="18"/>
          <w:color w:val="auto"/>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Remedies Cumulative and Continuing</w:t>
      </w:r>
      <w:r>
        <w:rPr>
          <w:rFonts w:ascii="Arial" w:cs="Arial" w:eastAsia="Arial" w:hAnsi="Arial"/>
          <w:sz w:val="18"/>
          <w:szCs w:val="18"/>
          <w:color w:val="auto"/>
        </w:rPr>
        <w:t>. Except as provided in the last paragraph of Section 2.06, all powers and remedies given by this Article VI to the Trustee or to the Holders shall, to the extent permitted by law, be deemed cumulative and not exclusive of any thereof or of any other powers and remedies available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127" w:name="page128"/>
    <w:bookmarkEnd w:id="127"/>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VI or by law to the Trustee or to the Holders may be exercised from time to time, and as often as shall be deemed expedient, by the Trustee or by the Holders.</w:t>
      </w:r>
    </w:p>
    <w:p>
      <w:pPr>
        <w:spacing w:after="0" w:line="16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Direction of Proceedings and Waiver of Defaults by Majority of Holders</w:t>
      </w:r>
      <w:r>
        <w:rPr>
          <w:rFonts w:ascii="Arial" w:cs="Arial" w:eastAsia="Arial" w:hAnsi="Arial"/>
          <w:sz w:val="16"/>
          <w:szCs w:val="16"/>
          <w:color w:val="auto"/>
        </w:rPr>
        <w:t xml:space="preserve">. Subject to the Trustee’s right to receive security or indemnity from the relevant Holders as described therein,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in conflict with any rule of law or this Indenture,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Special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X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74"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The Trustee shall, within 90 days after a Responsible Officer receives written notice of the occurrence and continuance of a Default of which it has actual knowledge, send to all Holders in accordance with Section 16.03, notice of all such Defaults, unless such Defaults shall have been cured or waived before the giving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a Default in the payment of the principal of (including the Redemption Price and the Fundamental Change Repurchase Price, if applicable), or any accrued and unpaid Special Interest on, any of the Notes or a Default in the payment or delivery of the consideration due upon conversion, the Trustee shall be protected in withholding such notice if and so long as it in good faith determines that the withholding of such notice is in the interests of the Holders.</w:t>
      </w:r>
    </w:p>
    <w:p>
      <w:pPr>
        <w:spacing w:after="0" w:line="16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Undertaking to Pay Costs</w:t>
      </w:r>
      <w:r>
        <w:rPr>
          <w:rFonts w:ascii="Arial" w:cs="Arial" w:eastAsia="Arial" w:hAnsi="Arial"/>
          <w:sz w:val="16"/>
          <w:szCs w:val="16"/>
          <w:color w:val="auto"/>
        </w:rPr>
        <w:t>.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Special Interest, if any, on any Note (including, but not limited to, the Redemption Price with respect to Notes being redeemed and the Fundamental Change Repurchase Price with respect to the Notes being repurchased as provided in this Indenture) on or after the due date expressed or provided for in such Note or to any suit for the enforcement of the right to convert any Note (including the right to receive the consideration due upon conversion) in accordance with the provisions of Article XIII.</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103"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and Responsibilities of Trustee</w:t>
      </w:r>
      <w:r>
        <w:rPr>
          <w:rFonts w:ascii="Arial" w:cs="Arial" w:eastAsia="Arial" w:hAnsi="Arial"/>
          <w:sz w:val="18"/>
          <w:szCs w:val="18"/>
          <w:color w:val="auto"/>
        </w:rPr>
        <w:t>.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or expense that might be incurred by it in compliance with such request or direction.</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70" w:lineRule="exact"/>
        <w:rPr>
          <w:sz w:val="20"/>
          <w:szCs w:val="20"/>
          <w:color w:val="auto"/>
        </w:rPr>
      </w:pPr>
    </w:p>
    <w:p>
      <w:pPr>
        <w:ind w:left="1240" w:hanging="253"/>
        <w:spacing w:after="0"/>
        <w:tabs>
          <w:tab w:leader="none" w:pos="12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prior to the occurrence of an Event of Default and after the curing or waiving of all Events of Default that may have occurred:</w:t>
      </w:r>
    </w:p>
    <w:p>
      <w:pPr>
        <w:spacing w:after="0" w:line="128" w:lineRule="exact"/>
        <w:rPr>
          <w:rFonts w:ascii="Arial" w:cs="Arial" w:eastAsia="Arial" w:hAnsi="Arial"/>
          <w:sz w:val="17"/>
          <w:szCs w:val="17"/>
          <w:color w:val="auto"/>
        </w:rPr>
      </w:pPr>
    </w:p>
    <w:p>
      <w:pPr>
        <w:ind w:left="440" w:right="20" w:firstLine="948"/>
        <w:spacing w:after="0" w:line="263" w:lineRule="auto"/>
        <w:tabs>
          <w:tab w:leader="none" w:pos="160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440" w:right="60" w:firstLine="948"/>
        <w:spacing w:after="0" w:line="296" w:lineRule="auto"/>
        <w:tabs>
          <w:tab w:leader="none" w:pos="165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61" w:lineRule="exact"/>
        <w:rPr>
          <w:rFonts w:ascii="Arial" w:cs="Arial" w:eastAsia="Arial" w:hAnsi="Arial"/>
          <w:sz w:val="16"/>
          <w:szCs w:val="16"/>
          <w:color w:val="auto"/>
        </w:rPr>
      </w:pPr>
    </w:p>
    <w:p>
      <w:pPr>
        <w:ind w:right="120" w:firstLine="987"/>
        <w:spacing w:after="0" w:line="277" w:lineRule="auto"/>
        <w:tabs>
          <w:tab w:leader="none" w:pos="12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70"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70" w:lineRule="exact"/>
        <w:rPr>
          <w:rFonts w:ascii="Arial" w:cs="Arial" w:eastAsia="Arial" w:hAnsi="Arial"/>
          <w:sz w:val="18"/>
          <w:szCs w:val="18"/>
          <w:color w:val="auto"/>
        </w:rPr>
      </w:pPr>
    </w:p>
    <w:p>
      <w:pPr>
        <w:ind w:right="280" w:firstLine="987"/>
        <w:spacing w:after="0" w:line="263" w:lineRule="auto"/>
        <w:tabs>
          <w:tab w:leader="none" w:pos="12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83" w:lineRule="exact"/>
        <w:rPr>
          <w:rFonts w:ascii="Arial" w:cs="Arial" w:eastAsia="Arial" w:hAnsi="Arial"/>
          <w:sz w:val="18"/>
          <w:szCs w:val="18"/>
          <w:color w:val="auto"/>
        </w:rPr>
      </w:pPr>
    </w:p>
    <w:p>
      <w:pPr>
        <w:ind w:right="20" w:firstLine="987"/>
        <w:spacing w:after="0" w:line="263" w:lineRule="auto"/>
        <w:tabs>
          <w:tab w:leader="none" w:pos="121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has received written notice of such event;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129" w:name="page130"/>
    <w:bookmarkEnd w:id="129"/>
    <w:p>
      <w:pPr>
        <w:ind w:right="440" w:firstLine="987"/>
        <w:spacing w:after="0" w:line="277" w:lineRule="auto"/>
        <w:tabs>
          <w:tab w:leader="none" w:pos="12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cash received by the Trustee shall be placed in a non-interest bearing trust account, and all cash shall remain uninvested unless otherwise agreed in writing by the Company and the Trustee; and</w:t>
      </w:r>
    </w:p>
    <w:p>
      <w:pPr>
        <w:spacing w:after="0" w:line="170"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that the Trustee is also acting as Custodian, Note Registrar, Paying Agent, Conversion Agent or Bid Solicitation Agent hereunder, the rights and protections afforded to the Trustee pursuant to this Article VII shall also be afforded to such Custodian, Note Registrar, Paying Agent, Conversion Agent or Bid Solicitation Agent.</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The Trustee shall not be required to give any bond or surety in respect of the performance of its powers or duties 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Reliance on Documents, Opinions, Etc</w:t>
      </w:r>
      <w:r>
        <w:rPr>
          <w:rFonts w:ascii="Arial" w:cs="Arial" w:eastAsia="Arial" w:hAnsi="Arial"/>
          <w:sz w:val="18"/>
          <w:szCs w:val="18"/>
          <w:color w:val="auto"/>
        </w:rPr>
        <w:t>. Subject to Section 7.01:</w:t>
      </w:r>
    </w:p>
    <w:p>
      <w:pPr>
        <w:spacing w:after="0" w:line="225" w:lineRule="exact"/>
        <w:rPr>
          <w:sz w:val="20"/>
          <w:szCs w:val="20"/>
          <w:color w:val="auto"/>
        </w:rPr>
      </w:pPr>
    </w:p>
    <w:p>
      <w:pPr>
        <w:ind w:right="220" w:firstLine="987"/>
        <w:spacing w:after="0" w:line="263"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83" w:lineRule="exact"/>
        <w:rPr>
          <w:rFonts w:ascii="Arial" w:cs="Arial" w:eastAsia="Arial" w:hAnsi="Arial"/>
          <w:sz w:val="18"/>
          <w:szCs w:val="18"/>
          <w:color w:val="auto"/>
        </w:rPr>
      </w:pPr>
    </w:p>
    <w:p>
      <w:pPr>
        <w:ind w:right="280" w:firstLine="987"/>
        <w:spacing w:after="0" w:line="263" w:lineRule="auto"/>
        <w:tabs>
          <w:tab w:leader="none" w:pos="12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resolution of the Board of Directors of the Company shall be evidenced by a Board Resolution;</w:t>
      </w:r>
    </w:p>
    <w:p>
      <w:pPr>
        <w:spacing w:after="0" w:line="183" w:lineRule="exact"/>
        <w:rPr>
          <w:rFonts w:ascii="Arial" w:cs="Arial" w:eastAsia="Arial" w:hAnsi="Arial"/>
          <w:sz w:val="18"/>
          <w:szCs w:val="18"/>
          <w:color w:val="auto"/>
        </w:rPr>
      </w:pPr>
    </w:p>
    <w:p>
      <w:pPr>
        <w:ind w:right="320" w:firstLine="987"/>
        <w:spacing w:after="0" w:line="263"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provided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83"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83" w:lineRule="exact"/>
        <w:rPr>
          <w:rFonts w:ascii="Arial" w:cs="Arial" w:eastAsia="Arial" w:hAnsi="Arial"/>
          <w:sz w:val="18"/>
          <w:szCs w:val="18"/>
          <w:color w:val="auto"/>
        </w:rPr>
      </w:pPr>
    </w:p>
    <w:p>
      <w:pPr>
        <w:ind w:right="100" w:firstLine="987"/>
        <w:spacing w:after="0" w:line="275" w:lineRule="auto"/>
        <w:tabs>
          <w:tab w:leader="none" w:pos="123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76" w:lineRule="exact"/>
        <w:rPr>
          <w:rFonts w:ascii="Arial" w:cs="Arial" w:eastAsia="Arial" w:hAnsi="Arial"/>
          <w:sz w:val="17"/>
          <w:szCs w:val="17"/>
          <w:color w:val="auto"/>
        </w:rPr>
      </w:pPr>
    </w:p>
    <w:p>
      <w:pPr>
        <w:ind w:firstLine="987"/>
        <w:spacing w:after="0" w:line="263" w:lineRule="auto"/>
        <w:tabs>
          <w:tab w:leader="none" w:pos="12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rFonts w:ascii="Arial" w:cs="Arial" w:eastAsia="Arial" w:hAnsi="Arial"/>
          <w:sz w:val="18"/>
          <w:szCs w:val="18"/>
          <w:color w:val="auto"/>
        </w:rPr>
      </w:pPr>
    </w:p>
    <w:p>
      <w:pPr>
        <w:jc w:val="both"/>
        <w:ind w:right="120" w:firstLine="987"/>
        <w:spacing w:after="0" w:line="311" w:lineRule="auto"/>
        <w:tabs>
          <w:tab w:leader="none" w:pos="124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costs, expenses and liabilities which might be incurred by it in compliance with such request or direction;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130" w:name="page131"/>
    <w:bookmarkEnd w:id="130"/>
    <w:p>
      <w:pPr>
        <w:ind w:right="160" w:firstLine="987"/>
        <w:spacing w:after="0" w:line="277" w:lineRule="auto"/>
        <w:tabs>
          <w:tab w:leader="none" w:pos="1206"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liable for any action taken, suffered, or omitted to be taken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right="80" w:firstLine="987"/>
        <w:spacing w:after="0" w:line="277" w:lineRule="auto"/>
        <w:tabs>
          <w:tab w:leader="none" w:pos="120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170" w:lineRule="exact"/>
        <w:rPr>
          <w:rFonts w:ascii="Arial" w:cs="Arial" w:eastAsia="Arial" w:hAnsi="Arial"/>
          <w:sz w:val="18"/>
          <w:szCs w:val="18"/>
          <w:color w:val="auto"/>
        </w:rPr>
      </w:pPr>
    </w:p>
    <w:p>
      <w:pPr>
        <w:jc w:val="both"/>
        <w:ind w:right="280" w:firstLine="987"/>
        <w:spacing w:after="0" w:line="263"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shall not be obligated to take possession of any Common Stock, whether upon conversion of the Notes or in connection with any discharge of this Indenture pursuant to Article III hereof, but shall satisfy its obligation as Conversion Agent by working through the stock transfer agent of the Company from time to time as directed by the Company.</w:t>
      </w:r>
    </w:p>
    <w:p>
      <w:pPr>
        <w:spacing w:after="0" w:line="183" w:lineRule="exact"/>
        <w:rPr>
          <w:rFonts w:ascii="Arial" w:cs="Arial" w:eastAsia="Arial" w:hAnsi="Arial"/>
          <w:sz w:val="18"/>
          <w:szCs w:val="18"/>
          <w:color w:val="auto"/>
        </w:rPr>
      </w:pPr>
    </w:p>
    <w:p>
      <w:pPr>
        <w:ind w:right="40" w:firstLine="987"/>
        <w:spacing w:after="0" w:line="275" w:lineRule="auto"/>
        <w:tabs>
          <w:tab w:leader="none" w:pos="120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76"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In no event shall the Trustee be liable for any special, indirect, consequential or punitive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a Responsible Officer shall have received written notice of such Default or Event of Default by the Company or by any Holder of the Notes.</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No Responsibility for Recitals, Etc</w:t>
      </w:r>
      <w:r>
        <w:rPr>
          <w:rFonts w:ascii="Arial" w:cs="Arial" w:eastAsia="Arial" w:hAnsi="Arial"/>
          <w:sz w:val="17"/>
          <w:szCs w:val="17"/>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or of any Common Stock underlying the Notes. The Trustee shall not be accountable for the use or application by the Company of any Notes or the proceeds of any Notes authenticated and delivered by the Trustee in conformity with the provisions of this Indenture. Neither the Trustee nor any agent appointed pursuant to this Indenture will be accountable for the use or application by the Company of the Notes or the proceeds thereof, or for any funds received and disbursed in accordance with this Indenture. The Trustee shall have no responsibility or liability with respect to any information, statement or recital in the Offering Memorandum or other disclosure material prepared or distributed with respect to the issuance of the Notes.</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 Paying Agents, Conversion Agents, Bid Solicitation Agent or Note Registrar May Own Notes</w:t>
      </w:r>
      <w:r>
        <w:rPr>
          <w:rFonts w:ascii="Arial" w:cs="Arial" w:eastAsia="Arial" w:hAnsi="Arial"/>
          <w:sz w:val="18"/>
          <w:szCs w:val="18"/>
          <w:color w:val="auto"/>
        </w:rPr>
        <w:t>. The Trustee, any Paying Agent, any Conversion Agent, Bid Solicitation Agent (if other than the Company) or Note Registrar, in its individual or any other capacity, may become the owner or pledgee of Notes with the same rights it would have if it were not the Trustee, Paying Agent, Conversion Agent, Bid Solicitation Agent or Note Registrar.</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Monies to Be Held in Trust</w:t>
      </w:r>
      <w:r>
        <w:rPr>
          <w:rFonts w:ascii="Arial" w:cs="Arial" w:eastAsia="Arial" w:hAnsi="Arial"/>
          <w:sz w:val="18"/>
          <w:szCs w:val="18"/>
          <w:color w:val="auto"/>
        </w:rPr>
        <w:t>. All monies received by the Trustee shall, until used or applied as herein provided, be held in trust for the purposes for which they were received. Money held by the Trustee in trust hereunder need not be segregated from other funds or property except to the extent required by law. The Trustee shall be under no liability for interest on any money received by it hereunder except as may be agreed from time to time by the Company and the Trustee in writing.</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Compensation and Expenses of Trustee</w:t>
      </w:r>
      <w:r>
        <w:rPr>
          <w:rFonts w:ascii="Arial" w:cs="Arial" w:eastAsia="Arial" w:hAnsi="Arial"/>
          <w:sz w:val="17"/>
          <w:szCs w:val="17"/>
          <w:color w:val="auto"/>
        </w:rPr>
        <w:t>. The Company covenants and agrees to pay to the Trustee, in any capacity under this Indenture,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131" w:name="page132"/>
    <w:bookmarkEnd w:id="131"/>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Indenture in any capacity thereunder (including the reasonable compensation and the expenses and disbursements of its agents and counsel and of all Persons not regularly in its employ) except any such expense, disbursement or advance as shall have been determined to have been caused by its own gross negligence or willful misconduct, as determined by a final, non-appealable decision of a court of competent jurisdiction. The Company also covenants to indemnify the Trustee in any capacity under this Indenture and any other document or transaction entered into in connection herewith and its officers, directors, employees and agents and any authenticating agent for, and to hold them harmless against, any loss, claim, damage, liability or expense including taxes (other than taxes based upon, measured by or determined by the income of the Trustee) incurred without gross negligence or willful misconduct on the part of the Trustee, its officers, directors, agents or employees, or such agent or authenticating agent, as the case may be, as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lien prior to the Notes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6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Officer’s Certificate and Opinion of Counsel as Evidence</w:t>
      </w:r>
      <w:r>
        <w:rPr>
          <w:rFonts w:ascii="Arial" w:cs="Arial" w:eastAsia="Arial" w:hAnsi="Arial"/>
          <w:sz w:val="18"/>
          <w:szCs w:val="18"/>
          <w:color w:val="auto"/>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willful misconduct, recklessness and bad faith on the part of the Trustee, be deemed to be conclusively proved and established by an Officer’s Certificate and Opinion of Counsel delivered to the Trustee, and such Officer’s Certificate and Opinion of Counsel, in the absence of gross negligence, willful misconduct and bad faith on the part of the Trustee, shall be full warrant to the Trustee for any action taken or omitted by it under the provisions of this Indenture upon the faith thereof.</w:t>
      </w:r>
    </w:p>
    <w:p>
      <w:pPr>
        <w:spacing w:after="0" w:line="195"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Eligibility of Trustee</w:t>
      </w:r>
      <w:r>
        <w:rPr>
          <w:rFonts w:ascii="Arial" w:cs="Arial" w:eastAsia="Arial" w:hAnsi="Arial"/>
          <w:sz w:val="18"/>
          <w:szCs w:val="18"/>
          <w:color w:val="auto"/>
        </w:rPr>
        <w:t>.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9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Resignation or Removal of Trustee</w:t>
      </w:r>
      <w:r>
        <w:rPr>
          <w:rFonts w:ascii="Arial" w:cs="Arial" w:eastAsia="Arial" w:hAnsi="Arial"/>
          <w:sz w:val="16"/>
          <w:szCs w:val="16"/>
          <w:color w:val="auto"/>
        </w:rPr>
        <w:t>. (a) The Trustee may at any time resign by giving written notice of such resignation to the Company and by delivering notice thereof to the Holders as provided in this Indenture.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delivering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32" w:name="page133"/>
    <w:bookmarkEnd w:id="132"/>
    <w:p>
      <w:pPr>
        <w:ind w:left="1240" w:hanging="253"/>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case at any time any of the following shall occur:</w:t>
      </w:r>
    </w:p>
    <w:p>
      <w:pPr>
        <w:spacing w:after="0" w:line="117" w:lineRule="exact"/>
        <w:rPr>
          <w:rFonts w:ascii="Arial" w:cs="Arial" w:eastAsia="Arial" w:hAnsi="Arial"/>
          <w:sz w:val="18"/>
          <w:szCs w:val="18"/>
          <w:color w:val="auto"/>
        </w:rPr>
      </w:pPr>
    </w:p>
    <w:p>
      <w:pPr>
        <w:ind w:left="440" w:right="60" w:firstLine="948"/>
        <w:spacing w:after="0" w:line="277" w:lineRule="auto"/>
        <w:tabs>
          <w:tab w:leader="none" w:pos="160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7.08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left="440" w:right="260" w:firstLine="948"/>
        <w:spacing w:after="0" w:line="263" w:lineRule="auto"/>
        <w:tabs>
          <w:tab w:leader="none" w:pos="165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6"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8" w:lineRule="exact"/>
        <w:rPr>
          <w:sz w:val="20"/>
          <w:szCs w:val="20"/>
          <w:color w:val="auto"/>
        </w:rPr>
      </w:pPr>
    </w:p>
    <w:p>
      <w:pPr>
        <w:ind w:right="40" w:firstLine="987"/>
        <w:spacing w:after="0" w:line="301" w:lineRule="auto"/>
        <w:tabs>
          <w:tab w:leader="none" w:pos="123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57" w:lineRule="exact"/>
        <w:rPr>
          <w:rFonts w:ascii="Arial" w:cs="Arial" w:eastAsia="Arial" w:hAnsi="Arial"/>
          <w:sz w:val="16"/>
          <w:szCs w:val="16"/>
          <w:color w:val="auto"/>
        </w:rPr>
      </w:pPr>
    </w:p>
    <w:p>
      <w:pPr>
        <w:ind w:right="60" w:firstLine="987"/>
        <w:spacing w:after="0" w:line="277"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Acceptance by Successor Trustee</w:t>
      </w:r>
      <w:r>
        <w:rPr>
          <w:rFonts w:ascii="Arial" w:cs="Arial" w:eastAsia="Arial" w:hAnsi="Arial"/>
          <w:sz w:val="16"/>
          <w:szCs w:val="16"/>
          <w:color w:val="auto"/>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6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70" w:lineRule="exact"/>
        <w:rPr>
          <w:sz w:val="20"/>
          <w:szCs w:val="20"/>
          <w:color w:val="auto"/>
        </w:rPr>
      </w:pPr>
    </w:p>
    <w:p>
      <w:pPr>
        <w:ind w:right="340" w:firstLine="440"/>
        <w:spacing w:after="0" w:line="279" w:lineRule="auto"/>
        <w:rPr>
          <w:sz w:val="20"/>
          <w:szCs w:val="20"/>
          <w:color w:val="auto"/>
        </w:rPr>
      </w:pPr>
      <w:r>
        <w:rPr>
          <w:rFonts w:ascii="Arial" w:cs="Arial" w:eastAsia="Arial" w:hAnsi="Arial"/>
          <w:sz w:val="17"/>
          <w:szCs w:val="17"/>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as provided in this Indenture. If the Company fails to deliver such notice within ten days after acceptance of appointment by the successor trustee, the successor trustee shall cause such notice to be delivered at the expense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33" w:name="page134"/>
    <w:bookmarkEnd w:id="133"/>
    <w:p>
      <w:pPr>
        <w:ind w:left="4"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7.11 </w:t>
      </w:r>
      <w:r>
        <w:rPr>
          <w:rFonts w:ascii="Arial" w:cs="Arial" w:eastAsia="Arial" w:hAnsi="Arial"/>
          <w:sz w:val="17"/>
          <w:szCs w:val="17"/>
          <w:u w:val="single" w:color="auto"/>
          <w:color w:val="auto"/>
        </w:rPr>
        <w:t>Succession by Merger, Etc</w:t>
      </w:r>
      <w:r>
        <w:rPr>
          <w:rFonts w:ascii="Arial" w:cs="Arial" w:eastAsia="Arial" w:hAnsi="Arial"/>
          <w:sz w:val="17"/>
          <w:szCs w:val="17"/>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78"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 to adopt the certificate of authentication of any predecessor trustee or to authenticate Notes in the name of any predecessor trustee shall apply only to its successor or successors by merger, conversion or consolidation.</w:t>
      </w:r>
    </w:p>
    <w:p>
      <w:pPr>
        <w:spacing w:after="0" w:line="178"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Trustee’s Application for Instructions from the Company</w:t>
      </w:r>
      <w:r>
        <w:rPr>
          <w:rFonts w:ascii="Arial" w:cs="Arial" w:eastAsia="Arial" w:hAnsi="Arial"/>
          <w:sz w:val="16"/>
          <w:szCs w:val="16"/>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CONCERNING THE HOLDERS</w:t>
      </w:r>
    </w:p>
    <w:p>
      <w:pPr>
        <w:spacing w:after="0" w:line="103"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Action by Holders</w:t>
      </w:r>
      <w:r>
        <w:rPr>
          <w:rFonts w:ascii="Arial" w:cs="Arial" w:eastAsia="Arial" w:hAnsi="Arial"/>
          <w:sz w:val="16"/>
          <w:szCs w:val="16"/>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2" w:lineRule="exact"/>
        <w:rPr>
          <w:sz w:val="20"/>
          <w:szCs w:val="20"/>
          <w:color w:val="auto"/>
        </w:rPr>
      </w:pPr>
    </w:p>
    <w:p>
      <w:pPr>
        <w:ind w:left="4" w:right="180" w:hanging="4"/>
        <w:spacing w:after="0" w:line="281" w:lineRule="auto"/>
        <w:tabs>
          <w:tab w:leader="none" w:pos="24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IX, or</w:t>
      </w:r>
    </w:p>
    <w:p>
      <w:pPr>
        <w:spacing w:after="0" w:line="1" w:lineRule="exact"/>
        <w:rPr>
          <w:rFonts w:ascii="Arial" w:cs="Arial" w:eastAsia="Arial" w:hAnsi="Arial"/>
          <w:sz w:val="16"/>
          <w:szCs w:val="16"/>
          <w:color w:val="auto"/>
        </w:rPr>
      </w:pPr>
    </w:p>
    <w:p>
      <w:pPr>
        <w:ind w:left="4" w:right="20" w:hanging="4"/>
        <w:spacing w:after="0" w:line="253" w:lineRule="auto"/>
        <w:tabs>
          <w:tab w:leader="none" w:pos="24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93" w:lineRule="exact"/>
        <w:rPr>
          <w:sz w:val="20"/>
          <w:szCs w:val="20"/>
          <w:color w:val="auto"/>
        </w:rPr>
      </w:pPr>
    </w:p>
    <w:p>
      <w:pPr>
        <w:ind w:left="4" w:right="300" w:firstLine="440"/>
        <w:spacing w:after="0" w:line="301"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Proof of Execution by Holders</w:t>
      </w:r>
      <w:r>
        <w:rPr>
          <w:rFonts w:ascii="Arial" w:cs="Arial" w:eastAsia="Arial" w:hAnsi="Arial"/>
          <w:sz w:val="16"/>
          <w:szCs w:val="16"/>
          <w:color w:val="auto"/>
        </w:rPr>
        <w:t>.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57"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Who Are Deemed Absolute Owners</w:t>
      </w:r>
      <w:r>
        <w:rPr>
          <w:rFonts w:ascii="Arial" w:cs="Arial" w:eastAsia="Arial" w:hAnsi="Arial"/>
          <w:sz w:val="17"/>
          <w:szCs w:val="17"/>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any accrued and unpaid Special Interest on such Note, for conversion of such Note and for all other purposes under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4" w:right="439" w:bottom="1440" w:gutter="0" w:footer="0" w:header="0"/>
        </w:sectPr>
      </w:pPr>
    </w:p>
    <w:bookmarkStart w:id="134" w:name="page135"/>
    <w:bookmarkEnd w:id="13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owner’s right to exchange such beneficial interest for a Physical Note in accordance with the provisions of this Indenture.</w:t>
      </w:r>
    </w:p>
    <w:p>
      <w:pPr>
        <w:spacing w:after="0" w:line="17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Company-Owned Notes Disregarded</w:t>
      </w:r>
      <w:r>
        <w:rPr>
          <w:rFonts w:ascii="Arial" w:cs="Arial" w:eastAsia="Arial" w:hAnsi="Arial"/>
          <w:sz w:val="17"/>
          <w:szCs w:val="17"/>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7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Revocation of Consents; Future Holders Bound</w:t>
      </w:r>
      <w:r>
        <w:rPr>
          <w:rFonts w:ascii="Arial" w:cs="Arial" w:eastAsia="Arial" w:hAnsi="Arial"/>
          <w:sz w:val="18"/>
          <w:szCs w:val="18"/>
          <w:color w:val="auto"/>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MEETINGS</w:t>
      </w:r>
    </w:p>
    <w:p>
      <w:pPr>
        <w:spacing w:after="0" w:line="103"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 of Meetings</w:t>
      </w:r>
      <w:r>
        <w:rPr>
          <w:rFonts w:ascii="Arial" w:cs="Arial" w:eastAsia="Arial" w:hAnsi="Arial"/>
          <w:sz w:val="18"/>
          <w:szCs w:val="18"/>
          <w:color w:val="auto"/>
        </w:rPr>
        <w:t>. A meeting of Holders may be called at any time and from time to time pursuant to the provisions of this Article IX for any of the following purposes:</w:t>
      </w:r>
    </w:p>
    <w:p>
      <w:pPr>
        <w:spacing w:after="0" w:line="170" w:lineRule="exact"/>
        <w:rPr>
          <w:sz w:val="20"/>
          <w:szCs w:val="20"/>
          <w:color w:val="auto"/>
        </w:rPr>
      </w:pPr>
    </w:p>
    <w:p>
      <w:pPr>
        <w:ind w:firstLine="987"/>
        <w:spacing w:after="0" w:line="263" w:lineRule="auto"/>
        <w:tabs>
          <w:tab w:leader="none" w:pos="12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VI;</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VII;</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consent to the execution of an indenture or indentures supplemental hereto pursuant to the provisions of Section 10.02; or</w:t>
      </w:r>
    </w:p>
    <w:p>
      <w:pPr>
        <w:spacing w:after="0" w:line="236" w:lineRule="exact"/>
        <w:rPr>
          <w:rFonts w:ascii="Arial" w:cs="Arial" w:eastAsia="Arial" w:hAnsi="Arial"/>
          <w:sz w:val="17"/>
          <w:szCs w:val="17"/>
          <w:color w:val="auto"/>
        </w:rPr>
      </w:pPr>
    </w:p>
    <w:p>
      <w:pPr>
        <w:ind w:right="80" w:firstLine="987"/>
        <w:spacing w:after="0" w:line="277" w:lineRule="auto"/>
        <w:tabs>
          <w:tab w:leader="none" w:pos="12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35" w:name="page136"/>
    <w:bookmarkEnd w:id="135"/>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9.02 </w:t>
      </w:r>
      <w:r>
        <w:rPr>
          <w:rFonts w:ascii="Arial" w:cs="Arial" w:eastAsia="Arial" w:hAnsi="Arial"/>
          <w:sz w:val="17"/>
          <w:szCs w:val="17"/>
          <w:u w:val="single" w:color="auto"/>
          <w:color w:val="auto"/>
        </w:rPr>
        <w:t>Call of Meetings by Trustee</w:t>
      </w:r>
      <w:r>
        <w:rPr>
          <w:rFonts w:ascii="Arial" w:cs="Arial" w:eastAsia="Arial" w:hAnsi="Arial"/>
          <w:sz w:val="17"/>
          <w:szCs w:val="17"/>
          <w:color w:val="auto"/>
        </w:rPr>
        <w:t>.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in accordance with Section 16.03. Such notice shall also be given to the Company in accordance with Section 16.03. Such notices shall be delivered not less than 20 nor more than 90 days prior to the date fixed for the meeting. 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Call of Meetings by Company or Holders</w:t>
      </w:r>
      <w:r>
        <w:rPr>
          <w:rFonts w:ascii="Arial" w:cs="Arial" w:eastAsia="Arial" w:hAnsi="Arial"/>
          <w:sz w:val="17"/>
          <w:szCs w:val="17"/>
          <w:color w:val="auto"/>
        </w:rPr>
        <w:t>.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76" w:lineRule="exact"/>
        <w:rPr>
          <w:sz w:val="20"/>
          <w:szCs w:val="20"/>
          <w:color w:val="auto"/>
        </w:rPr>
      </w:pPr>
    </w:p>
    <w:p>
      <w:pPr>
        <w:jc w:val="both"/>
        <w:ind w:right="40" w:firstLine="440"/>
        <w:spacing w:after="0" w:line="30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Qualifications for Voting</w:t>
      </w:r>
      <w:r>
        <w:rPr>
          <w:rFonts w:ascii="Arial" w:cs="Arial" w:eastAsia="Arial" w:hAnsi="Arial"/>
          <w:sz w:val="16"/>
          <w:szCs w:val="16"/>
          <w:color w:val="auto"/>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Regulations</w:t>
      </w:r>
      <w:r>
        <w:rPr>
          <w:rFonts w:ascii="Arial" w:cs="Arial" w:eastAsia="Arial" w:hAnsi="Arial"/>
          <w:sz w:val="18"/>
          <w:szCs w:val="18"/>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7" w:lineRule="exact"/>
        <w:rPr>
          <w:sz w:val="20"/>
          <w:szCs w:val="20"/>
          <w:color w:val="auto"/>
        </w:rPr>
      </w:pPr>
    </w:p>
    <w:p>
      <w:pPr>
        <w:jc w:val="both"/>
        <w:ind w:right="320" w:firstLine="440"/>
        <w:spacing w:after="0" w:line="301" w:lineRule="auto"/>
        <w:rPr>
          <w:sz w:val="20"/>
          <w:szCs w:val="20"/>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5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Subject to the provisions of Section 8.04, at any meeting of Holders each Holder or proxyholder shall be entitled to one vote for each $1,000 principal amount of Notes held or represented by him or her;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outstanding Notes represented at the meeting, whether or not constituting a quorum, and the meeting may be held as so adjourned without further notice.</w:t>
      </w:r>
    </w:p>
    <w:p>
      <w:pPr>
        <w:spacing w:after="0" w:line="17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Voting</w:t>
      </w:r>
      <w:r>
        <w:rPr>
          <w:rFonts w:ascii="Arial" w:cs="Arial" w:eastAsia="Arial" w:hAnsi="Arial"/>
          <w:sz w:val="18"/>
          <w:szCs w:val="18"/>
          <w:color w:val="auto"/>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36" w:name="page137"/>
    <w:bookmarkEnd w:id="13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notice of the meeting and showing that said notice was given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 Nothing contained in this Article IX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Nothing contained in this Article IX shall be deemed or construed to limit any Holder’s actions pursuant to the applicable procedures of the Depositary so long as the Notes are Global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103"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Supplemental Indentures Without Consent of Holders</w:t>
      </w:r>
      <w:r>
        <w:rPr>
          <w:rFonts w:ascii="Arial" w:cs="Arial" w:eastAsia="Arial" w:hAnsi="Arial"/>
          <w:sz w:val="17"/>
          <w:szCs w:val="17"/>
          <w:color w:val="auto"/>
        </w:rPr>
        <w:t>. The Company and the Trustee, at the Company’s expense, may from time to time and at any time enter into an indenture or indentures supplemental hereto for one or more of the following purposes:</w:t>
      </w:r>
    </w:p>
    <w:p>
      <w:pPr>
        <w:spacing w:after="0" w:line="146" w:lineRule="exact"/>
        <w:rPr>
          <w:sz w:val="20"/>
          <w:szCs w:val="20"/>
          <w:color w:val="auto"/>
        </w:rPr>
      </w:pPr>
    </w:p>
    <w:p>
      <w:pPr>
        <w:ind w:left="1240" w:hanging="253"/>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provide for the assumption by a Successor Company of the obligations of the Company under this Indenture and the Notes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Article XI;</w:t>
      </w:r>
    </w:p>
    <w:p>
      <w:pPr>
        <w:spacing w:after="0" w:line="211" w:lineRule="exact"/>
        <w:rPr>
          <w:sz w:val="20"/>
          <w:szCs w:val="20"/>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guarantees with respect to the Notes;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225"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the covenants or Events of Default of the Company for the benefit of the Holders or surrender any right or power conferred upon the Company;</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increase the Conversion Rate as provided in this Indenture;</w:t>
      </w:r>
    </w:p>
    <w:p>
      <w:pPr>
        <w:spacing w:after="0" w:line="225"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pursuant to Section 7.09 or to facilitate the administration of the trusts by more than one trustee;</w:t>
      </w:r>
    </w:p>
    <w:p>
      <w:pPr>
        <w:spacing w:after="0" w:line="170" w:lineRule="exact"/>
        <w:rPr>
          <w:rFonts w:ascii="Arial" w:cs="Arial" w:eastAsia="Arial" w:hAnsi="Arial"/>
          <w:sz w:val="18"/>
          <w:szCs w:val="18"/>
          <w:color w:val="auto"/>
        </w:rPr>
      </w:pPr>
    </w:p>
    <w:p>
      <w:pPr>
        <w:ind w:right="280" w:firstLine="987"/>
        <w:spacing w:after="0" w:line="308" w:lineRule="auto"/>
        <w:tabs>
          <w:tab w:leader="none" w:pos="120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irrevocably elect a Cash Percentage with respect to conversions of Notes; provided, however, that no such election will affect any Cash Percentage theretofore elected (or deemed to be elected) with respect to any Note pursuant the provisions of Section 13.02;</w:t>
      </w:r>
    </w:p>
    <w:p>
      <w:pPr>
        <w:spacing w:after="0" w:line="146" w:lineRule="exact"/>
        <w:rPr>
          <w:rFonts w:ascii="Arial" w:cs="Arial" w:eastAsia="Arial" w:hAnsi="Arial"/>
          <w:sz w:val="17"/>
          <w:szCs w:val="17"/>
          <w:color w:val="auto"/>
        </w:rPr>
      </w:pPr>
    </w:p>
    <w:p>
      <w:pPr>
        <w:ind w:right="320" w:firstLine="987"/>
        <w:spacing w:after="0" w:line="342" w:lineRule="auto"/>
        <w:tabs>
          <w:tab w:leader="none" w:pos="120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connection with any Common Stock Change Event, provide that the Notes are convertible into Reference Property, subject to the provisions of Section 13.02, and make such related changes to the terms of the Notes to the extent expressly required by Section 13.07;</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comply with the rules of any applicable Depositary in a manner that does not materially adversely affect the rights of any Holder; or</w:t>
      </w:r>
    </w:p>
    <w:p>
      <w:pPr>
        <w:spacing w:after="0" w:line="248" w:lineRule="exact"/>
        <w:rPr>
          <w:rFonts w:ascii="Arial" w:cs="Arial" w:eastAsia="Arial" w:hAnsi="Arial"/>
          <w:sz w:val="16"/>
          <w:szCs w:val="16"/>
          <w:color w:val="auto"/>
        </w:rPr>
      </w:pPr>
    </w:p>
    <w:p>
      <w:pPr>
        <w:ind w:left="1200" w:hanging="213"/>
        <w:spacing w:after="0"/>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conform the provisions of this Indenture or the Notes to the “Description of Notes” section of the Offering Memorandum.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37" w:name="page138"/>
    <w:bookmarkEnd w:id="137"/>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written request of the Company and subject to Section 10.05, the Trustee is hereby authorized to, and shall join with the Company in the execution of any such supplemental indenture, to make any further appropriate agreements and stipulations that may be therein contained, except that the Trustee shall not be obligated to, but may in its discretion, enter into any supplemental indenture that affects the Trustee’s own rights, duties or immunities under this Indenture or otherwise.</w:t>
      </w:r>
    </w:p>
    <w:p>
      <w:pPr>
        <w:spacing w:after="0" w:line="18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 After any such supplemental indenture becomes effective, the Company shall give to the Holders and the Trustee a notice briefly describing such supplemental indenture. However, the failure to give such notice to all the Holders, or any defect in the notice, will not impair or affect the validity of the supplemental indenture.</w:t>
      </w:r>
    </w:p>
    <w:p>
      <w:pPr>
        <w:spacing w:after="0" w:line="15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 xml:space="preserve">. With the consent (evidenced as provided in Article VIII) of the Holders of at least a majority of the aggregate principal amount of the Notes then outstanding (determined in accordance with Article VIII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without the consent of each Holder of an outstanding Note affected, no such supplemental indenture shall:</w:t>
      </w:r>
    </w:p>
    <w:p>
      <w:pPr>
        <w:spacing w:after="0" w:line="164" w:lineRule="exact"/>
        <w:rPr>
          <w:sz w:val="20"/>
          <w:szCs w:val="20"/>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rate of or extend the stated time for payment of any Special Interest on any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principal of or extend the Maturity Date of any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except as provided in Section 13.07, make any change that impairs or adversely affects the conversion rights of any Notes;</w:t>
      </w:r>
    </w:p>
    <w:p>
      <w:pPr>
        <w:spacing w:after="0" w:line="236" w:lineRule="exact"/>
        <w:rPr>
          <w:rFonts w:ascii="Arial" w:cs="Arial" w:eastAsia="Arial" w:hAnsi="Arial"/>
          <w:sz w:val="17"/>
          <w:szCs w:val="17"/>
          <w:color w:val="auto"/>
        </w:rPr>
      </w:pPr>
    </w:p>
    <w:p>
      <w:pPr>
        <w:jc w:val="both"/>
        <w:ind w:right="140" w:firstLine="987"/>
        <w:spacing w:after="0" w:line="263"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83" w:lineRule="exact"/>
        <w:rPr>
          <w:rFonts w:ascii="Arial" w:cs="Arial" w:eastAsia="Arial" w:hAnsi="Arial"/>
          <w:sz w:val="18"/>
          <w:szCs w:val="18"/>
          <w:color w:val="auto"/>
        </w:rPr>
      </w:pPr>
    </w:p>
    <w:p>
      <w:pPr>
        <w:ind w:left="1220" w:hanging="233"/>
        <w:spacing w:after="0"/>
        <w:tabs>
          <w:tab w:leader="none" w:pos="1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any Note payable in a currency or at a place of payment other than that stated in the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and Special Interest, if any, on such Holder’s Notes on or after the due dates therefor or to institute suit for the enforcement of any payment on or with respect to such Holder’s Notes; or</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make any change in this Article X that requires each Holder’s consent or in the waiver provisions in Section 6.02 or Section 6.09.</w:t>
      </w:r>
    </w:p>
    <w:p>
      <w:pPr>
        <w:spacing w:after="0" w:line="237"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138" w:name="page139"/>
    <w:bookmarkEnd w:id="138"/>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do not need under this Section 10.02 to approve the particular form of any proposed supplemental indenture. It shall be sufficient if such Holders approve the substance thereof. After any such supplemental indenture becomes effective, the Company shall send to the Holders a notice briefly describing such supplemental indenture. However, the failure to give such notice to all the Holders, or any defect in the notice, will not impair or affect the validity of the supplemental indenture.</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 Upon the execution of any supplemental indenture pursuant to the provisions of this Article X,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Notation on Notes</w:t>
      </w:r>
      <w:r>
        <w:rPr>
          <w:rFonts w:ascii="Arial" w:cs="Arial" w:eastAsia="Arial" w:hAnsi="Arial"/>
          <w:sz w:val="17"/>
          <w:szCs w:val="17"/>
          <w:color w:val="auto"/>
        </w:rPr>
        <w:t>. Notes authenticated and delivered after the execution of any supplemental indenture pursuant to the provisions of this Article X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16.10) and delivered in exchange for the Notes then outstanding, upon surrender of such Notes then outstanding.</w:t>
      </w:r>
    </w:p>
    <w:p>
      <w:pPr>
        <w:spacing w:after="0" w:line="178" w:lineRule="exact"/>
        <w:rPr>
          <w:sz w:val="20"/>
          <w:szCs w:val="20"/>
          <w:color w:val="auto"/>
        </w:rPr>
      </w:pPr>
    </w:p>
    <w:p>
      <w:pPr>
        <w:ind w:right="320" w:firstLine="440"/>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Evidence of Compliance of Supplemental Indenture to Be Furnished to Trustee</w:t>
      </w:r>
      <w:r>
        <w:rPr>
          <w:rFonts w:ascii="Arial" w:cs="Arial" w:eastAsia="Arial" w:hAnsi="Arial"/>
          <w:sz w:val="18"/>
          <w:szCs w:val="18"/>
          <w:color w:val="auto"/>
        </w:rPr>
        <w:t>. In addition to the documents required by Section 16.05, the Trustee shall receive an Officer’s Certificate and an Opinion of Counsel as conclusive evidence that any supplemental indenture executed pursuant hereto complies with the requirements of this Article X and is permitted or authorized by this Indenture and that the supplemental indenture constitutes the valid and binding obligation of the Company, enforceable in accordance with its terms, subject to customary bankruptcy exceptions for opinions of this type.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SALE, CONVEYANCE AND LEASE</w:t>
      </w:r>
    </w:p>
    <w:p>
      <w:pPr>
        <w:spacing w:after="0" w:line="121" w:lineRule="exact"/>
        <w:rPr>
          <w:sz w:val="20"/>
          <w:szCs w:val="20"/>
          <w:color w:val="auto"/>
        </w:rPr>
      </w:pPr>
    </w:p>
    <w:p>
      <w:pPr>
        <w:ind w:right="480" w:firstLine="440"/>
        <w:spacing w:after="0" w:line="311"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Company May Consolidate, Etc. on Certain Terms</w:t>
      </w:r>
      <w:r>
        <w:rPr>
          <w:rFonts w:ascii="Arial" w:cs="Arial" w:eastAsia="Arial" w:hAnsi="Arial"/>
          <w:sz w:val="16"/>
          <w:szCs w:val="16"/>
          <w:color w:val="auto"/>
        </w:rPr>
        <w:t>. Subject to the provisions of Section 11.02, the Company shall not, in a transaction or series of transactions, consolidate with, merge with or into, or sell, convey, transfer or lease all or substantially all of the Company’s properties and assets to, another Person (other than one or more of the Company’s direct or indirect Domestic Subsidiaries), unless:</w:t>
      </w:r>
    </w:p>
    <w:p>
      <w:pPr>
        <w:spacing w:after="0" w:line="149" w:lineRule="exact"/>
        <w:rPr>
          <w:sz w:val="20"/>
          <w:szCs w:val="20"/>
          <w:color w:val="auto"/>
        </w:rPr>
      </w:pPr>
    </w:p>
    <w:p>
      <w:pPr>
        <w:ind w:right="120" w:firstLine="987"/>
        <w:spacing w:after="0" w:line="255"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either (i) the Company is the Person surviving such merger or consolidation, or (ii) the Person (if not the Company) formed by such consolidation or into which the Company is merged or the Person which acquires by conveyance or transfer, or which leases, all or substantially all of the Company’s properties and assets (such Person or such Person described in clause (ii), the “</w:t>
      </w:r>
      <w:r>
        <w:rPr>
          <w:rFonts w:ascii="Arial" w:cs="Arial" w:eastAsia="Arial" w:hAnsi="Arial"/>
          <w:sz w:val="18"/>
          <w:szCs w:val="18"/>
          <w:b w:val="1"/>
          <w:bCs w:val="1"/>
          <w:color w:val="auto"/>
        </w:rPr>
        <w:t>Successor Company</w:t>
      </w:r>
      <w:r>
        <w:rPr>
          <w:rFonts w:ascii="Arial" w:cs="Arial" w:eastAsia="Arial" w:hAnsi="Arial"/>
          <w:sz w:val="18"/>
          <w:szCs w:val="18"/>
          <w:color w:val="auto"/>
        </w:rPr>
        <w:t>”) shall be a corporation organized and existing under the laws of the United States of America, any State thereof or the District of Columbia, and, in the case where there is a Successor Company, the Successor Company (if not the Company) shall expressly assume by supplemental indenture all of the obligations of the Company under the Notes and this Indenture; and</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under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Successor Corporation to Be Substituted</w:t>
      </w:r>
      <w:r>
        <w:rPr>
          <w:rFonts w:ascii="Arial" w:cs="Arial" w:eastAsia="Arial" w:hAnsi="Arial"/>
          <w:sz w:val="16"/>
          <w:szCs w:val="16"/>
          <w:color w:val="auto"/>
        </w:rPr>
        <w:t>. In case of any such consolidation, merger, sale, conveyance, transfer, or lease in which there is a Successor Company and upon the assumption by the Successor Company, by supplemental indenture, executed and delivered to the Trustee and satisfactory in form to the Trustee, of the due and punctual payment of the principal of and any accrued and unpaid Special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or any of the Company’s direct or indirect Domestic Subsidiaries) shall succeed to and, except in the case of a lease of all or substantially all of the Company’s properties and assets shall be substituted for the Company, with the same effect as if it had been named herein as the party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39" w:name="page140"/>
    <w:bookmarkEnd w:id="13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XI the Person named as the “Company” in the first paragraph of this Indenture (or any successor that shall thereafter have become such in the manner prescribed in this Article XI)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7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case of any such consolidation, merger, sale, conveyance, transfer, or lease, such changes in phraseology and form (but not in substance) may be made in the Notes thereafter to be issued as may be appropriate.</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Officer’s Certification and Opinion of Counsel to Be Given to Trustee</w:t>
      </w:r>
      <w:r>
        <w:rPr>
          <w:rFonts w:ascii="Arial" w:cs="Arial" w:eastAsia="Arial" w:hAnsi="Arial"/>
          <w:sz w:val="18"/>
          <w:szCs w:val="18"/>
          <w:color w:val="auto"/>
        </w:rPr>
        <w:t>. No such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XI, and in the case of the Opinion of Counsel, that such supplemental indenture is the valid and binding obligation of such Successor Company, enforceable in accordance with its terms, subject to customary bankruptcy exceptions for opinions of this type.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103"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Indenture and Notes Solely Corporate Obligations</w:t>
      </w:r>
      <w:r>
        <w:rPr>
          <w:rFonts w:ascii="Arial" w:cs="Arial" w:eastAsia="Arial" w:hAnsi="Arial"/>
          <w:sz w:val="16"/>
          <w:szCs w:val="16"/>
          <w:color w:val="auto"/>
        </w:rPr>
        <w:t>. No recourse for the payment of the principal of or any accrued and unpaid Special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NOTES</w:t>
      </w:r>
    </w:p>
    <w:p>
      <w:pPr>
        <w:spacing w:after="0" w:line="103"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Conversion Privilege</w:t>
      </w:r>
      <w:r>
        <w:rPr>
          <w:rFonts w:ascii="Arial" w:cs="Arial" w:eastAsia="Arial" w:hAnsi="Arial"/>
          <w:sz w:val="17"/>
          <w:szCs w:val="17"/>
          <w:color w:val="auto"/>
        </w:rPr>
        <w:t>. (a) Subject to and upon compliance with the provisions of this Article XIII, each Holder of a Note shall have the right, at such Holder’s option, to convert all or any portion (if the portion to be converted is $1,000 principal amount or an integral multiple thereof) of such Note (i) subject to satisfaction of the conditions described in Section 13.01(b), at any time prior to the close of business on the Business Day immediately preceding December 1, 2027 under the circumstances and during the periods set forth in Section 13.01(b), and (ii) regardless of the conditions described in Section 13.01(b), on or after December 1, 2027 and prior to the close of business on the second Scheduled Trading Day immediately preceding the Maturity Date, in each case, at an initial conversion rate of 28.2889 shares of Common Stock (subject to adjustment as provided in this Article XIII, the “</w:t>
      </w:r>
      <w:r>
        <w:rPr>
          <w:rFonts w:ascii="Arial" w:cs="Arial" w:eastAsia="Arial" w:hAnsi="Arial"/>
          <w:sz w:val="17"/>
          <w:szCs w:val="17"/>
          <w:b w:val="1"/>
          <w:bCs w:val="1"/>
          <w:color w:val="auto"/>
        </w:rPr>
        <w:t>Conversion Rate</w:t>
      </w:r>
      <w:r>
        <w:rPr>
          <w:rFonts w:ascii="Arial" w:cs="Arial" w:eastAsia="Arial" w:hAnsi="Arial"/>
          <w:sz w:val="17"/>
          <w:szCs w:val="17"/>
          <w:color w:val="auto"/>
        </w:rPr>
        <w:t>”) per $1,000 principal amount of Notes (subject to, and in accordance with, the settlement provisions of Section 13.02, the “</w:t>
      </w:r>
      <w:r>
        <w:rPr>
          <w:rFonts w:ascii="Arial" w:cs="Arial" w:eastAsia="Arial" w:hAnsi="Arial"/>
          <w:sz w:val="17"/>
          <w:szCs w:val="17"/>
          <w:b w:val="1"/>
          <w:bCs w:val="1"/>
          <w:color w:val="auto"/>
        </w:rPr>
        <w:t>Conversion Obligation</w:t>
      </w:r>
      <w:r>
        <w:rPr>
          <w:rFonts w:ascii="Arial" w:cs="Arial" w:eastAsia="Arial" w:hAnsi="Arial"/>
          <w:sz w:val="17"/>
          <w:szCs w:val="17"/>
          <w:color w:val="auto"/>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40" w:name="page141"/>
    <w:bookmarkEnd w:id="140"/>
    <w:p>
      <w:pPr>
        <w:ind w:right="40" w:firstLine="987"/>
        <w:spacing w:after="0" w:line="284" w:lineRule="auto"/>
        <w:tabs>
          <w:tab w:leader="none" w:pos="1206"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the close of business on the Business Day immediately preceding December 1, 2027, a Holder may surrender all or any portion of its Notes for conversion at any time during the five Business Day period immediately after any five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in which the Trading Price per $1,000 principal amount of Notes, as determined following a request by a Holder of Notes in accordance with this Section 13.01(b)(i), for each Trading Day of the Measurement Period was less than 98% of the product of the Last Reported Sale Price of the Common Stock and the Conversion Rate on each such Trading Day.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and shall direct such securities dealers to provide the required information to the Bid Solicitation Agent, who shall deliver such bid quotations to the Company.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provides the Company with reasonable evidence that the Trading Price per $1,000 principal amount of Notes would be less than 98% of the product of the Last Reported Sale Price of the Common Stock and the Conversion Rate, at which time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or if the Company instructs the Bid Solicitation Agent to obtain bids and the Bid Solicitation Agent fails to obtain such bids,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of the Notes, the Trustee and the Conversion Agent (if other than the Trustee) in writing. None of the Trustee, the Bid Solicitation Agent or the Conversion Agent shall have any duty to determine or verify the Company’s determination of whether the Trading Price Condition set forth above has been met.</w:t>
      </w:r>
    </w:p>
    <w:p>
      <w:pPr>
        <w:spacing w:after="0" w:line="66" w:lineRule="exact"/>
        <w:rPr>
          <w:rFonts w:ascii="Arial" w:cs="Arial" w:eastAsia="Arial" w:hAnsi="Arial"/>
          <w:sz w:val="16"/>
          <w:szCs w:val="16"/>
          <w:color w:val="auto"/>
        </w:rPr>
      </w:pPr>
    </w:p>
    <w:p>
      <w:pPr>
        <w:ind w:left="1260" w:hanging="273"/>
        <w:spacing w:after="0"/>
        <w:tabs>
          <w:tab w:leader="none" w:pos="1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prior to the close of business on the Business Day immediately preceding December 1, 2027, the Company elects to:</w:t>
      </w:r>
    </w:p>
    <w:p>
      <w:pPr>
        <w:spacing w:after="0" w:line="117" w:lineRule="exact"/>
        <w:rPr>
          <w:rFonts w:ascii="Arial" w:cs="Arial" w:eastAsia="Arial" w:hAnsi="Arial"/>
          <w:sz w:val="18"/>
          <w:szCs w:val="18"/>
          <w:color w:val="auto"/>
        </w:rPr>
      </w:pPr>
    </w:p>
    <w:p>
      <w:pPr>
        <w:ind w:left="440" w:right="80" w:firstLine="948"/>
        <w:spacing w:after="0" w:line="257" w:lineRule="auto"/>
        <w:tabs>
          <w:tab w:leader="none" w:pos="168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issue to all or substantially all holders of the Common Stock any rights, options, or warrants (other than in connection with a stockholder rights plan) entitling them, for a period of not more than 45 calendar days after the declaration date for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declaration date for such issuance; or</w:t>
      </w:r>
    </w:p>
    <w:p>
      <w:pPr>
        <w:spacing w:after="0" w:line="79" w:lineRule="exact"/>
        <w:rPr>
          <w:rFonts w:ascii="Arial" w:cs="Arial" w:eastAsia="Arial" w:hAnsi="Arial"/>
          <w:sz w:val="18"/>
          <w:szCs w:val="18"/>
          <w:color w:val="auto"/>
        </w:rPr>
      </w:pPr>
    </w:p>
    <w:p>
      <w:pPr>
        <w:ind w:left="440" w:right="20" w:firstLine="948"/>
        <w:spacing w:after="0" w:line="286" w:lineRule="auto"/>
        <w:tabs>
          <w:tab w:leader="none" w:pos="1677"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distribute to all or substantially all holders of the Common Stock the Company’s assets, securities, or rights to purchase securities of the Company, which distribution has a per share value, as reasonably determined by the Board of Directors, exceeding 10% of the Last Reported Sale Price of the Common Stock on the Trading Day immediately preceding the declaration date for such distribution,</w:t>
      </w:r>
    </w:p>
    <w:p>
      <w:pPr>
        <w:spacing w:after="0" w:line="57" w:lineRule="exact"/>
        <w:rPr>
          <w:sz w:val="20"/>
          <w:szCs w:val="20"/>
          <w:color w:val="auto"/>
        </w:rPr>
      </w:pPr>
    </w:p>
    <w:p>
      <w:pPr>
        <w:ind w:left="440"/>
        <w:spacing w:after="0" w:line="279" w:lineRule="auto"/>
        <w:rPr>
          <w:sz w:val="20"/>
          <w:szCs w:val="20"/>
          <w:color w:val="auto"/>
        </w:rPr>
      </w:pPr>
      <w:r>
        <w:rPr>
          <w:rFonts w:ascii="Arial" w:cs="Arial" w:eastAsia="Arial" w:hAnsi="Arial"/>
          <w:sz w:val="17"/>
          <w:szCs w:val="17"/>
          <w:color w:val="auto"/>
        </w:rPr>
        <w:t>then, in either case, the Company shall notify all Holders of the Notes, the Trustee, and the Conversion Agent (if other than the Trustee) in writing at least 33 Scheduled Trading Days prior to the Ex-Dividend Date for such issuance or distribution (or, if later in the case of any such separation of rights issued pursuant to a stockholder rights plan as soon as reasonably practicable after the Company becomes aware that such separation or triggering event has occurred or will occur). Once the Company has given such notice, a Holder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141" w:name="page142"/>
    <w:bookmarkEnd w:id="14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(or in the case of a separation or triggering event pursuant to a stockholder rights plan, until the 20</w:t>
      </w:r>
      <w:r>
        <w:rPr>
          <w:rFonts w:ascii="Arial" w:cs="Arial" w:eastAsia="Arial" w:hAnsi="Arial"/>
          <w:sz w:val="14"/>
          <w:szCs w:val="14"/>
          <w:color w:val="auto"/>
        </w:rPr>
        <w:t>th</w:t>
      </w:r>
      <w:r>
        <w:rPr>
          <w:rFonts w:ascii="Arial" w:cs="Arial" w:eastAsia="Arial" w:hAnsi="Arial"/>
          <w:sz w:val="17"/>
          <w:szCs w:val="17"/>
          <w:color w:val="auto"/>
        </w:rPr>
        <w:t xml:space="preserve"> Trading Day following the date that the Company has given such aforementioned notice), in each case, even if the Notes are not otherwise convertible at such time. Holders of the Notes may not exercise this right if they participate (other than in the case of a share split or share combination), at the same time and upon the same terms as holders of the Common Stock and solely as a result of holding the Notes, in any of the transactions described above without having to convert their Notes as if they held a number of shares of Common Stock equal to the applicable Conversion Rate multiplied by the principal amount (expressed in thousands) of Notes held by such Holder. None of the Trustee, the Bid Solicitation Agent or the Conversion Agent shall have any duty to determine or verify the Company’s determination of whether an issuance or distribution described in this clause (ii) has occurred.</w:t>
      </w:r>
    </w:p>
    <w:p>
      <w:pPr>
        <w:spacing w:after="0" w:line="77" w:lineRule="exact"/>
        <w:rPr>
          <w:sz w:val="20"/>
          <w:szCs w:val="20"/>
          <w:color w:val="auto"/>
        </w:rPr>
      </w:pPr>
    </w:p>
    <w:p>
      <w:pPr>
        <w:ind w:right="20" w:firstLine="948"/>
        <w:spacing w:after="0" w:line="268" w:lineRule="auto"/>
        <w:tabs>
          <w:tab w:leader="none" w:pos="126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(i) a transaction or event that constitutes (x) a Fundamental Change or (y) a Make-Whole Fundamental Change occurs prior to the close of business on the Business Day immediately preceding December 1, 2027, regardless of whether a Holder has the right to require the Company to repurchase the Notes pursuant to Section 14.02, or (ii) if the Company is a party to a consolidation, merger, combination, statutory share exchange, or sale, lease, or other transfer to a third party of all or substantially all of its and its Subsidiaries’ consolidated assets, taken as a whole (other than a merger effected solely to change the Company’s jurisdiction of incorporation that does not otherwise constitute a Fundamental Change or Make-Whole Fundamental Change), prior to the close of business on the Business Day immediately preceding December 1, 2027, pursuant to which the Common Stock would be converted into shares of stock, other securities, or other property or assets (including cash or any combination thereof), then, in each case, all or any portion of a Holder’s Notes may be surrendered for conversion at any time after the effective date of such transaction or event until the earlier of (x) the 35th Trading Day after the effective date of such transaction or event or, if such transaction or event also constitutes a Fundamental Change, until the related Fundamental Change Repurchase Date and (y) the close of business on the Business Day immediately preceding the Maturity Date. The Company shall notify Holders, the Trustee, and the Conversion Agent (if other than the Trustee) no later than the effective date of such transaction or event. None of the Trustee, the Bid Solicitation Agent or the Conversion Agent shall have any duty to determine or verify the Company’s determination of whether a Fundamental Change or a Make-Whole Fundamental Change has occurred.</w:t>
      </w:r>
    </w:p>
    <w:p>
      <w:pPr>
        <w:spacing w:after="0" w:line="76" w:lineRule="exact"/>
        <w:rPr>
          <w:rFonts w:ascii="Arial" w:cs="Arial" w:eastAsia="Arial" w:hAnsi="Arial"/>
          <w:sz w:val="17"/>
          <w:szCs w:val="17"/>
          <w:color w:val="auto"/>
        </w:rPr>
      </w:pPr>
    </w:p>
    <w:p>
      <w:pPr>
        <w:ind w:firstLine="948"/>
        <w:spacing w:after="0" w:line="289" w:lineRule="auto"/>
        <w:tabs>
          <w:tab w:leader="none" w:pos="125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Prior to the close of business on the Business Day immediately preceding December 1, 2027, a Holder may surrender all or any portion of its Notes for conversion at any time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as determined by the Company. The Company shall determine at the beginning of each calendar quarter commencing after June 30, 2021 whether the Notes may be surrendered for conversion in accordance with this clause (iv) and shall notify the Trustee and the Conversion Agent (if other than the Trustee) in writing if the Notes become convertible in accordance with this clause (iv). None of the Trustee, the Bid Solicitation Agent or the Conversion Agent shall have any duty to determine or verify the Company’s determination of whether the condition set forth in this clause (iv) has occurred.</w:t>
      </w:r>
    </w:p>
    <w:p>
      <w:pPr>
        <w:spacing w:after="0" w:line="58" w:lineRule="exact"/>
        <w:rPr>
          <w:rFonts w:ascii="Arial" w:cs="Arial" w:eastAsia="Arial" w:hAnsi="Arial"/>
          <w:sz w:val="16"/>
          <w:szCs w:val="16"/>
          <w:color w:val="auto"/>
        </w:rPr>
      </w:pPr>
    </w:p>
    <w:p>
      <w:pPr>
        <w:ind w:right="20" w:firstLine="948"/>
        <w:spacing w:after="0" w:line="271" w:lineRule="auto"/>
        <w:tabs>
          <w:tab w:leader="none" w:pos="120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the Company calls any Note for Optional Redemption pursuant to Article XV prior to the Maturity Date, then a Holder of such Note called for Optional Redemption may surrender all or any portion of such Note for conversion at any time prior to the close of business on the second Scheduled Trading Day prior to the Redemption Date on account of the Company’s delivery of a Redemption Notice, even if the Note is not otherwise convertible at such time. After that time, the right to convert such Note on account of the Company’s delivery of a Redemption Notice shall expire, unless the Company defaults in the payment of the Redemption Price, in which case a Holder of the Note called for Optional Redemption may convert such Note (or any portion thereof) until the close of business on the Business Day immediately preceding the date on which the Redemption Price has been paid or duly provided for. If the Company elects to redeem less than all of the outstanding Notes and the Holder of any Note (or any owner of a beneficial</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0"/>
          </w:cols>
          <w:pgMar w:left="880" w:top="274" w:right="459" w:bottom="1440" w:gutter="0" w:footer="0" w:header="0"/>
        </w:sectPr>
      </w:pPr>
    </w:p>
    <w:bookmarkStart w:id="142" w:name="page143"/>
    <w:bookmarkEnd w:id="142"/>
    <w:p>
      <w:pPr>
        <w:ind w:left="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in any Global Note) is reasonably not able to determine, before the close of business on the 29th Scheduled Trading Day immediately before the relevant Redemption Date, whether such Note or beneficial interest, as applicable, is to be redeemed pursuant to such Optional Redemption, then such Holder or owner, as applicable, will be entitled to convert such Note or beneficial interest, as applicable, at any time before the close of business on the second Scheduled Trading Day prior to such Redemption Date, unless the Company defaults in the payment of the Redemption Price, in which case such Holder or owner, as applicable, will be entitled to convert such Note or beneficial interest, as applicable, until the close of business on the Business Day immediately preceding the date on which the Redemption Price has been paid or duly provided for, and each such conversion will be deemed to be of a Note called for Optional Redemption. The Trustee shall not be obligated to make any determination in connection with the foregoing.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Conversion Procedure; Settlement Upon Conversion</w:t>
      </w:r>
      <w:r>
        <w:rPr>
          <w:rFonts w:ascii="Arial" w:cs="Arial" w:eastAsia="Arial" w:hAnsi="Arial"/>
          <w:sz w:val="18"/>
          <w:szCs w:val="18"/>
          <w:color w:val="auto"/>
        </w:rPr>
        <w:t>.</w:t>
      </w:r>
    </w:p>
    <w:p>
      <w:pPr>
        <w:spacing w:after="0" w:line="225" w:lineRule="exact"/>
        <w:rPr>
          <w:sz w:val="20"/>
          <w:szCs w:val="20"/>
          <w:color w:val="auto"/>
        </w:rPr>
      </w:pPr>
    </w:p>
    <w:p>
      <w:pPr>
        <w:ind w:left="-20" w:right="160" w:firstLine="987"/>
        <w:spacing w:after="0" w:line="275" w:lineRule="auto"/>
        <w:tabs>
          <w:tab w:leader="none" w:pos="121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Subject to this Section 13.02, Section 13.03(d) and Section 13.07(a), upon conversion of any Note on the second Business Day immediately following the last Trading Day of the Observation Period, the Company shall pay or deliver, as the case may be, to the converting Holder, in respect of each $1,000 principal amount of Notes being converted, a “</w:t>
      </w:r>
      <w:r>
        <w:rPr>
          <w:rFonts w:ascii="Arial" w:cs="Arial" w:eastAsia="Arial" w:hAnsi="Arial"/>
          <w:sz w:val="17"/>
          <w:szCs w:val="17"/>
          <w:b w:val="1"/>
          <w:bCs w:val="1"/>
          <w:color w:val="auto"/>
        </w:rPr>
        <w:t>Settlement Amount</w:t>
      </w:r>
      <w:r>
        <w:rPr>
          <w:rFonts w:ascii="Arial" w:cs="Arial" w:eastAsia="Arial" w:hAnsi="Arial"/>
          <w:sz w:val="17"/>
          <w:szCs w:val="17"/>
          <w:color w:val="auto"/>
        </w:rPr>
        <w:t>” equal to the sum of the Daily Settlement Amounts for each of the 25 Trading Days during the relevant Observation Period for such Note, if any, together with cash, if applicable, in lieu of delivering any fractional share of Common Stock in accordance with subsection (j) of this Section 13.02.</w:t>
      </w:r>
    </w:p>
    <w:p>
      <w:pPr>
        <w:spacing w:after="0" w:line="68" w:lineRule="exact"/>
        <w:rPr>
          <w:rFonts w:ascii="Arial" w:cs="Arial" w:eastAsia="Arial" w:hAnsi="Arial"/>
          <w:sz w:val="17"/>
          <w:szCs w:val="17"/>
          <w:color w:val="auto"/>
        </w:rPr>
      </w:pPr>
    </w:p>
    <w:p>
      <w:pPr>
        <w:ind w:left="420" w:right="320" w:firstLine="948"/>
        <w:spacing w:after="0" w:line="277" w:lineRule="auto"/>
        <w:tabs>
          <w:tab w:leader="none" w:pos="158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conversions for which the relevant Conversion Date occurs (x) on or after December 1, 2027 and (y) during a Redemption Period shall be settled using the same forms and amounts of consideration.</w:t>
      </w:r>
    </w:p>
    <w:p>
      <w:pPr>
        <w:spacing w:after="0" w:line="62" w:lineRule="exact"/>
        <w:rPr>
          <w:rFonts w:ascii="Arial" w:cs="Arial" w:eastAsia="Arial" w:hAnsi="Arial"/>
          <w:sz w:val="18"/>
          <w:szCs w:val="18"/>
          <w:color w:val="auto"/>
        </w:rPr>
      </w:pPr>
    </w:p>
    <w:p>
      <w:pPr>
        <w:ind w:left="420" w:firstLine="948"/>
        <w:spacing w:after="0" w:line="259" w:lineRule="auto"/>
        <w:tabs>
          <w:tab w:leader="none" w:pos="16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Except for any conversions for which the relevant Conversion Date occurs during a Redemption Period and any conversions for which the relevant Conversion Date occurs on or after December 1, 2027, the Company shall use the same forms and amounts of consideration for all conversions with the same Conversion Date, but the Company shall not have any obligation to use the same forms and amounts of consideration with respect to conversions with different Conversion Dates.</w:t>
      </w:r>
    </w:p>
    <w:p>
      <w:pPr>
        <w:spacing w:after="0" w:line="78" w:lineRule="exact"/>
        <w:rPr>
          <w:rFonts w:ascii="Arial" w:cs="Arial" w:eastAsia="Arial" w:hAnsi="Arial"/>
          <w:sz w:val="18"/>
          <w:szCs w:val="18"/>
          <w:color w:val="auto"/>
        </w:rPr>
      </w:pPr>
    </w:p>
    <w:p>
      <w:pPr>
        <w:ind w:left="420" w:right="20" w:firstLine="948"/>
        <w:spacing w:after="0" w:line="269" w:lineRule="auto"/>
        <w:tabs>
          <w:tab w:leader="none" w:pos="168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in respect of any Conversion Date (or the period described in the third immediately succeeding set of parentheses, as the case may be), the Company elects to deliver a notice to settle all or a portion of the Conversion Obligation for the Notes in excess of the principle portion of the Notes being converted in cash (the “</w:t>
      </w:r>
      <w:r>
        <w:rPr>
          <w:rFonts w:ascii="Arial" w:cs="Arial" w:eastAsia="Arial" w:hAnsi="Arial"/>
          <w:sz w:val="17"/>
          <w:szCs w:val="17"/>
          <w:b w:val="1"/>
          <w:bCs w:val="1"/>
          <w:color w:val="auto"/>
        </w:rPr>
        <w:t>Settlement Notice</w:t>
      </w:r>
      <w:r>
        <w:rPr>
          <w:rFonts w:ascii="Arial" w:cs="Arial" w:eastAsia="Arial" w:hAnsi="Arial"/>
          <w:sz w:val="17"/>
          <w:szCs w:val="17"/>
          <w:color w:val="auto"/>
        </w:rPr>
        <w:t>”)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for which the relevant Conversion Date occurs (x) during a Redemption Period, in such Redemption Notice or (y) on or after December 1, 2027, no later than the close of business on the Scheduled Trading Day immediately preceding December 1, 2027) and the Company shall indicate in such Settlement Notice the Cash Percentage. If the Company does not elect a Cash Percentage prior to the deadline set forth in the immediately preceding sentence, the Company shall no longer have the right to elect a Cash Percentage with respect to such conversion or during such period and the Company shall settle its Conversion Obligation by paying cash in respect of the principal portion of the converted Notes and delivering shares of Common Stock in respect of the remainder, if any, of the Conversion Obligation in excess of the aggregate principal portion of the Notes being converted.</w:t>
      </w:r>
    </w:p>
    <w:p>
      <w:pPr>
        <w:spacing w:after="0" w:line="70" w:lineRule="exact"/>
        <w:rPr>
          <w:rFonts w:ascii="Arial" w:cs="Arial" w:eastAsia="Arial" w:hAnsi="Arial"/>
          <w:sz w:val="17"/>
          <w:szCs w:val="17"/>
          <w:color w:val="auto"/>
        </w:rPr>
      </w:pPr>
    </w:p>
    <w:p>
      <w:pPr>
        <w:ind w:left="420" w:right="80" w:firstLine="948"/>
        <w:spacing w:after="0" w:line="272" w:lineRule="auto"/>
        <w:tabs>
          <w:tab w:leader="none" w:pos="167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Daily Settlement Amounts (if applicable), the Daily Net Settlement Amounts (if applicable) and the Daily Conversion Values (if applicable) shall be determined by the Company promptly following the last day of the Observation Period. Promptly after such determination of the Daily Settlement Amounts, the Daily Net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the Daily Net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60" w:top="274" w:right="459" w:bottom="1440" w:gutter="0" w:footer="0" w:header="0"/>
        </w:sectPr>
      </w:pPr>
    </w:p>
    <w:bookmarkStart w:id="143" w:name="page144"/>
    <w:bookmarkEnd w:id="143"/>
    <w:p>
      <w:pPr>
        <w:ind w:left="440" w:right="140" w:firstLine="948"/>
        <w:spacing w:after="0" w:line="273" w:lineRule="auto"/>
        <w:tabs>
          <w:tab w:leader="none" w:pos="1647" w:val="left"/>
        </w:tabs>
        <w:numPr>
          <w:ilvl w:val="1"/>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close of business on the Scheduled Trading Day immediately preceding December 1, 2027 (other than during a Redemption Period), the Company may, at its election, by notice ( an “</w:t>
      </w:r>
      <w:r>
        <w:rPr>
          <w:rFonts w:ascii="Arial" w:cs="Arial" w:eastAsia="Arial" w:hAnsi="Arial"/>
          <w:sz w:val="17"/>
          <w:szCs w:val="17"/>
          <w:b w:val="1"/>
          <w:bCs w:val="1"/>
          <w:color w:val="auto"/>
        </w:rPr>
        <w:t>Irrevocable Election Notice</w:t>
      </w:r>
      <w:r>
        <w:rPr>
          <w:rFonts w:ascii="Arial" w:cs="Arial" w:eastAsia="Arial" w:hAnsi="Arial"/>
          <w:sz w:val="17"/>
          <w:szCs w:val="17"/>
          <w:color w:val="auto"/>
        </w:rPr>
        <w:t>”) to the Holders, the Trustee and the Conversion Agent (if other than the Trustee) in accordance with provisions of this Indenture, irrevocably elect to settle its Conversion Obligation with respect to all conversions subsequent to the date of the Irrevocable Election Notice through a Cash Percentage of 0 percent for each $1,000 principal amount of Notes; provided, however, that any irrevocable election notice given during a Redemption Period shall only apply to Notes submitted for conversion subsequent to the applicable Redemption Date.</w:t>
      </w:r>
    </w:p>
    <w:p>
      <w:pPr>
        <w:spacing w:after="0" w:line="177" w:lineRule="exact"/>
        <w:rPr>
          <w:rFonts w:ascii="Arial" w:cs="Arial" w:eastAsia="Arial" w:hAnsi="Arial"/>
          <w:sz w:val="17"/>
          <w:szCs w:val="17"/>
          <w:color w:val="auto"/>
        </w:rPr>
      </w:pPr>
    </w:p>
    <w:p>
      <w:pPr>
        <w:ind w:right="20" w:firstLine="987"/>
        <w:spacing w:after="0" w:line="286" w:lineRule="auto"/>
        <w:tabs>
          <w:tab w:leader="none" w:pos="12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Subject to Section 13.02(e), before any Holder of a Note shall be entitled to convert a Note as set forth above, such Holder shall (i) in the case of a Global Note, comply with the procedures of the Depositary in effect at that time and, if required, pay funds equal to any Special Interest payable on the next Special Interest Payment Date to which such Holder is not entitled as set forth in Section 13.02(h) and (ii) in the case of a Physical Note (1) complete, manually sign and deliver an irrevocable notice to the Conversion Agent as set forth in the Form of Notice of Conversion (or a facsimile, PDF or other electronic transmission thereof thereof) (a notice pursuant to the applicable procedures of the Depositary or a notice as set forth in the Form of Notice of Conversion, a “</w:t>
      </w:r>
      <w:r>
        <w:rPr>
          <w:rFonts w:ascii="Arial" w:cs="Arial" w:eastAsia="Arial" w:hAnsi="Arial"/>
          <w:sz w:val="16"/>
          <w:szCs w:val="16"/>
          <w:b w:val="1"/>
          <w:bCs w:val="1"/>
          <w:color w:val="auto"/>
        </w:rPr>
        <w:t>Notice of Conversion</w:t>
      </w:r>
      <w:r>
        <w:rPr>
          <w:rFonts w:ascii="Arial" w:cs="Arial" w:eastAsia="Arial" w:hAnsi="Arial"/>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Special Interest payable on the next Special Interest Payment Date to which such Holder is not entitled as set forth in Section 13.02(h). The Trustee (and, if different, the Conversion Agent) shall notify the Company of any conversion pursuant to this Article XIII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14.03.</w:t>
      </w:r>
    </w:p>
    <w:p>
      <w:pPr>
        <w:spacing w:after="0" w:line="17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80" w:lineRule="exact"/>
        <w:rPr>
          <w:sz w:val="20"/>
          <w:szCs w:val="20"/>
          <w:color w:val="auto"/>
        </w:rPr>
      </w:pPr>
    </w:p>
    <w:p>
      <w:pPr>
        <w:ind w:firstLine="987"/>
        <w:spacing w:after="0" w:line="255" w:lineRule="auto"/>
        <w:tabs>
          <w:tab w:leader="none" w:pos="12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Note shall be deemed to have been converted immediately prior to the close of business on the date (the “</w:t>
      </w:r>
      <w:r>
        <w:rPr>
          <w:rFonts w:ascii="Arial" w:cs="Arial" w:eastAsia="Arial" w:hAnsi="Arial"/>
          <w:sz w:val="18"/>
          <w:szCs w:val="18"/>
          <w:b w:val="1"/>
          <w:bCs w:val="1"/>
          <w:color w:val="auto"/>
        </w:rPr>
        <w:t>Conversion Date</w:t>
      </w:r>
      <w:r>
        <w:rPr>
          <w:rFonts w:ascii="Arial" w:cs="Arial" w:eastAsia="Arial" w:hAnsi="Arial"/>
          <w:sz w:val="18"/>
          <w:szCs w:val="18"/>
          <w:color w:val="auto"/>
        </w:rPr>
        <w:t>”) that the Holder has complied with the requirements set forth in subsection (b) above. Except as set forth in Section 13.03(c) and Section 13.07(a), the Company shall pay or deliver, as the case may be, the consideration due in respect of the Conversion Obligation on the second Business Day immediately following the last Trading Day of the relevant Observation Period. If any shares of Common Stock are due to converting Holders, the Company shall issue or cause to be issued, and deliver to the Conversion Agent or to such Holder, or such Holder’s nominee or nominees, certificates or a book-entry transfer through the Depositary for the full number of shares of Common Stock to which such Holder shall be entitled in satisfaction of the Company’s Conversion Obligation.</w:t>
      </w:r>
    </w:p>
    <w:p>
      <w:pPr>
        <w:spacing w:after="0" w:line="192" w:lineRule="exact"/>
        <w:rPr>
          <w:rFonts w:ascii="Arial" w:cs="Arial" w:eastAsia="Arial" w:hAnsi="Arial"/>
          <w:sz w:val="18"/>
          <w:szCs w:val="18"/>
          <w:color w:val="auto"/>
        </w:rPr>
      </w:pPr>
    </w:p>
    <w:p>
      <w:pPr>
        <w:ind w:right="60" w:firstLine="987"/>
        <w:spacing w:after="0" w:line="273" w:lineRule="auto"/>
        <w:tabs>
          <w:tab w:leader="none" w:pos="124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77" w:lineRule="exact"/>
        <w:rPr>
          <w:rFonts w:ascii="Arial" w:cs="Arial" w:eastAsia="Arial" w:hAnsi="Arial"/>
          <w:sz w:val="17"/>
          <w:szCs w:val="17"/>
          <w:color w:val="auto"/>
        </w:rPr>
      </w:pPr>
    </w:p>
    <w:p>
      <w:pPr>
        <w:jc w:val="both"/>
        <w:ind w:right="60" w:firstLine="987"/>
        <w:spacing w:after="0" w:line="296" w:lineRule="auto"/>
        <w:tabs>
          <w:tab w:leader="none" w:pos="123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be required to pay that tax. The Conversion Agent may refuse to deliver or refuse to instruct the stock transfer agent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144" w:name="page145"/>
    <w:bookmarkEnd w:id="144"/>
    <w:p>
      <w:pPr>
        <w:ind w:right="500" w:firstLine="987"/>
        <w:spacing w:after="0" w:line="277" w:lineRule="auto"/>
        <w:tabs>
          <w:tab w:leader="none" w:pos="1216"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provided in Section 13.04, no adjustment shall be made for dividends on any shares of Common Stock issued upon the conversion of any Note as provided in this Article XIII.</w:t>
      </w:r>
    </w:p>
    <w:p>
      <w:pPr>
        <w:spacing w:after="0" w:line="170" w:lineRule="exact"/>
        <w:rPr>
          <w:rFonts w:ascii="Arial" w:cs="Arial" w:eastAsia="Arial" w:hAnsi="Arial"/>
          <w:sz w:val="18"/>
          <w:szCs w:val="18"/>
          <w:color w:val="auto"/>
        </w:rPr>
      </w:pPr>
    </w:p>
    <w:p>
      <w:pPr>
        <w:jc w:val="both"/>
        <w:ind w:right="80" w:firstLine="987"/>
        <w:spacing w:after="0" w:line="263" w:lineRule="auto"/>
        <w:tabs>
          <w:tab w:leader="none" w:pos="12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83" w:lineRule="exact"/>
        <w:rPr>
          <w:rFonts w:ascii="Arial" w:cs="Arial" w:eastAsia="Arial" w:hAnsi="Arial"/>
          <w:sz w:val="18"/>
          <w:szCs w:val="18"/>
          <w:color w:val="auto"/>
        </w:rPr>
      </w:pPr>
    </w:p>
    <w:p>
      <w:pPr>
        <w:ind w:firstLine="987"/>
        <w:spacing w:after="0" w:line="285" w:lineRule="auto"/>
        <w:tabs>
          <w:tab w:leader="none" w:pos="12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conversion, a Holder shall not receive any separate cash payment for accrued and unpaid Special Interest, if any, except as set forth below. The Company’s settlement of the full Conversion Obligation shall be deemed to satisfy in full its obligation to pay the principal amount of the Note and accrued and unpaid Special Interest, if any, to, but excluding, the relevant Conversion Date. As a result, accrued and unpaid Special Interest, if any, to, but excluding, the relevant Conversion Date shall be deemed to be paid in full rather than canceled, extinguished, or forfeited. Upon a conversion of Notes, any accrued and unpaid Special Interest will be deemed to be paid first out of the cash paid upon such conversion. Notwithstanding the foregoing, if Notes are converted after the close of business on a Special Interest Record Date and prior to the open of business on the corresponding Special Interest Payment Date, Holders of such Notes as of the close of business on such Special Interest Record Date will receive the full amount of Special Interest payable on such Notes on the corresponding Special Interest Payment Date notwithstanding the conversion. Notes surrendered for conversion during the period from the close of business on any Special Interest Record Date to the open of business on the immediately following Special Interest Payment Date must be accompanied by funds equal to the amount of Special Interest payable on the Notes so converted; provided that no such payment shall be required (1) for conversions following the close on business on the Special Interest Record Date immediately preceding the Maturity Date; (2) if the Company has specified a Fundamental Change Repurchase Date that is after a Special Interest Record Date and on or prior to the Business Day immediately following the corresponding Special Interest Payment Date; (3) if the Company has specified a Redemption Date that is after a Special Interest Record Date and on or prior to the second Business Day immediately following the corresponding Special Interest Payment Date; or (4) to the extent of any Defaulted Amounts, if any Defaulted Amounts exists at the time of conversion with respect to such Note. Therefore, for the avoidance of doubt, all Holders of record at the close of business on the Special Interest Record Date immediately preceding the Maturity Date, any Redemption Date described in clause (3) above, or any Fundamental Change Repurchase Date as described in the immediately preceding sentence (if and to the extent that Special Interest is payable on the Maturity Date) shall receive the full Special Interest payment due on the Maturity Date or other applicable Special Interest Payment Date in cash regardless of whether their Notes have been converted, redeemed or repurchased, as applicable following such Special Interest Record Date.</w:t>
      </w:r>
    </w:p>
    <w:p>
      <w:pPr>
        <w:spacing w:after="0" w:line="384" w:lineRule="exact"/>
        <w:rPr>
          <w:rFonts w:ascii="Arial" w:cs="Arial" w:eastAsia="Arial" w:hAnsi="Arial"/>
          <w:sz w:val="16"/>
          <w:szCs w:val="16"/>
          <w:color w:val="auto"/>
        </w:rPr>
      </w:pPr>
    </w:p>
    <w:p>
      <w:pPr>
        <w:jc w:val="both"/>
        <w:ind w:right="460" w:firstLine="987"/>
        <w:spacing w:after="0" w:line="286" w:lineRule="auto"/>
        <w:tabs>
          <w:tab w:leader="none" w:pos="120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Subject to Section 13.13, the Person in whose name the certificate for any shares of Common Stock delivered upon conversion is registered shall be treated as a stockholder of record as of the close of business on the last Trading Day of the relevant Observation Period. Upon a conversion of Notes, such Person shall no longer be a Holder of such Notes surrendered for conversion.</w:t>
      </w:r>
    </w:p>
    <w:p>
      <w:pPr>
        <w:spacing w:after="0" w:line="165" w:lineRule="exact"/>
        <w:rPr>
          <w:rFonts w:ascii="Arial" w:cs="Arial" w:eastAsia="Arial" w:hAnsi="Arial"/>
          <w:sz w:val="17"/>
          <w:szCs w:val="17"/>
          <w:color w:val="auto"/>
        </w:rPr>
      </w:pPr>
    </w:p>
    <w:p>
      <w:pPr>
        <w:ind w:right="80" w:firstLine="987"/>
        <w:spacing w:after="0" w:line="257" w:lineRule="auto"/>
        <w:tabs>
          <w:tab w:leader="none" w:pos="12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87"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applicable withholding taxes (including backup withholding) may be withheld from interest and payments upon conversion, repurchase or maturity of the Notes, or if any withholding taxes (including backup withholding) are paid on behalf of a Holder, those withholding taxes may be set off against payments of cash or Common Stock, if any, payable on the Notes to such Holder.</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Increased Conversion Rate Applicable to Certain Notes Surrendered in Connection with Make-Whole Fundamental Changes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During a Redemption Period</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45" w:name="page146"/>
    <w:bookmarkEnd w:id="145"/>
    <w:p>
      <w:pPr>
        <w:ind w:left="-20" w:right="20" w:firstLine="987"/>
        <w:spacing w:after="0" w:line="285" w:lineRule="auto"/>
        <w:tabs>
          <w:tab w:leader="none" w:pos="1216"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Make-Whole Fundamental Change occurs or becomes effective prior to the Maturity Date and a Holder elects to convert its Notes in connection with such Make-Whole Fundamental Change or the Company issues a Redemption Notice pursuant to Section 15.02 and a Holder elects to convert its Notes in connection with such Redemption Notice, the Company shall, under the circumstances described below, increase the Conversion Rate for the Notes so surrendered for conversion by a number of additional shares of Common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subclause (i) of the proviso in clause (b) of the definition thereof, the 35th Trading Day immediately following the Effective Date of such Make-Whole Fundamental Change) (such period, the “</w:t>
      </w:r>
      <w:r>
        <w:rPr>
          <w:rFonts w:ascii="Arial" w:cs="Arial" w:eastAsia="Arial" w:hAnsi="Arial"/>
          <w:sz w:val="16"/>
          <w:szCs w:val="16"/>
          <w:b w:val="1"/>
          <w:bCs w:val="1"/>
          <w:color w:val="auto"/>
        </w:rPr>
        <w:t>Make-Whole Fundamental Change Period</w:t>
      </w:r>
      <w:r>
        <w:rPr>
          <w:rFonts w:ascii="Arial" w:cs="Arial" w:eastAsia="Arial" w:hAnsi="Arial"/>
          <w:sz w:val="16"/>
          <w:szCs w:val="16"/>
          <w:color w:val="auto"/>
        </w:rPr>
        <w:t>”). A conversion of Notes shall be deemed for these purposes to be “in connection with” a Redemption Notice if the relevant Notice of Conversion is received by the Conversion Agent during the relevant Redemption Period. For the avoidance of doubt, the Company shall increase the Conversion Rate for the Notes in connection with a Redemption Notice only with respect to conversion of Notes called (or deemed called) for Optional Redemption, and not for Notes not called for Optional Redemption. If the Company elects to redeem less than all of the Notes, a Holder of the Notes not called for Optional Redemption will not be entitled to an increased Conversion Rate for conversions of such Notes (on account of the Redemption Notice) from, and including, the Redemption Notice Date until the close of business on the Scheduled Trading Day immediately preceding the Redemption Date, except in the limited circumstances set forth in Section 13.01(b)(v).</w:t>
      </w:r>
    </w:p>
    <w:p>
      <w:pPr>
        <w:spacing w:after="0" w:line="176" w:lineRule="exact"/>
        <w:rPr>
          <w:rFonts w:ascii="Arial" w:cs="Arial" w:eastAsia="Arial" w:hAnsi="Arial"/>
          <w:sz w:val="16"/>
          <w:szCs w:val="16"/>
          <w:color w:val="auto"/>
        </w:rPr>
      </w:pPr>
    </w:p>
    <w:p>
      <w:pPr>
        <w:ind w:left="-20" w:right="60" w:firstLine="987"/>
        <w:spacing w:after="0" w:line="269" w:lineRule="auto"/>
        <w:tabs>
          <w:tab w:leader="none" w:pos="122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Upon surrender of Notes for conversion in connection with a Make-Whole Fundamental Change pursuant to Section 13.01(b)(iii) or during a Redemption Period pursuant to Section 13.01(b)(v), the Company shall satisfy the related Conversion Obligation in accordance with Section 13.02 based on the Conversion Rate as increased to reflect the Additional Shares pursuant to the table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adjustment for Additional Shares),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such Stock Price. In such event, the Conversion Obligation shall be determined and paid to Holders in cash on the second Business Day following the Conversion Date. The Company shall notify the Holders of Notes, the Trustee and the Conversion Agent (if other than the Trustee) of the Effective Date of any Make-Whole Fundamental Change and publish a notice of such Effective Date on the Company’s website, in a filing with the Commission or through such other public medium as the Company may use at that time no later than five Business Days after such Effective Date.</w:t>
      </w:r>
    </w:p>
    <w:p>
      <w:pPr>
        <w:spacing w:after="0" w:line="178" w:lineRule="exact"/>
        <w:rPr>
          <w:rFonts w:ascii="Arial" w:cs="Arial" w:eastAsia="Arial" w:hAnsi="Arial"/>
          <w:sz w:val="17"/>
          <w:szCs w:val="17"/>
          <w:color w:val="auto"/>
        </w:rPr>
      </w:pPr>
    </w:p>
    <w:p>
      <w:pPr>
        <w:ind w:left="-20" w:firstLine="987"/>
        <w:spacing w:after="0" w:line="286" w:lineRule="auto"/>
        <w:tabs>
          <w:tab w:leader="none" w:pos="121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number of Additional Shares, if any, by which the Conversion Rate shall be increased for conversions during the Make-Whole Fundamental Change Period or during the Redemption Period shall be determined by reference to the table below, based on the date on which the Make-Whole Fundamental Change occurs or becomes effective or the Redemption Notice Date, as applicable (in each case,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(the “</w:t>
      </w:r>
      <w:r>
        <w:rPr>
          <w:rFonts w:ascii="Arial" w:cs="Arial" w:eastAsia="Arial" w:hAnsi="Arial"/>
          <w:sz w:val="16"/>
          <w:szCs w:val="16"/>
          <w:b w:val="1"/>
          <w:bCs w:val="1"/>
          <w:color w:val="auto"/>
        </w:rPr>
        <w:t>Stock Price</w:t>
      </w:r>
      <w:r>
        <w:rPr>
          <w:rFonts w:ascii="Arial" w:cs="Arial" w:eastAsia="Arial" w:hAnsi="Arial"/>
          <w:sz w:val="16"/>
          <w:szCs w:val="16"/>
          <w:color w:val="auto"/>
        </w:rPr>
        <w:t>”) paid (or deemed to be paid) per share of the Common Stock in the Make-Whole Fundamental Change or with respect to the Optional Redemption, as applicable, as set forth in this Section 13.03. If the holders of the Common Stock receive in exchange for their Common Stock only cash in a Make-Whole Fundamental Change described in clause (b) of the definition of Fundamental Change, the Stock Price shall be the cash amount paid per share. In the case of any other Make-Whole Fundamental Change or in the case of any Optional Redemption, the Stock Price shall be the average of the Last Reported Sale Prices of the Common Stock over the five consecutive Trading Day period ending on, and including, the Trading Day immediately preceding the Effective Date of the Make-Whole Fundamental Change or the Redemption Notice Date, as the case may be. In the event that a Conversion Date occurs during both a Redemption Period and a Make-Whole Fundamental Change Period, a Holder of any such Notes to be converted will be entitled to a single increase to the Conversion Rate with respect to the first to occur of the applicable Redemption Notice Date or Effective Date of the Make-Whole Fundamental Change, and the later event shall be deemed not to have occurred for purposes of such conversion. The Board of Directors shall make appropriate adjustments to the Stock Price, in its good faith determination, to account for any adjustment to the Conversion Rate that becomes effective, or any event requiring an adjustment to the Conversion Rate where the Ex-Dividend Date, Effective Date (as such term is used in Section 13.04) or expiration date of the event occurs, during such five consecutive Trading Day period.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60" w:top="274" w:right="459" w:bottom="1440" w:gutter="0" w:footer="0" w:header="0"/>
        </w:sectPr>
      </w:pPr>
    </w:p>
    <w:bookmarkStart w:id="146" w:name="page147"/>
    <w:bookmarkEnd w:id="146"/>
    <w:p>
      <w:pPr>
        <w:ind w:right="120" w:firstLine="987"/>
        <w:spacing w:after="0" w:line="275" w:lineRule="auto"/>
        <w:tabs>
          <w:tab w:leader="none" w:pos="12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Stock Prices set forth in the column headings of the table below shall be adjusted as of any date on which the Conversion Rate of the Notes is otherwise adjusted. The adjusted Stock Prices shall equal the Stock Prices applicable immediately prior to such adjustment, multiplied by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13.04.</w:t>
      </w:r>
    </w:p>
    <w:p>
      <w:pPr>
        <w:spacing w:after="0" w:line="176" w:lineRule="exact"/>
        <w:rPr>
          <w:rFonts w:ascii="Arial" w:cs="Arial" w:eastAsia="Arial" w:hAnsi="Arial"/>
          <w:sz w:val="17"/>
          <w:szCs w:val="17"/>
          <w:color w:val="auto"/>
        </w:rPr>
      </w:pPr>
    </w:p>
    <w:p>
      <w:pPr>
        <w:ind w:right="80" w:firstLine="987"/>
        <w:spacing w:after="0" w:line="263" w:lineRule="auto"/>
        <w:tabs>
          <w:tab w:leader="none" w:pos="12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following table sets forth the number of Additional Shares of Common Stock by which the Conversion Rate shall be increased per $1,000 principal amount of Notes pursuant to this Section 13.03 for each Stock Price and Effective Date of the Make-Whole Fundamental Change or Redemption Notice Date, as applicable,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Effective Date/Redemption Notice</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6"/>
          </w:tcPr>
          <w:p>
            <w:pPr>
              <w:ind w:left="460"/>
              <w:spacing w:after="0"/>
              <w:rPr>
                <w:sz w:val="20"/>
                <w:szCs w:val="20"/>
                <w:color w:val="auto"/>
              </w:rPr>
            </w:pPr>
            <w:r>
              <w:rPr>
                <w:rFonts w:ascii="Arial" w:cs="Arial" w:eastAsia="Arial" w:hAnsi="Arial"/>
                <w:sz w:val="18"/>
                <w:szCs w:val="18"/>
                <w:b w:val="1"/>
                <w:bCs w:val="1"/>
                <w:color w:val="auto"/>
                <w:w w:val="97"/>
              </w:rPr>
              <w:t>Stock Price</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3200" w:type="dxa"/>
            <w:vAlign w:val="bottom"/>
            <w:gridSpan w:val="2"/>
            <w:vMerge w:val="continue"/>
          </w:tcPr>
          <w:p>
            <w:pPr>
              <w:spacing w:after="0"/>
              <w:rPr>
                <w:sz w:val="10"/>
                <w:szCs w:val="10"/>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$23.18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$30.00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$35.35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$40.00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$45.95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$55.00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$60.00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$70.00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$80.00</w:t>
            </w:r>
          </w:p>
        </w:tc>
        <w:tc>
          <w:tcPr>
            <w:tcW w:w="160" w:type="dxa"/>
            <w:vAlign w:val="bottom"/>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100.00</w:t>
            </w:r>
          </w:p>
        </w:tc>
        <w:tc>
          <w:tcPr>
            <w:tcW w:w="160" w:type="dxa"/>
            <w:vAlign w:val="bottom"/>
          </w:tcPr>
          <w:p>
            <w:pPr>
              <w:spacing w:after="0"/>
              <w:rPr>
                <w:sz w:val="10"/>
                <w:szCs w:val="10"/>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200" w:type="dxa"/>
            <w:vAlign w:val="bottom"/>
            <w:gridSpan w:val="2"/>
          </w:tcPr>
          <w:p>
            <w:pPr>
              <w:ind w:left="1380"/>
              <w:spacing w:after="0"/>
              <w:rPr>
                <w:sz w:val="20"/>
                <w:szCs w:val="20"/>
                <w:color w:val="auto"/>
              </w:rPr>
            </w:pPr>
            <w:r>
              <w:rPr>
                <w:rFonts w:ascii="Arial" w:cs="Arial" w:eastAsia="Arial" w:hAnsi="Arial"/>
                <w:sz w:val="14"/>
                <w:szCs w:val="14"/>
                <w:b w:val="1"/>
                <w:bCs w:val="1"/>
                <w:color w:val="auto"/>
              </w:rPr>
              <w:t>Date</w:t>
            </w: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February 26, 2021</w:t>
            </w: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14.8517</w:t>
            </w:r>
          </w:p>
        </w:tc>
        <w:tc>
          <w:tcPr>
            <w:tcW w:w="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9.2087</w:t>
            </w:r>
          </w:p>
        </w:tc>
        <w:tc>
          <w:tcPr>
            <w:tcW w:w="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6.5909</w:t>
            </w: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3"/>
              </w:rPr>
              <w:t>5.0298</w:t>
            </w: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3"/>
              </w:rPr>
              <w:t>3.6296</w:t>
            </w:r>
          </w:p>
        </w:tc>
        <w:tc>
          <w:tcPr>
            <w:tcW w:w="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2.2720</w:t>
            </w:r>
          </w:p>
        </w:tc>
        <w:tc>
          <w:tcPr>
            <w:tcW w:w="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1.7688</w:t>
            </w:r>
          </w:p>
        </w:tc>
        <w:tc>
          <w:tcPr>
            <w:tcW w:w="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1.0786</w:t>
            </w: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3"/>
              </w:rPr>
              <w:t>0.6530</w:t>
            </w:r>
          </w:p>
        </w:tc>
        <w:tc>
          <w:tcPr>
            <w:tcW w:w="160" w:type="dxa"/>
            <w:vAlign w:val="bottom"/>
          </w:tcPr>
          <w:p>
            <w:pPr>
              <w:spacing w:after="0"/>
              <w:rPr>
                <w:sz w:val="19"/>
                <w:szCs w:val="19"/>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0.2154</w:t>
            </w:r>
          </w:p>
        </w:tc>
        <w:tc>
          <w:tcPr>
            <w:tcW w:w="160" w:type="dxa"/>
            <w:vAlign w:val="bottom"/>
          </w:tcPr>
          <w:p>
            <w:pPr>
              <w:spacing w:after="0"/>
              <w:rPr>
                <w:sz w:val="19"/>
                <w:szCs w:val="19"/>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0.0273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1, 2022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14.8517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9.0023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6.3567</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4.7930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3.4048</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2.0784</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1.5943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0.9409</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0.5476</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0.1597</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0.0114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360"/>
              <w:spacing w:after="0"/>
              <w:rPr>
                <w:sz w:val="20"/>
                <w:szCs w:val="20"/>
                <w:color w:val="auto"/>
              </w:rPr>
            </w:pPr>
            <w:r>
              <w:rPr>
                <w:rFonts w:ascii="Arial" w:cs="Arial" w:eastAsia="Arial" w:hAnsi="Arial"/>
                <w:sz w:val="18"/>
                <w:szCs w:val="18"/>
                <w:color w:val="auto"/>
              </w:rPr>
              <w:t>March 1, 2023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14.8517</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8.7203</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6.0484</w:t>
            </w:r>
          </w:p>
        </w:tc>
        <w:tc>
          <w:tcPr>
            <w:tcW w:w="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4.4880</w:t>
            </w: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3.1210</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1.8407</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1.3833</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0.7794</w:t>
            </w: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0.4284</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0.1024</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1, 2024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14.8517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8.3827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5.6741</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4.1178</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2.7795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1.5613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1.1392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0.5996</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0.3013</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0.0502</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360"/>
              <w:spacing w:after="0"/>
              <w:rPr>
                <w:sz w:val="20"/>
                <w:szCs w:val="20"/>
                <w:color w:val="auto"/>
              </w:rPr>
            </w:pPr>
            <w:r>
              <w:rPr>
                <w:rFonts w:ascii="Arial" w:cs="Arial" w:eastAsia="Arial" w:hAnsi="Arial"/>
                <w:sz w:val="18"/>
                <w:szCs w:val="18"/>
                <w:color w:val="auto"/>
              </w:rPr>
              <w:t>March 1, 2025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14.8517</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7.9857</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5.2150</w:t>
            </w:r>
          </w:p>
        </w:tc>
        <w:tc>
          <w:tcPr>
            <w:tcW w:w="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3.6608</w:t>
            </w: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2.3624</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1.2309</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0.8573</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0.4039</w:t>
            </w: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0.1734</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0.0116</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1, 2026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14.8517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7.4297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4.5632</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3.0220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1.8007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0.8200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0.5245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0.1983</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0.0585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360"/>
              <w:spacing w:after="0"/>
              <w:rPr>
                <w:sz w:val="20"/>
                <w:szCs w:val="20"/>
                <w:color w:val="auto"/>
              </w:rPr>
            </w:pPr>
            <w:r>
              <w:rPr>
                <w:rFonts w:ascii="Arial" w:cs="Arial" w:eastAsia="Arial" w:hAnsi="Arial"/>
                <w:sz w:val="18"/>
                <w:szCs w:val="18"/>
                <w:color w:val="auto"/>
              </w:rPr>
              <w:t>March 1, 2027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14.8517</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6.5280</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3.4744</w:t>
            </w:r>
          </w:p>
        </w:tc>
        <w:tc>
          <w:tcPr>
            <w:tcW w:w="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1.9998</w:t>
            </w: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0.9878</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0.3295</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0.1707</w:t>
            </w:r>
          </w:p>
        </w:tc>
        <w:tc>
          <w:tcPr>
            <w:tcW w:w="6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0.0321</w:t>
            </w: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0.0003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1, 2028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14.8517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5.0443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0.0000</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0.0000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0.0000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0.0000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0.0000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0.0000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0.0000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exact Stock Prices and Effective Dates or Redemption Notice Dates may not be set forth in the table above, in which case:</w:t>
      </w:r>
    </w:p>
    <w:p>
      <w:pPr>
        <w:spacing w:after="0" w:line="117" w:lineRule="exact"/>
        <w:rPr>
          <w:sz w:val="20"/>
          <w:szCs w:val="20"/>
          <w:color w:val="auto"/>
        </w:rPr>
      </w:pPr>
    </w:p>
    <w:p>
      <w:pPr>
        <w:jc w:val="both"/>
        <w:ind w:left="440" w:right="100" w:firstLine="948"/>
        <w:spacing w:after="0" w:line="301" w:lineRule="auto"/>
        <w:tabs>
          <w:tab w:leader="none" w:pos="160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or the Redemption Notice Date, as the case may be, is between two Effective Dates or Redemption Notice Dates, as applicable, in the table above, the number of Additional Shares by which the Conversion Rate shall be increased shall be determined by a straight-line interpolation between the number of Additional Shares set forth for the higher and lower Stock Prices and the earlier and later Effective Dates or Redemption Notice Dates, as applicable, based on a 365-day year;</w:t>
      </w:r>
    </w:p>
    <w:p>
      <w:pPr>
        <w:spacing w:after="0" w:line="49" w:lineRule="exact"/>
        <w:rPr>
          <w:rFonts w:ascii="Arial" w:cs="Arial" w:eastAsia="Arial" w:hAnsi="Arial"/>
          <w:sz w:val="16"/>
          <w:szCs w:val="16"/>
          <w:color w:val="auto"/>
        </w:rPr>
      </w:pPr>
    </w:p>
    <w:p>
      <w:pPr>
        <w:ind w:left="440" w:right="160" w:firstLine="948"/>
        <w:spacing w:after="0" w:line="342" w:lineRule="auto"/>
        <w:tabs>
          <w:tab w:leader="none" w:pos="165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 Stock Price is greater than $125.00 per share (subject to adjustment in the same manner as the Stock Prices set forth in the column headings of the table above pursuant to subsection (d) above), no Additional Shares shall be added to the Conversion Rate; and</w:t>
      </w:r>
    </w:p>
    <w:p>
      <w:pPr>
        <w:spacing w:after="0" w:line="15" w:lineRule="exact"/>
        <w:rPr>
          <w:rFonts w:ascii="Arial" w:cs="Arial" w:eastAsia="Arial" w:hAnsi="Arial"/>
          <w:sz w:val="16"/>
          <w:szCs w:val="16"/>
          <w:color w:val="auto"/>
        </w:rPr>
      </w:pPr>
    </w:p>
    <w:p>
      <w:pPr>
        <w:ind w:left="440" w:right="420" w:firstLine="948"/>
        <w:spacing w:after="0" w:line="342" w:lineRule="auto"/>
        <w:tabs>
          <w:tab w:leader="none" w:pos="170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 Stock Price is less than $23.18 per share (subject to adjustment in the same manner as the Stock Prices set forth in the column headings of the table above pursuant to subsection (e) above), no Additional Shares shall be added to the Conversion Rate.</w:t>
      </w:r>
    </w:p>
    <w:p>
      <w:pPr>
        <w:spacing w:after="0" w:line="16"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Notwithstanding the foregoing, in no event shall the Conversion Rate per $1,000 principal amount of Notes exceed 43.1406 shares of Common Stock, subject to adjustment in the same manner as the Conversion Rate pursuant to Section 13.04.</w:t>
      </w:r>
    </w:p>
    <w:p>
      <w:pPr>
        <w:spacing w:after="0" w:line="170" w:lineRule="exact"/>
        <w:rPr>
          <w:sz w:val="20"/>
          <w:szCs w:val="20"/>
          <w:color w:val="auto"/>
        </w:rPr>
      </w:pPr>
    </w:p>
    <w:p>
      <w:pPr>
        <w:ind w:left="1220" w:hanging="233"/>
        <w:spacing w:after="0"/>
        <w:tabs>
          <w:tab w:leader="none" w:pos="12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Nothing in this Section 13.03 shall prevent an adjustment to the Conversion Rate that would otherwise be required pursuant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13.04.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147" w:name="page148"/>
    <w:bookmarkEnd w:id="147"/>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13.04 </w:t>
      </w:r>
      <w:r>
        <w:rPr>
          <w:rFonts w:ascii="Arial" w:cs="Arial" w:eastAsia="Arial" w:hAnsi="Arial"/>
          <w:sz w:val="16"/>
          <w:szCs w:val="16"/>
          <w:u w:val="single" w:color="auto"/>
          <w:color w:val="auto"/>
        </w:rPr>
        <w:t>Adjustment of Conversion Rate</w:t>
      </w:r>
      <w:r>
        <w:rPr>
          <w:rFonts w:ascii="Arial" w:cs="Arial" w:eastAsia="Arial" w:hAnsi="Arial"/>
          <w:sz w:val="16"/>
          <w:szCs w:val="16"/>
          <w:color w:val="auto"/>
        </w:rPr>
        <w:t>. The Conversion Rate shall be adjusted from time to time by the Company if any of the following events occurs, except that the Company shall not make any adjustments to the Conversion Rate if Holders of the Notes participate (other than in the case of a share split or share combination), at the same time and upon the same terms as holders of the Common Stock and solely as a result of holding the Notes, in any of the transactions described in this Section 13.04, without having to convert their Notes, as if they held a number of shares of Common Stock equal to the Conversion Rate, multiplied by the principal amount (expressed in thousands) of Notes held by such Holder.</w:t>
      </w:r>
    </w:p>
    <w:p>
      <w:pPr>
        <w:spacing w:after="0" w:line="161" w:lineRule="exact"/>
        <w:rPr>
          <w:sz w:val="20"/>
          <w:szCs w:val="20"/>
          <w:color w:val="auto"/>
        </w:rPr>
      </w:pPr>
    </w:p>
    <w:p>
      <w:pPr>
        <w:ind w:right="360" w:firstLine="987"/>
        <w:spacing w:after="0" w:line="308" w:lineRule="auto"/>
        <w:tabs>
          <w:tab w:leader="none" w:pos="123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vMerge w:val="restart"/>
          </w:tcPr>
          <w:p>
            <w:pPr>
              <w:ind w:left="514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2"/>
              </w:rPr>
              <w:t>OS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tcBorders>
              <w:bottom w:val="single" w:sz="8" w:color="auto"/>
            </w:tcBorders>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where,</w:t>
            </w:r>
          </w:p>
        </w:tc>
        <w:tc>
          <w:tcPr>
            <w:tcW w:w="6180" w:type="dxa"/>
            <w:vAlign w:val="bottom"/>
            <w:vMerge w:val="continue"/>
          </w:tcPr>
          <w:p>
            <w:pPr>
              <w:spacing w:after="0"/>
              <w:rPr>
                <w:sz w:val="7"/>
                <w:szCs w:val="7"/>
                <w:color w:val="auto"/>
              </w:rPr>
            </w:pPr>
          </w:p>
        </w:tc>
        <w:tc>
          <w:tcPr>
            <w:tcW w:w="4140" w:type="dxa"/>
            <w:vAlign w:val="bottom"/>
            <w:gridSpan w:val="5"/>
            <w:vMerge w:val="restart"/>
          </w:tcPr>
          <w:p>
            <w:pPr>
              <w:jc w:val="right"/>
              <w:ind w:right="364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35"/>
        </w:trPr>
        <w:tc>
          <w:tcPr>
            <w:tcW w:w="600" w:type="dxa"/>
            <w:vAlign w:val="bottom"/>
            <w:gridSpan w:val="2"/>
            <w:vMerge w:val="continue"/>
          </w:tcPr>
          <w:p>
            <w:pPr>
              <w:spacing w:after="0"/>
              <w:rPr>
                <w:sz w:val="11"/>
                <w:szCs w:val="11"/>
                <w:color w:val="auto"/>
              </w:rPr>
            </w:pPr>
          </w:p>
        </w:tc>
        <w:tc>
          <w:tcPr>
            <w:tcW w:w="6180" w:type="dxa"/>
            <w:vAlign w:val="bottom"/>
          </w:tcPr>
          <w:p>
            <w:pPr>
              <w:spacing w:after="0"/>
              <w:rPr>
                <w:sz w:val="11"/>
                <w:szCs w:val="11"/>
                <w:color w:val="auto"/>
              </w:rPr>
            </w:pPr>
          </w:p>
        </w:tc>
        <w:tc>
          <w:tcPr>
            <w:tcW w:w="41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00" w:type="dxa"/>
            <w:vAlign w:val="bottom"/>
            <w:gridSpan w:val="2"/>
            <w:vMerge w:val="continue"/>
          </w:tcPr>
          <w:p>
            <w:pPr>
              <w:spacing w:after="0"/>
              <w:rPr>
                <w:sz w:val="17"/>
                <w:szCs w:val="17"/>
                <w:color w:val="auto"/>
              </w:rPr>
            </w:pPr>
          </w:p>
        </w:tc>
        <w:tc>
          <w:tcPr>
            <w:tcW w:w="6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8"/>
              </w:rPr>
              <w:t>the Conversion Rate in effect immediately prior to the open of business on the Ex-Dividend Date of such dividend or distribution, 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c>
          <w:tcPr>
            <w:tcW w:w="0" w:type="dxa"/>
            <w:vAlign w:val="bottom"/>
          </w:tcPr>
          <w:p>
            <w:pPr>
              <w:spacing w:after="0"/>
              <w:rPr>
                <w:sz w:val="1"/>
                <w:szCs w:val="1"/>
                <w:color w:val="auto"/>
              </w:rPr>
            </w:pPr>
          </w:p>
        </w:tc>
      </w:tr>
      <w:tr>
        <w:trPr>
          <w:trHeight w:val="34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5"/>
              </w:rPr>
              <w:t>the Conversion Rate in effect immediately after the open of business on such Ex-Dividend Date or Effective Date, as the case may be;</w:t>
            </w:r>
          </w:p>
        </w:tc>
        <w:tc>
          <w:tcPr>
            <w:tcW w:w="0" w:type="dxa"/>
            <w:vAlign w:val="bottom"/>
          </w:tcPr>
          <w:p>
            <w:pPr>
              <w:spacing w:after="0"/>
              <w:rPr>
                <w:sz w:val="1"/>
                <w:szCs w:val="1"/>
                <w:color w:val="auto"/>
              </w:rPr>
            </w:pP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 or Effective Date, as</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the case may be; and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20" w:type="dxa"/>
            <w:vAlign w:val="bottom"/>
            <w:gridSpan w:val="6"/>
          </w:tcPr>
          <w:p>
            <w:pPr>
              <w:ind w:left="60"/>
              <w:spacing w:after="0"/>
              <w:rPr>
                <w:sz w:val="20"/>
                <w:szCs w:val="20"/>
                <w:color w:val="auto"/>
              </w:rPr>
            </w:pPr>
            <w:r>
              <w:rPr>
                <w:rFonts w:ascii="Arial" w:cs="Arial" w:eastAsia="Arial" w:hAnsi="Arial"/>
                <w:sz w:val="18"/>
                <w:szCs w:val="18"/>
                <w:color w:val="auto"/>
                <w:w w:val="96"/>
              </w:rPr>
              <w:t>the number of shares of Common Stock outstanding immediately after giving effect to such dividend, distribution, share split, or share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combination, as the case may be.</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Any adjustment made under this Section 13.04(a)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13.04(a) is declared but not so paid or made, or any share split or combination of the type described in this Section 13.04(a) is announced but the outstanding shares of Common Stock are not split or combined, as the case may be, the Conversion Rate shall be immediately readjusted, effective as of the date the Company determines in good faith not to pay such dividend or distribution, or not to split or combine the outstanding shares of Common Stock, as the case may be, to the Conversion Rate that would then be in effect if such dividend or distribution had not been declared or such share split or combination had not been announced.</w:t>
      </w:r>
    </w:p>
    <w:p>
      <w:pPr>
        <w:spacing w:after="0" w:line="177" w:lineRule="exact"/>
        <w:rPr>
          <w:sz w:val="20"/>
          <w:szCs w:val="20"/>
          <w:color w:val="auto"/>
        </w:rPr>
      </w:pPr>
    </w:p>
    <w:p>
      <w:pPr>
        <w:ind w:firstLine="987"/>
        <w:spacing w:after="0" w:line="296" w:lineRule="auto"/>
        <w:tabs>
          <w:tab w:leader="none" w:pos="124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the Company issues to all or substantially all holders of the Common Stock any rights, options, or warrants (other than pursuant to a stockholder rights plan, so long as such rights have not separated from the shares of Common Stock) entitling them, for a period of not more than 45 calendar days after the declaration date for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declaration date for such issuance, the Conversion Rate shall be increased based on the following formula: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82" w:lineRule="exact"/>
        <w:rPr>
          <w:sz w:val="20"/>
          <w:szCs w:val="20"/>
          <w:color w:val="auto"/>
        </w:rPr>
      </w:pPr>
    </w:p>
    <w:p>
      <w:pPr>
        <w:jc w:val="right"/>
        <w:ind w:right="352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=CR</w:t>
      </w:r>
      <w:r>
        <w:rPr>
          <w:rFonts w:ascii="Arial" w:cs="Arial" w:eastAsia="Arial" w:hAnsi="Arial"/>
          <w:sz w:val="15"/>
          <w:szCs w:val="15"/>
          <w:color w:val="auto"/>
        </w:rPr>
        <w:t>0</w:t>
      </w:r>
      <w:r>
        <w:rPr>
          <w:rFonts w:ascii="Arial" w:cs="Arial" w:eastAsia="Arial" w:hAnsi="Arial"/>
          <w:sz w:val="18"/>
          <w:szCs w:val="18"/>
          <w:color w:val="auto"/>
        </w:rPr>
        <w:t xml:space="preserve"> ×  </w:t>
      </w:r>
      <w:r>
        <w:rPr>
          <w:rFonts w:ascii="Arial" w:cs="Arial" w:eastAsia="Arial" w:hAnsi="Arial"/>
          <w:sz w:val="35"/>
          <w:szCs w:val="35"/>
          <w:u w:val="single" w:color="auto"/>
          <w:color w:val="auto"/>
          <w:vertAlign w:val="superscript"/>
        </w:rPr>
        <w:t>OS</w:t>
      </w:r>
      <w:r>
        <w:rPr>
          <w:rFonts w:ascii="Arial" w:cs="Arial" w:eastAsia="Arial" w:hAnsi="Arial"/>
          <w:sz w:val="30"/>
          <w:szCs w:val="30"/>
          <w:u w:val="single" w:color="auto"/>
          <w:color w:val="auto"/>
          <w:vertAlign w:val="superscript"/>
        </w:rPr>
        <w:t>0</w:t>
      </w:r>
      <w:r>
        <w:rPr>
          <w:rFonts w:ascii="Arial" w:cs="Arial" w:eastAsia="Arial" w:hAnsi="Arial"/>
          <w:sz w:val="18"/>
          <w:szCs w:val="18"/>
          <w:color w:val="auto"/>
        </w:rPr>
        <w:t xml:space="preserve"> </w:t>
      </w:r>
      <w:r>
        <w:rPr>
          <w:rFonts w:ascii="Arial" w:cs="Arial" w:eastAsia="Arial" w:hAnsi="Arial"/>
          <w:sz w:val="35"/>
          <w:szCs w:val="35"/>
          <w:color w:val="auto"/>
          <w:vertAlign w:val="superscript"/>
        </w:rPr>
        <w:t>+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-26035</wp:posOffset>
            </wp:positionV>
            <wp:extent cx="203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jc w:val="right"/>
        <w:ind w:right="352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48" w:name="page149"/>
    <w:bookmarkEnd w:id="148"/>
    <w:tbl>
      <w:tblPr>
        <w:tblLayout w:type="fixed"/>
        <w:tblInd w:w="4"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8860" w:type="dxa"/>
            <w:vAlign w:val="bottom"/>
          </w:tcPr>
          <w:p>
            <w:pPr>
              <w:spacing w:after="0"/>
              <w:rPr>
                <w:sz w:val="20"/>
                <w:szCs w:val="20"/>
                <w:color w:val="auto"/>
              </w:rPr>
            </w:pPr>
          </w:p>
        </w:tc>
      </w:tr>
      <w:tr>
        <w:trPr>
          <w:trHeight w:val="357"/>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w w:val="95"/>
              </w:rPr>
              <w:t>the Conversion Rate in effect immediately prior to the open of business on the Ex-Dividend Date for such issuance;</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44" w:hanging="444"/>
        <w:spacing w:after="0"/>
        <w:tabs>
          <w:tab w:leader="none" w:pos="44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the total number of shares of Common Stock issuable pursuant to such rights, options, or warrants; and</w:t>
      </w:r>
    </w:p>
    <w:p>
      <w:pPr>
        <w:spacing w:after="0" w:line="117" w:lineRule="exact"/>
        <w:rPr>
          <w:sz w:val="20"/>
          <w:szCs w:val="20"/>
          <w:color w:val="auto"/>
        </w:rPr>
      </w:pPr>
    </w:p>
    <w:p>
      <w:pPr>
        <w:ind w:left="664" w:right="400" w:hanging="664"/>
        <w:spacing w:after="0" w:line="286" w:lineRule="auto"/>
        <w:tabs>
          <w:tab w:leader="none" w:pos="44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declaration date for the issuance of such rights, options, or warrants.</w:t>
      </w:r>
    </w:p>
    <w:p>
      <w:pPr>
        <w:spacing w:after="0" w:line="165"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Any increase made under this Section 13.04(b)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w:t>
      </w:r>
    </w:p>
    <w:p>
      <w:pPr>
        <w:spacing w:after="0" w:line="19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For purposes of this Section 13.04(b) and Section 13.01(b)(ii)(A),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declaration date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92" w:lineRule="exact"/>
        <w:rPr>
          <w:sz w:val="20"/>
          <w:szCs w:val="20"/>
          <w:color w:val="auto"/>
        </w:rPr>
      </w:pPr>
    </w:p>
    <w:p>
      <w:pPr>
        <w:ind w:left="4" w:right="20" w:firstLine="987"/>
        <w:spacing w:after="0" w:line="291" w:lineRule="auto"/>
        <w:tabs>
          <w:tab w:leader="none" w:pos="12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 excluding</w:t>
      </w:r>
    </w:p>
    <w:p>
      <w:pPr>
        <w:ind w:left="4" w:hanging="4"/>
        <w:spacing w:after="0" w:line="290" w:lineRule="auto"/>
        <w:tabs>
          <w:tab w:leader="none" w:pos="21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dividends, distributions or issuances as to which an adjustment was effected (or would have been effected, disregarding Section 13.04(j) below) pursuant to Section 13.04(a) or Section 13.04(b), (ii) dividends or distributions paid exclusively in cash as to which an adjustment was effected pursuant to Section 13.04(d), (iii) distributions of Reference Property in a transaction described in Section 13.07, (iv) rights issued pursuant to a stockholder rights plan of the Company (other than pursuant to Section 13.11) and (v) Spin-Offs as to which the provisions set forth below in this Section 13.04(c) shall apply (any of such shares of Capital Stock, evidences of indebtedness, other assets or property or rights, options, or warrants to acquire Capital Stock or other securities, the “</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60" w:type="dxa"/>
            <w:vAlign w:val="bottom"/>
            <w:vMerge w:val="restart"/>
          </w:tcPr>
          <w:p>
            <w:pPr>
              <w:ind w:left="4820"/>
              <w:spacing w:after="0"/>
              <w:rPr>
                <w:sz w:val="20"/>
                <w:szCs w:val="20"/>
                <w:color w:val="auto"/>
              </w:rPr>
            </w:pPr>
            <w:r>
              <w:rPr>
                <w:rFonts w:ascii="Arial" w:cs="Arial" w:eastAsia="Arial" w:hAnsi="Arial"/>
                <w:sz w:val="18"/>
                <w:szCs w:val="18"/>
                <w:color w:val="auto"/>
                <w:w w:val="90"/>
              </w:rPr>
              <w:t>CR</w:t>
            </w:r>
            <w:r>
              <w:rPr>
                <w:rFonts w:ascii="Arial" w:cs="Arial" w:eastAsia="Arial" w:hAnsi="Arial"/>
                <w:sz w:val="15"/>
                <w:szCs w:val="15"/>
                <w:color w:val="auto"/>
                <w:w w:val="90"/>
              </w:rPr>
              <w:t>1</w:t>
            </w:r>
            <w:r>
              <w:rPr>
                <w:rFonts w:ascii="Arial" w:cs="Arial" w:eastAsia="Arial" w:hAnsi="Arial"/>
                <w:sz w:val="18"/>
                <w:szCs w:val="18"/>
                <w:color w:val="auto"/>
                <w:w w:val="90"/>
              </w:rPr>
              <w:t>=CR</w:t>
            </w:r>
            <w:r>
              <w:rPr>
                <w:rFonts w:ascii="Arial" w:cs="Arial" w:eastAsia="Arial" w:hAnsi="Arial"/>
                <w:sz w:val="15"/>
                <w:szCs w:val="15"/>
                <w:color w:val="auto"/>
                <w:w w:val="90"/>
              </w:rPr>
              <w:t>0</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4"/>
              </w:rPr>
              <w:t>SP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360" w:type="dxa"/>
            <w:vAlign w:val="bottom"/>
            <w:tcBorders>
              <w:bottom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5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2740" w:type="dxa"/>
            <w:vAlign w:val="bottom"/>
            <w:gridSpan w:val="4"/>
            <w:vMerge w:val="restart"/>
          </w:tcPr>
          <w:p>
            <w:pPr>
              <w:ind w:left="8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FMV</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3"/>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0" w:type="dxa"/>
            <w:vAlign w:val="bottom"/>
            <w:gridSpan w:val="6"/>
          </w:tcPr>
          <w:p>
            <w:pPr>
              <w:ind w:left="60"/>
              <w:spacing w:after="0"/>
              <w:rPr>
                <w:sz w:val="20"/>
                <w:szCs w:val="20"/>
                <w:color w:val="auto"/>
              </w:rPr>
            </w:pPr>
            <w:r>
              <w:rPr>
                <w:rFonts w:ascii="Arial" w:cs="Arial" w:eastAsia="Arial" w:hAnsi="Arial"/>
                <w:sz w:val="18"/>
                <w:szCs w:val="18"/>
                <w:color w:val="auto"/>
                <w:w w:val="91"/>
              </w:rPr>
              <w:t>the Conversion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0" w:type="dxa"/>
            <w:vAlign w:val="bottom"/>
            <w:gridSpan w:val="6"/>
          </w:tcPr>
          <w:p>
            <w:pPr>
              <w:ind w:left="60"/>
              <w:spacing w:after="0"/>
              <w:rPr>
                <w:sz w:val="20"/>
                <w:szCs w:val="20"/>
                <w:color w:val="auto"/>
              </w:rPr>
            </w:pPr>
            <w:r>
              <w:rPr>
                <w:rFonts w:ascii="Arial" w:cs="Arial" w:eastAsia="Arial" w:hAnsi="Arial"/>
                <w:sz w:val="18"/>
                <w:szCs w:val="18"/>
                <w:color w:val="auto"/>
                <w:w w:val="92"/>
              </w:rPr>
              <w:t>the Conversion Rate in effect immediately after the open of business on such Ex-Dividend Date for such distribution;</w:t>
            </w: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tcPr>
          <w:p>
            <w:pPr>
              <w:ind w:left="482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4" w:right="49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2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Stock over the 10 consecutive Trading Day period ending on, and including, the Trading Day immediately preceding the Ex-Dividend Date for such distribution;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-387985</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80" w:space="500"/>
            <w:col w:w="10180"/>
          </w:cols>
          <w:pgMar w:left="440" w:top="274" w:right="499" w:bottom="1440" w:gutter="0" w:footer="0" w:header="0"/>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34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fair market value (as determined by the Company in good faith) of the Distributed Property with respect to one share of the Common Stock as of the open of business on the Ex-Dividend Date for such distribution.</w:t>
      </w:r>
    </w:p>
    <w:p>
      <w:pPr>
        <w:spacing w:after="0" w:line="170" w:lineRule="exact"/>
        <w:rPr>
          <w:sz w:val="20"/>
          <w:szCs w:val="20"/>
          <w:color w:val="auto"/>
        </w:rPr>
      </w:pPr>
    </w:p>
    <w:p>
      <w:pPr>
        <w:sectPr>
          <w:pgSz w:w="11900" w:h="16838" w:orient="portrait"/>
          <w:cols w:equalWidth="0" w:num="2">
            <w:col w:w="380" w:space="400"/>
            <w:col w:w="10180"/>
          </w:cols>
          <w:pgMar w:left="440" w:top="274" w:right="499" w:bottom="1440" w:gutter="0" w:footer="0" w:header="0"/>
          <w:type w:val="continuous"/>
        </w:sectPr>
      </w:pPr>
    </w:p>
    <w:p>
      <w:pPr>
        <w:ind w:firstLine="440"/>
        <w:spacing w:after="0" w:line="288" w:lineRule="auto"/>
        <w:rPr>
          <w:sz w:val="20"/>
          <w:szCs w:val="20"/>
          <w:color w:val="auto"/>
        </w:rPr>
      </w:pPr>
      <w:r>
        <w:rPr>
          <w:rFonts w:ascii="Arial" w:cs="Arial" w:eastAsia="Arial" w:hAnsi="Arial"/>
          <w:sz w:val="16"/>
          <w:szCs w:val="16"/>
          <w:color w:val="auto"/>
        </w:rPr>
        <w:t>Any increase made under the portion of this Section 13.04(c)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(as defined above), then, in lieu of the foregoing increase, each Holder of a Note shall receive (without having to convert its Notes), in respect of each $1,000 principal amount of Notes it holds,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If the Board of Directors determines the “FMV” (as defined above) of any distribution for purposes of this Section 13.04(c)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16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With respect to an adjustment pursuant to this Section 13.04(c) where there has been an Ex-Dividend Date for a dividend or other distribution on the Common Stock of shares of Capital Stock of any class or series, or similar equity interest, of or relating to any Subsidiary or other business units or Affiliate or division of the Company,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5740" w:type="dxa"/>
            <w:vAlign w:val="bottom"/>
            <w:vMerge w:val="restart"/>
          </w:tcPr>
          <w:p>
            <w:pPr>
              <w:ind w:left="472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4500" w:type="dxa"/>
            <w:vAlign w:val="bottom"/>
            <w:gridSpan w:val="7"/>
          </w:tcPr>
          <w:p>
            <w:pPr>
              <w:jc w:val="center"/>
              <w:ind w:right="3360"/>
              <w:spacing w:after="0"/>
              <w:rPr>
                <w:sz w:val="20"/>
                <w:szCs w:val="20"/>
                <w:color w:val="auto"/>
              </w:rPr>
            </w:pPr>
            <w:r>
              <w:rPr>
                <w:rFonts w:ascii="Arial" w:cs="Arial" w:eastAsia="Arial" w:hAnsi="Arial"/>
                <w:sz w:val="18"/>
                <w:szCs w:val="18"/>
                <w:color w:val="auto"/>
                <w:w w:val="95"/>
              </w:rPr>
              <w:t>FMV</w:t>
            </w:r>
            <w:r>
              <w:rPr>
                <w:rFonts w:ascii="Arial" w:cs="Arial" w:eastAsia="Arial" w:hAnsi="Arial"/>
                <w:sz w:val="15"/>
                <w:szCs w:val="15"/>
                <w:color w:val="auto"/>
                <w:w w:val="95"/>
              </w:rPr>
              <w:t>0</w:t>
            </w:r>
            <w:r>
              <w:rPr>
                <w:rFonts w:ascii="Arial" w:cs="Arial" w:eastAsia="Arial" w:hAnsi="Arial"/>
                <w:sz w:val="18"/>
                <w:szCs w:val="18"/>
                <w:color w:val="auto"/>
                <w:w w:val="95"/>
              </w:rPr>
              <w:t xml:space="preserve"> + MP</w:t>
            </w:r>
            <w:r>
              <w:rPr>
                <w:rFonts w:ascii="Arial" w:cs="Arial" w:eastAsia="Arial" w:hAnsi="Arial"/>
                <w:sz w:val="15"/>
                <w:szCs w:val="15"/>
                <w:color w:val="auto"/>
                <w:w w:val="95"/>
              </w:rPr>
              <w:t>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40" w:type="dxa"/>
            <w:vAlign w:val="bottom"/>
            <w:vMerge w:val="continue"/>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58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57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140" w:type="dxa"/>
            <w:vAlign w:val="bottom"/>
            <w:gridSpan w:val="6"/>
            <w:vMerge w:val="restart"/>
          </w:tcPr>
          <w:p>
            <w:pPr>
              <w:jc w:val="center"/>
              <w:ind w:right="3720"/>
              <w:spacing w:after="0"/>
              <w:rPr>
                <w:sz w:val="20"/>
                <w:szCs w:val="20"/>
                <w:color w:val="auto"/>
              </w:rPr>
            </w:pPr>
            <w:r>
              <w:rPr>
                <w:rFonts w:ascii="Arial" w:cs="Arial" w:eastAsia="Arial" w:hAnsi="Arial"/>
                <w:sz w:val="18"/>
                <w:szCs w:val="18"/>
                <w:color w:val="auto"/>
                <w:w w:val="96"/>
              </w:rPr>
              <w:t>MP</w:t>
            </w:r>
            <w:r>
              <w:rPr>
                <w:rFonts w:ascii="Arial" w:cs="Arial" w:eastAsia="Arial" w:hAnsi="Arial"/>
                <w:sz w:val="15"/>
                <w:szCs w:val="15"/>
                <w:color w:val="auto"/>
                <w:w w:val="96"/>
              </w:rPr>
              <w:t>0</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5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80" w:type="dxa"/>
            <w:vAlign w:val="bottom"/>
            <w:vMerge w:val="continue"/>
          </w:tcPr>
          <w:p>
            <w:pPr>
              <w:spacing w:after="0"/>
              <w:rPr>
                <w:sz w:val="17"/>
                <w:szCs w:val="17"/>
                <w:color w:val="auto"/>
              </w:rPr>
            </w:pPr>
          </w:p>
        </w:tc>
        <w:tc>
          <w:tcPr>
            <w:tcW w:w="5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240" w:type="dxa"/>
            <w:vAlign w:val="bottom"/>
            <w:gridSpan w:val="8"/>
          </w:tcPr>
          <w:p>
            <w:pPr>
              <w:ind w:left="100"/>
              <w:spacing w:after="0"/>
              <w:rPr>
                <w:sz w:val="20"/>
                <w:szCs w:val="20"/>
                <w:color w:val="auto"/>
              </w:rPr>
            </w:pPr>
            <w:r>
              <w:rPr>
                <w:rFonts w:ascii="Arial" w:cs="Arial" w:eastAsia="Arial" w:hAnsi="Arial"/>
                <w:sz w:val="18"/>
                <w:szCs w:val="18"/>
                <w:color w:val="auto"/>
              </w:rPr>
              <w:t>= the Conversion Rate in effect immediately prior to the end of the Valuation Period;</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6100" w:type="dxa"/>
            <w:vAlign w:val="bottom"/>
            <w:gridSpan w:val="2"/>
          </w:tcPr>
          <w:p>
            <w:pPr>
              <w:ind w:left="100"/>
              <w:spacing w:after="0"/>
              <w:rPr>
                <w:sz w:val="20"/>
                <w:szCs w:val="20"/>
                <w:color w:val="auto"/>
              </w:rPr>
            </w:pPr>
            <w:r>
              <w:rPr>
                <w:rFonts w:ascii="Arial" w:cs="Arial" w:eastAsia="Arial" w:hAnsi="Arial"/>
                <w:sz w:val="18"/>
                <w:szCs w:val="18"/>
                <w:color w:val="auto"/>
                <w:w w:val="92"/>
              </w:rPr>
              <w:t>= the Conversion Rate in effect immediately after the end of the Valuation Period;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10240" w:type="dxa"/>
            <w:vAlign w:val="bottom"/>
            <w:gridSpan w:val="8"/>
          </w:tcPr>
          <w:p>
            <w:pPr>
              <w:ind w:left="100"/>
              <w:spacing w:after="0"/>
              <w:rPr>
                <w:sz w:val="20"/>
                <w:szCs w:val="20"/>
                <w:color w:val="auto"/>
              </w:rPr>
            </w:pPr>
            <w:r>
              <w:rPr>
                <w:rFonts w:ascii="Arial" w:cs="Arial" w:eastAsia="Arial" w:hAnsi="Arial"/>
                <w:sz w:val="18"/>
                <w:szCs w:val="18"/>
                <w:color w:val="auto"/>
                <w:w w:val="93"/>
              </w:rPr>
              <w:t>= the average of the Last Reported Sale Prices of the Capital Stock or similar equity interest distributed to holders of the Common Stock</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240" w:type="dxa"/>
            <w:vAlign w:val="bottom"/>
            <w:gridSpan w:val="8"/>
          </w:tcPr>
          <w:p>
            <w:pPr>
              <w:ind w:left="300"/>
              <w:spacing w:after="0"/>
              <w:rPr>
                <w:sz w:val="20"/>
                <w:szCs w:val="20"/>
                <w:color w:val="auto"/>
              </w:rPr>
            </w:pPr>
            <w:r>
              <w:rPr>
                <w:rFonts w:ascii="Arial" w:cs="Arial" w:eastAsia="Arial" w:hAnsi="Arial"/>
                <w:sz w:val="18"/>
                <w:szCs w:val="18"/>
                <w:color w:val="auto"/>
                <w:w w:val="95"/>
              </w:rPr>
              <w:t>applicable to one share of the Common Stock (determined by reference to the definition of Last Reported Sale Price as set forth in</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0240" w:type="dxa"/>
            <w:vAlign w:val="bottom"/>
            <w:gridSpan w:val="8"/>
          </w:tcPr>
          <w:p>
            <w:pPr>
              <w:ind w:left="300"/>
              <w:spacing w:after="0"/>
              <w:rPr>
                <w:sz w:val="20"/>
                <w:szCs w:val="20"/>
                <w:color w:val="auto"/>
              </w:rPr>
            </w:pPr>
            <w:r>
              <w:rPr>
                <w:rFonts w:ascii="Arial" w:cs="Arial" w:eastAsia="Arial" w:hAnsi="Arial"/>
                <w:sz w:val="18"/>
                <w:szCs w:val="18"/>
                <w:color w:val="auto"/>
                <w:w w:val="91"/>
              </w:rPr>
              <w:t>Section 1.01 as if references therein to Common Stock were to such Capital Stock or similar equity interest) over the first 10 consecutive</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240" w:type="dxa"/>
            <w:vAlign w:val="bottom"/>
            <w:gridSpan w:val="8"/>
          </w:tcPr>
          <w:p>
            <w:pPr>
              <w:ind w:left="300"/>
              <w:spacing w:after="0"/>
              <w:rPr>
                <w:sz w:val="20"/>
                <w:szCs w:val="20"/>
                <w:color w:val="auto"/>
              </w:rPr>
            </w:pPr>
            <w:r>
              <w:rPr>
                <w:rFonts w:ascii="Arial" w:cs="Arial" w:eastAsia="Arial" w:hAnsi="Arial"/>
                <w:sz w:val="18"/>
                <w:szCs w:val="18"/>
                <w:color w:val="auto"/>
                <w:w w:val="92"/>
              </w:rPr>
              <w:t>Trading Day period after, and including, the Ex-Dividend Date of the Spin-Off (the “</w:t>
            </w:r>
            <w:r>
              <w:rPr>
                <w:rFonts w:ascii="Arial" w:cs="Arial" w:eastAsia="Arial" w:hAnsi="Arial"/>
                <w:sz w:val="18"/>
                <w:szCs w:val="18"/>
                <w:b w:val="1"/>
                <w:bCs w:val="1"/>
                <w:color w:val="auto"/>
                <w:w w:val="92"/>
              </w:rPr>
              <w:t>Valuation Period</w:t>
            </w:r>
            <w:r>
              <w:rPr>
                <w:rFonts w:ascii="Arial" w:cs="Arial" w:eastAsia="Arial" w:hAnsi="Arial"/>
                <w:sz w:val="18"/>
                <w:szCs w:val="18"/>
                <w:color w:val="auto"/>
                <w:w w:val="92"/>
              </w:rPr>
              <w:t>”); provided that if there is no Last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240" w:type="dxa"/>
            <w:vAlign w:val="bottom"/>
            <w:gridSpan w:val="8"/>
          </w:tcPr>
          <w:p>
            <w:pPr>
              <w:ind w:left="300"/>
              <w:spacing w:after="0"/>
              <w:rPr>
                <w:sz w:val="20"/>
                <w:szCs w:val="20"/>
                <w:color w:val="auto"/>
              </w:rPr>
            </w:pPr>
            <w:r>
              <w:rPr>
                <w:rFonts w:ascii="Arial" w:cs="Arial" w:eastAsia="Arial" w:hAnsi="Arial"/>
                <w:sz w:val="18"/>
                <w:szCs w:val="18"/>
                <w:color w:val="auto"/>
                <w:w w:val="91"/>
              </w:rPr>
              <w:t>Reported Sale Price of the Capital Stock or similar equity interest distributed to Holders of Common Stock on such Ex-Dividend date, the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240" w:type="dxa"/>
            <w:vAlign w:val="bottom"/>
            <w:gridSpan w:val="8"/>
          </w:tcPr>
          <w:p>
            <w:pPr>
              <w:ind w:left="300"/>
              <w:spacing w:after="0"/>
              <w:rPr>
                <w:sz w:val="20"/>
                <w:szCs w:val="20"/>
                <w:color w:val="auto"/>
              </w:rPr>
            </w:pPr>
            <w:r>
              <w:rPr>
                <w:rFonts w:ascii="Arial" w:cs="Arial" w:eastAsia="Arial" w:hAnsi="Arial"/>
                <w:sz w:val="18"/>
                <w:szCs w:val="18"/>
                <w:color w:val="auto"/>
                <w:w w:val="91"/>
              </w:rPr>
              <w:t>Valuation Period shall be the first 10 consecutive Trading Day period after, and including, the first date such Last Reported Sale Price is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740" w:type="dxa"/>
            <w:vAlign w:val="bottom"/>
          </w:tcPr>
          <w:p>
            <w:pPr>
              <w:ind w:left="300"/>
              <w:spacing w:after="0"/>
              <w:rPr>
                <w:sz w:val="20"/>
                <w:szCs w:val="20"/>
                <w:color w:val="auto"/>
              </w:rPr>
            </w:pPr>
            <w:r>
              <w:rPr>
                <w:rFonts w:ascii="Arial" w:cs="Arial" w:eastAsia="Arial" w:hAnsi="Arial"/>
                <w:sz w:val="18"/>
                <w:szCs w:val="18"/>
                <w:color w:val="auto"/>
              </w:rPr>
              <w:t>available; and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10240" w:type="dxa"/>
            <w:vAlign w:val="bottom"/>
            <w:gridSpan w:val="8"/>
          </w:tcPr>
          <w:p>
            <w:pPr>
              <w:ind w:left="100"/>
              <w:spacing w:after="0"/>
              <w:rPr>
                <w:sz w:val="20"/>
                <w:szCs w:val="20"/>
                <w:color w:val="auto"/>
              </w:rPr>
            </w:pPr>
            <w:r>
              <w:rPr>
                <w:rFonts w:ascii="Arial" w:cs="Arial" w:eastAsia="Arial" w:hAnsi="Arial"/>
                <w:sz w:val="18"/>
                <w:szCs w:val="18"/>
                <w:color w:val="auto"/>
              </w:rPr>
              <w:t>= the average of the Last Reported Sale Prices of the Common Stock over the Valuation Period.</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The increase in the Conversion Rate under the preceding paragraph shall occur on the last Trading Day of the Valuation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conversion of Notes during the Valuation Period, references in the portion of this Section 13.04(c) related to Spin-Offs with respect to 10 Trading Days shall be deemed to be replaced with such lesser number of Trading Days as have elapsed between the first date of such Valuation Period and the Conversion Date in determining the Conversion Rate. If the first date of the Valuation Period is after the 10th Trading Day immediately preceding, and including, the end of any Observation Period in respect of a conversion of Notes, references in this Section 13.04(c) related to Spin-Offs to 10 Trading Days will be deemed to be replaced, solely in respect of that conversion of Notes, with such lesser number of Trading Days as have elapsed from, and including, the first date for the Valuation Period to, and including, the last Trading Day of such Observation Period. If such Spin-Off does not occur, the Conversion Rate shall be decreased to the Conversion Rate that would then be in effect if such first date for such Valuation Period had not occurred, effective as of the date on which the Board of Directors determines not to consummate such Spin-Off.</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type w:val="continuous"/>
        </w:sectPr>
      </w:pPr>
    </w:p>
    <w:bookmarkStart w:id="150" w:name="page151"/>
    <w:bookmarkEnd w:id="150"/>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Section 13.04(c) (and subject in all respect to Section 13.11),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Common Stock; (ii) are not exercisable; and (iii) are also issued in respect of future issuances of the Common Stock, shall be deemed not to have been distributed for purposes of this Section 13.04(c) (and no adjustment to the Conversion Rate under this Section 13.04(c) will be required) until the occurrence of the earliest Trigger Event, whereupon such rights, options, or warrants shall be deemed to have been distributed and an appropriate adjustment (if any is required) to the Conversion Rate shall be made under this Section 13.04(c). If any such rights, options, or warrants,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13.04(c)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(or deemed to have expired or been terminated pursuant to the immediately preceding sentence) without exercise by any holders thereof, the Conversion Rate shall be readjusted as if such rights, options and warrants had not been issued (to the extent any adjustment to the Conversion Rate was made in connection with such issuance).</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For purposes of Section 13.04(a), Section 13.04(b) and this Section 13.04(c), and subject to Section 13.05, if any dividend or distribution to which this Section 13.04(c) is applicable also includes one or both of:</w:t>
      </w:r>
    </w:p>
    <w:p>
      <w:pPr>
        <w:spacing w:after="0" w:line="5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 a dividend or distribution of shares of Common Stock to which Section 13.04(a) is applicable (the “</w:t>
      </w:r>
      <w:r>
        <w:rPr>
          <w:rFonts w:ascii="Arial" w:cs="Arial" w:eastAsia="Arial" w:hAnsi="Arial"/>
          <w:sz w:val="18"/>
          <w:szCs w:val="18"/>
          <w:b w:val="1"/>
          <w:bCs w:val="1"/>
          <w:color w:val="auto"/>
        </w:rPr>
        <w:t>Clause A</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or</w:t>
      </w:r>
    </w:p>
    <w:p>
      <w:pPr>
        <w:spacing w:after="0" w:line="9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 a dividend or distribution of rights, options, or warrants to which Section 13.04(b) is applicable (the “</w:t>
      </w:r>
      <w:r>
        <w:rPr>
          <w:rFonts w:ascii="Arial" w:cs="Arial" w:eastAsia="Arial" w:hAnsi="Arial"/>
          <w:sz w:val="18"/>
          <w:szCs w:val="18"/>
          <w:b w:val="1"/>
          <w:bCs w:val="1"/>
          <w:color w:val="auto"/>
        </w:rPr>
        <w:t>Clause B</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103" w:lineRule="exact"/>
        <w:rPr>
          <w:sz w:val="20"/>
          <w:szCs w:val="20"/>
          <w:color w:val="auto"/>
        </w:rPr>
      </w:pPr>
    </w:p>
    <w:p>
      <w:pPr>
        <w:ind w:left="440" w:right="20"/>
        <w:spacing w:after="0" w:line="270" w:lineRule="auto"/>
        <w:rPr>
          <w:sz w:val="20"/>
          <w:szCs w:val="20"/>
          <w:color w:val="auto"/>
        </w:rPr>
      </w:pPr>
      <w:r>
        <w:rPr>
          <w:rFonts w:ascii="Arial" w:cs="Arial" w:eastAsia="Arial" w:hAnsi="Arial"/>
          <w:sz w:val="17"/>
          <w:szCs w:val="17"/>
          <w:color w:val="auto"/>
        </w:rPr>
        <w:t>then, in either case, (1) such dividend or distribution, other than the Clause A Distribution and the Clause B Distribution, shall be deemed to be a dividend or distribution to which this Section 13.04(c) is applicable (the “</w:t>
      </w:r>
      <w:r>
        <w:rPr>
          <w:rFonts w:ascii="Arial" w:cs="Arial" w:eastAsia="Arial" w:hAnsi="Arial"/>
          <w:sz w:val="17"/>
          <w:szCs w:val="17"/>
          <w:b w:val="1"/>
          <w:bCs w:val="1"/>
          <w:color w:val="auto"/>
        </w:rPr>
        <w:t>Clause C Distribution</w:t>
      </w:r>
      <w:r>
        <w:rPr>
          <w:rFonts w:ascii="Arial" w:cs="Arial" w:eastAsia="Arial" w:hAnsi="Arial"/>
          <w:sz w:val="17"/>
          <w:szCs w:val="17"/>
          <w:color w:val="auto"/>
        </w:rPr>
        <w:t>”) and any Conversion Rate adjustment required by this Section 13.04(c) with respect to such Clause C Distribution shall then be made, and (2) the Clause A Distribution and Clause B Distribution shall be deemed to immediately follow the Clause C Distribution and any Conversion Rate adjustment required by Section 13.04(a) and Section 13.04(b)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13.04(a) or “outstanding immediately prior to the open of business on such Ex-Dividend Date” within the meaning of Section 13.04(b).</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151" w:name="page152"/>
    <w:bookmarkEnd w:id="151"/>
    <w:p>
      <w:pPr>
        <w:ind w:left="4" w:right="440" w:firstLine="987"/>
        <w:spacing w:after="0" w:line="277" w:lineRule="auto"/>
        <w:tabs>
          <w:tab w:leader="none" w:pos="1250"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cash dividend or distribution is made to all or substantially all holders of the Common Stock, the Conversion Rate shall be adjusted based on the following formula:</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60" w:type="dxa"/>
            <w:vAlign w:val="bottom"/>
            <w:vMerge w:val="restart"/>
          </w:tcPr>
          <w:p>
            <w:pPr>
              <w:ind w:left="524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4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3"/>
              </w:rPr>
              <w:t>SP</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0</w:t>
            </w:r>
          </w:p>
        </w:tc>
        <w:tc>
          <w:tcPr>
            <w:tcW w:w="180" w:type="dxa"/>
            <w:vAlign w:val="bottom"/>
            <w:tcBorders>
              <w:bottom w:val="single" w:sz="8" w:color="auto"/>
            </w:tcBorders>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3300" w:type="dxa"/>
            <w:vAlign w:val="bottom"/>
            <w:gridSpan w:val="2"/>
            <w:vMerge w:val="restart"/>
          </w:tcPr>
          <w:p>
            <w:pPr>
              <w:ind w:lef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line="20" w:lineRule="exact"/>
              <w:rPr>
                <w:sz w:val="1"/>
                <w:szCs w:val="1"/>
                <w:color w:val="auto"/>
              </w:rPr>
            </w:pPr>
          </w:p>
        </w:tc>
      </w:tr>
      <w:tr>
        <w:trPr>
          <w:trHeight w:val="215"/>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where,</w:t>
            </w:r>
          </w:p>
        </w:tc>
        <w:tc>
          <w:tcPr>
            <w:tcW w:w="6260" w:type="dxa"/>
            <w:vAlign w:val="bottom"/>
            <w:vMerge w:val="continue"/>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2"/>
              </w:rPr>
              <w:t>SP</w:t>
            </w:r>
            <w:r>
              <w:rPr>
                <w:rFonts w:ascii="Arial" w:cs="Arial" w:eastAsia="Arial" w:hAnsi="Arial"/>
                <w:sz w:val="15"/>
                <w:szCs w:val="15"/>
                <w:color w:val="auto"/>
                <w:w w:val="92"/>
              </w:rPr>
              <w:t>0</w:t>
            </w:r>
            <w:r>
              <w:rPr>
                <w:rFonts w:ascii="Arial" w:cs="Arial" w:eastAsia="Arial" w:hAnsi="Arial"/>
                <w:sz w:val="18"/>
                <w:szCs w:val="18"/>
                <w:color w:val="auto"/>
                <w:w w:val="92"/>
              </w:rPr>
              <w:t xml:space="preserve"> -</w:t>
            </w:r>
          </w:p>
        </w:tc>
        <w:tc>
          <w:tcPr>
            <w:tcW w:w="3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gridSpan w:val="2"/>
            <w:vMerge w:val="continue"/>
          </w:tcPr>
          <w:p>
            <w:pPr>
              <w:spacing w:after="0"/>
              <w:rPr>
                <w:sz w:val="17"/>
                <w:szCs w:val="17"/>
                <w:color w:val="auto"/>
              </w:rPr>
            </w:pPr>
          </w:p>
        </w:tc>
        <w:tc>
          <w:tcPr>
            <w:tcW w:w="6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0" w:type="dxa"/>
            <w:vAlign w:val="bottom"/>
            <w:gridSpan w:val="6"/>
          </w:tcPr>
          <w:p>
            <w:pPr>
              <w:ind w:left="60"/>
              <w:spacing w:after="0"/>
              <w:rPr>
                <w:sz w:val="20"/>
                <w:szCs w:val="20"/>
                <w:color w:val="auto"/>
              </w:rPr>
            </w:pPr>
            <w:r>
              <w:rPr>
                <w:rFonts w:ascii="Arial" w:cs="Arial" w:eastAsia="Arial" w:hAnsi="Arial"/>
                <w:sz w:val="18"/>
                <w:szCs w:val="18"/>
                <w:color w:val="auto"/>
                <w:w w:val="96"/>
              </w:rPr>
              <w:t>the Conversion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0" w:type="dxa"/>
            <w:vAlign w:val="bottom"/>
            <w:gridSpan w:val="6"/>
          </w:tcPr>
          <w:p>
            <w:pPr>
              <w:ind w:left="60"/>
              <w:spacing w:after="0"/>
              <w:rPr>
                <w:sz w:val="20"/>
                <w:szCs w:val="20"/>
                <w:color w:val="auto"/>
              </w:rPr>
            </w:pPr>
            <w:r>
              <w:rPr>
                <w:rFonts w:ascii="Arial" w:cs="Arial" w:eastAsia="Arial" w:hAnsi="Arial"/>
                <w:sz w:val="18"/>
                <w:szCs w:val="18"/>
                <w:color w:val="auto"/>
                <w:w w:val="98"/>
              </w:rPr>
              <w:t>the Conversion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0" w:type="dxa"/>
            <w:vAlign w:val="bottom"/>
            <w:gridSpan w:val="6"/>
          </w:tcPr>
          <w:p>
            <w:pPr>
              <w:ind w:left="60"/>
              <w:spacing w:after="0"/>
              <w:rPr>
                <w:sz w:val="20"/>
                <w:szCs w:val="20"/>
                <w:color w:val="auto"/>
              </w:rPr>
            </w:pPr>
            <w:r>
              <w:rPr>
                <w:rFonts w:ascii="Arial" w:cs="Arial" w:eastAsia="Arial" w:hAnsi="Arial"/>
                <w:sz w:val="18"/>
                <w:szCs w:val="18"/>
                <w:color w:val="auto"/>
                <w:w w:val="91"/>
              </w:rPr>
              <w:t>the Last Reported Sale Price of the Common Stock on the Trading Day immediately preceding the Ex-Dividend Date for such dividend 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tcPr>
          <w:p>
            <w:pPr>
              <w:ind w:left="60"/>
              <w:spacing w:after="0"/>
              <w:rPr>
                <w:sz w:val="20"/>
                <w:szCs w:val="20"/>
                <w:color w:val="auto"/>
              </w:rPr>
            </w:pPr>
            <w:r>
              <w:rPr>
                <w:rFonts w:ascii="Arial" w:cs="Arial" w:eastAsia="Arial" w:hAnsi="Arial"/>
                <w:sz w:val="18"/>
                <w:szCs w:val="18"/>
                <w:color w:val="auto"/>
              </w:rPr>
              <w:t>distribution; and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4" w:hanging="444"/>
        <w:spacing w:after="0"/>
        <w:tabs>
          <w:tab w:leader="none" w:pos="44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the amount in cash per share the Company pays or distributes to all or substantially all holders of the Common Stock.</w:t>
      </w:r>
    </w:p>
    <w:p>
      <w:pPr>
        <w:spacing w:after="0" w:line="225" w:lineRule="exact"/>
        <w:rPr>
          <w:sz w:val="20"/>
          <w:szCs w:val="20"/>
          <w:color w:val="auto"/>
        </w:rPr>
      </w:pPr>
    </w:p>
    <w:p>
      <w:pPr>
        <w:ind w:left="4" w:right="220" w:firstLine="440"/>
        <w:spacing w:after="0" w:line="271" w:lineRule="auto"/>
        <w:rPr>
          <w:sz w:val="20"/>
          <w:szCs w:val="20"/>
          <w:color w:val="auto"/>
        </w:rPr>
      </w:pPr>
      <w:r>
        <w:rPr>
          <w:rFonts w:ascii="Arial" w:cs="Arial" w:eastAsia="Arial" w:hAnsi="Arial"/>
          <w:sz w:val="17"/>
          <w:szCs w:val="17"/>
          <w:color w:val="auto"/>
        </w:rPr>
        <w:t>Any increase pursuant to this Section 13.04(d) shall become effective immediately after the open of business on the Ex-Dividend Date for such dividend or distribution. If such dividend or distribution is not so paid or made, the Conversion Rate shall be decreased, effective as of the date the Company determines in good faith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then, in lieu of the foregoing increase, each Holder of a Note shall receive (without having to convert its Notes), for each $1,000 principal amount of Notes it holds, at the same time and upon the same terms as holders of shares of the Common Stock, the amount of cash that such Holder would have received if such Holder owned a number of shares of Common Stock equal to the Conversion Rate in effect on the Ex-Dividend Date for such cash dividend or distribution.</w:t>
      </w:r>
    </w:p>
    <w:p>
      <w:pPr>
        <w:spacing w:after="0" w:line="178" w:lineRule="exact"/>
        <w:rPr>
          <w:sz w:val="20"/>
          <w:szCs w:val="20"/>
          <w:color w:val="auto"/>
        </w:rPr>
      </w:pPr>
    </w:p>
    <w:p>
      <w:pPr>
        <w:ind w:left="4" w:firstLine="987"/>
        <w:spacing w:after="0" w:line="296" w:lineRule="auto"/>
        <w:tabs>
          <w:tab w:leader="none" w:pos="12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Company or any of its Subsidiaries makes a payment in respect of a tender or exchange offer for the Common Stock that is subject to then applicable tender offer rules under the Exchange Act (other than any odd 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151"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40" w:type="dxa"/>
            <w:vAlign w:val="bottom"/>
            <w:vMerge w:val="restart"/>
          </w:tcPr>
          <w:p>
            <w:pPr>
              <w:ind w:left="404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89"/>
              </w:rPr>
              <w:t>AC + (SP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x OS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74"/>
              </w:rPr>
              <w:t>)</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where,</w:t>
            </w:r>
          </w:p>
        </w:tc>
        <w:tc>
          <w:tcPr>
            <w:tcW w:w="51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560" w:type="dxa"/>
            <w:vAlign w:val="bottom"/>
            <w:gridSpan w:val="6"/>
            <w:vMerge w:val="restart"/>
          </w:tcPr>
          <w:p>
            <w:pPr>
              <w:ind w:left="2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x SP</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35"/>
        </w:trPr>
        <w:tc>
          <w:tcPr>
            <w:tcW w:w="600" w:type="dxa"/>
            <w:vAlign w:val="bottom"/>
            <w:gridSpan w:val="2"/>
            <w:vMerge w:val="continue"/>
          </w:tcPr>
          <w:p>
            <w:pPr>
              <w:spacing w:after="0"/>
              <w:rPr>
                <w:sz w:val="11"/>
                <w:szCs w:val="11"/>
                <w:color w:val="auto"/>
              </w:rPr>
            </w:pPr>
          </w:p>
        </w:tc>
        <w:tc>
          <w:tcPr>
            <w:tcW w:w="5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5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00" w:type="dxa"/>
            <w:vAlign w:val="bottom"/>
            <w:gridSpan w:val="2"/>
            <w:vMerge w:val="continue"/>
          </w:tcPr>
          <w:p>
            <w:pPr>
              <w:spacing w:after="0"/>
              <w:rPr>
                <w:sz w:val="17"/>
                <w:szCs w:val="17"/>
                <w:color w:val="auto"/>
              </w:rPr>
            </w:pPr>
          </w:p>
        </w:tc>
        <w:tc>
          <w:tcPr>
            <w:tcW w:w="5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140" w:type="dxa"/>
            <w:vAlign w:val="bottom"/>
            <w:gridSpan w:val="8"/>
          </w:tcPr>
          <w:p>
            <w:pPr>
              <w:ind w:left="60"/>
              <w:spacing w:after="0"/>
              <w:rPr>
                <w:sz w:val="20"/>
                <w:szCs w:val="20"/>
                <w:color w:val="auto"/>
              </w:rPr>
            </w:pPr>
            <w:r>
              <w:rPr>
                <w:rFonts w:ascii="Arial" w:cs="Arial" w:eastAsia="Arial" w:hAnsi="Arial"/>
                <w:sz w:val="18"/>
                <w:szCs w:val="18"/>
                <w:color w:val="auto"/>
                <w:w w:val="92"/>
              </w:rPr>
              <w:t>the Conversion Rate in effect immediately prior to the close of business on the 10th Trading Day immediately following, and including,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89"/>
              </w:rPr>
              <w:t>Trading Day next succeeding the date such tender or exchange offer expires;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140" w:type="dxa"/>
            <w:vAlign w:val="bottom"/>
            <w:gridSpan w:val="8"/>
          </w:tcPr>
          <w:p>
            <w:pPr>
              <w:ind w:left="60"/>
              <w:spacing w:after="0"/>
              <w:rPr>
                <w:sz w:val="20"/>
                <w:szCs w:val="20"/>
                <w:color w:val="auto"/>
              </w:rPr>
            </w:pPr>
            <w:r>
              <w:rPr>
                <w:rFonts w:ascii="Arial" w:cs="Arial" w:eastAsia="Arial" w:hAnsi="Arial"/>
                <w:sz w:val="18"/>
                <w:szCs w:val="18"/>
                <w:color w:val="auto"/>
                <w:w w:val="93"/>
              </w:rPr>
              <w:t>the Conversion Rate in effect immediately after the close of business on the 10th Trading Day immediately following, and including, the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w w:val="89"/>
              </w:rPr>
              <w:t>Trading Day next succeeding the date such tender or exchange offer expires;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AC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140" w:type="dxa"/>
            <w:vAlign w:val="bottom"/>
            <w:gridSpan w:val="8"/>
          </w:tcPr>
          <w:p>
            <w:pPr>
              <w:ind w:left="60"/>
              <w:spacing w:after="0"/>
              <w:rPr>
                <w:sz w:val="20"/>
                <w:szCs w:val="20"/>
                <w:color w:val="auto"/>
              </w:rPr>
            </w:pPr>
            <w:r>
              <w:rPr>
                <w:rFonts w:ascii="Arial" w:cs="Arial" w:eastAsia="Arial" w:hAnsi="Arial"/>
                <w:sz w:val="18"/>
                <w:szCs w:val="18"/>
                <w:color w:val="auto"/>
                <w:w w:val="89"/>
              </w:rPr>
              <w:t>the aggregate value of all cash and any other consideration (as determined by the Board of Directors) paid or payable for shares of Common</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40" w:type="dxa"/>
            <w:vAlign w:val="bottom"/>
          </w:tcPr>
          <w:p>
            <w:pPr>
              <w:ind w:left="60"/>
              <w:spacing w:after="0"/>
              <w:rPr>
                <w:sz w:val="20"/>
                <w:szCs w:val="20"/>
                <w:color w:val="auto"/>
              </w:rPr>
            </w:pPr>
            <w:r>
              <w:rPr>
                <w:rFonts w:ascii="Arial" w:cs="Arial" w:eastAsia="Arial" w:hAnsi="Arial"/>
                <w:sz w:val="18"/>
                <w:szCs w:val="18"/>
                <w:color w:val="auto"/>
              </w:rPr>
              <w:t>Stock purchased in such tender or exchange offer;</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4" w:right="499" w:bottom="1440" w:gutter="0" w:footer="0" w:header="0"/>
        </w:sectPr>
      </w:pPr>
    </w:p>
    <w:bookmarkStart w:id="152" w:name="page153"/>
    <w:bookmarkEnd w:id="152"/>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12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-403225</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300" w:space="360"/>
            <w:col w:w="10340"/>
          </w:cols>
          <w:pgMar w:left="440" w:top="274" w:right="459" w:bottom="1440" w:gutter="0" w:footer="0" w:header="0"/>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8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38" w:lineRule="exact"/>
        <w:rPr>
          <w:sz w:val="20"/>
          <w:szCs w:val="20"/>
          <w:color w:val="auto"/>
        </w:rPr>
      </w:pPr>
    </w:p>
    <w:p>
      <w:pPr>
        <w:sectPr>
          <w:pgSz w:w="11900" w:h="16838" w:orient="portrait"/>
          <w:cols w:equalWidth="0" w:num="2">
            <w:col w:w="300" w:space="360"/>
            <w:col w:w="1034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Stock over the 10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280" w:space="380"/>
            <w:col w:w="10340"/>
          </w:cols>
          <w:pgMar w:left="440" w:top="274" w:right="459" w:bottom="1440" w:gutter="0" w:footer="0" w:header="0"/>
          <w:type w:val="continuous"/>
        </w:sectPr>
      </w:pPr>
    </w:p>
    <w:p>
      <w:pPr>
        <w:ind w:right="40" w:firstLine="440"/>
        <w:spacing w:after="0" w:line="268" w:lineRule="auto"/>
        <w:rPr>
          <w:sz w:val="20"/>
          <w:szCs w:val="20"/>
          <w:color w:val="auto"/>
        </w:rPr>
      </w:pPr>
      <w:r>
        <w:rPr>
          <w:rFonts w:ascii="Arial" w:cs="Arial" w:eastAsia="Arial" w:hAnsi="Arial"/>
          <w:sz w:val="17"/>
          <w:szCs w:val="17"/>
          <w:color w:val="auto"/>
        </w:rPr>
        <w:t xml:space="preserve">The adjustment to the Conversion Rate under this Section 13.04(e) shall occur at the close of business on the 10th Trading Day immediately following, and including, the Trading Day next succeeding the date such tender or exchange offer expires;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conversion of Notes within the 10 Trading Days immediately following, and including, the Trading Day next succeeding the date such tender or exchange offer expires, references in this Section 13.04(e) with respect to 10 Trading Days shall be deemed replaced with such lesser number of Trading Days as have elapsed between the date that such tender or exchange offer expires and the Conversion Date in determining the Conversion Rate. In addition, if the Trading Day next succeeding the date such tender or exchange offer expires is after the 10th Trading Day immediately preceding, and including, the end of any Observation Period in respect of a conversion of Notes, references in this Section 13.04(e) to 10 Trading Days shall be deemed to be replaced, solely in respect of that conversion of Notes, with such lesser number of Trading Days as have elapsed from, and including, the Trading Day next succeeding the date such tender or exchange offer expires to, and including, the last Trading Day of such Observation Period. If the Company or one of its Subsidiaries is obligated to purchase Common Stock pursuant to any such tender offer or exchange offer, but the Company or such Subsidiary is permanently prevented by applicable law from effecting any such purchases or all such purchases are rescinded, the Conversion Rate shall again be adjusted to be the Conversion Rate that would then be in effect if such tender offer or exchange offer had not been made or had been made only in respect of the purchases that have been effected.</w:t>
      </w:r>
    </w:p>
    <w:p>
      <w:pPr>
        <w:spacing w:after="0" w:line="186" w:lineRule="exact"/>
        <w:rPr>
          <w:sz w:val="20"/>
          <w:szCs w:val="20"/>
          <w:color w:val="auto"/>
        </w:rPr>
      </w:pPr>
    </w:p>
    <w:p>
      <w:pPr>
        <w:ind w:right="100" w:firstLine="987"/>
        <w:spacing w:after="0" w:line="254" w:lineRule="auto"/>
        <w:tabs>
          <w:tab w:leader="none" w:pos="121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this Section 13.04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13.02(i) based on an adjusted Conversion Rate for such Ex-Dividend Date, then, notwithstanding the Conversion Rate adjustment provisions in this Section 13.04,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94"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83" w:lineRule="exact"/>
        <w:rPr>
          <w:rFonts w:ascii="Arial" w:cs="Arial" w:eastAsia="Arial" w:hAnsi="Arial"/>
          <w:sz w:val="18"/>
          <w:szCs w:val="18"/>
          <w:color w:val="auto"/>
        </w:rPr>
      </w:pPr>
    </w:p>
    <w:p>
      <w:pPr>
        <w:ind w:right="40" w:firstLine="987"/>
        <w:spacing w:after="0" w:line="288" w:lineRule="auto"/>
        <w:tabs>
          <w:tab w:leader="none" w:pos="124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addition to those adjustments required by clauses (a), (b), (c), (d) and (e) of this Section 13.04, and to the extent permitted by applicable law and subject to the applicable rules of the Nasdaq Global Select Market and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the Nasdaq Global Select Market and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give to the Holder of each Note, the Trustee and the Conversion Agent (if other than the Trustee) in accordance with Section 16.03 a notice in writing of the increase at least 15 days prior to the date the increased Conversion Rate takes effect, and such notice shall state the increased Conversion Rate and the period during which it will be in effect.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type w:val="continuous"/>
        </w:sectPr>
      </w:pPr>
    </w:p>
    <w:bookmarkStart w:id="153" w:name="page154"/>
    <w:bookmarkEnd w:id="153"/>
    <w:p>
      <w:pPr>
        <w:ind w:left="13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Notwithstanding anything to the contrary in this Article XIII, the Conversion Rate shall not be adjusted:</w:t>
      </w:r>
    </w:p>
    <w:p>
      <w:pPr>
        <w:spacing w:after="0" w:line="117" w:lineRule="exact"/>
        <w:rPr>
          <w:sz w:val="20"/>
          <w:szCs w:val="20"/>
          <w:color w:val="auto"/>
        </w:rPr>
      </w:pPr>
    </w:p>
    <w:p>
      <w:pPr>
        <w:ind w:left="444" w:right="260" w:firstLine="948"/>
        <w:spacing w:after="0" w:line="263" w:lineRule="auto"/>
        <w:tabs>
          <w:tab w:leader="none" w:pos="161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75" w:lineRule="exact"/>
        <w:rPr>
          <w:rFonts w:ascii="Arial" w:cs="Arial" w:eastAsia="Arial" w:hAnsi="Arial"/>
          <w:sz w:val="18"/>
          <w:szCs w:val="18"/>
          <w:color w:val="auto"/>
        </w:rPr>
      </w:pPr>
    </w:p>
    <w:p>
      <w:pPr>
        <w:ind w:left="444" w:right="120" w:firstLine="948"/>
        <w:spacing w:after="0" w:line="308" w:lineRule="auto"/>
        <w:tabs>
          <w:tab w:leader="none" w:pos="1661" w:val="left"/>
        </w:tabs>
        <w:numPr>
          <w:ilvl w:val="2"/>
          <w:numId w:val="147"/>
        </w:numPr>
        <w:rPr>
          <w:rFonts w:ascii="Arial" w:cs="Arial" w:eastAsia="Arial" w:hAnsi="Arial"/>
          <w:sz w:val="17"/>
          <w:szCs w:val="17"/>
          <w:color w:val="auto"/>
        </w:rPr>
      </w:pPr>
      <w:r>
        <w:rPr>
          <w:rFonts w:ascii="Arial" w:cs="Arial" w:eastAsia="Arial" w:hAnsi="Arial"/>
          <w:sz w:val="17"/>
          <w:szCs w:val="17"/>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38" w:lineRule="exact"/>
        <w:rPr>
          <w:rFonts w:ascii="Arial" w:cs="Arial" w:eastAsia="Arial" w:hAnsi="Arial"/>
          <w:sz w:val="17"/>
          <w:szCs w:val="17"/>
          <w:color w:val="auto"/>
        </w:rPr>
      </w:pPr>
    </w:p>
    <w:p>
      <w:pPr>
        <w:ind w:left="444" w:right="260" w:firstLine="948"/>
        <w:spacing w:after="0" w:line="342" w:lineRule="auto"/>
        <w:tabs>
          <w:tab w:leader="none" w:pos="1711" w:val="left"/>
        </w:tabs>
        <w:numPr>
          <w:ilvl w:val="2"/>
          <w:numId w:val="147"/>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15" w:lineRule="exact"/>
        <w:rPr>
          <w:rFonts w:ascii="Arial" w:cs="Arial" w:eastAsia="Arial" w:hAnsi="Arial"/>
          <w:sz w:val="16"/>
          <w:szCs w:val="16"/>
          <w:color w:val="auto"/>
        </w:rPr>
      </w:pPr>
    </w:p>
    <w:p>
      <w:pPr>
        <w:ind w:left="444" w:right="180" w:firstLine="948"/>
        <w:spacing w:after="0" w:line="263" w:lineRule="auto"/>
        <w:tabs>
          <w:tab w:leader="none" w:pos="170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upon the repurchase of shares of Common Stock pursuant to an open-market share repurchase program or other buy-back transaction that is not a tender offer or exchange offer of the nature described in Section 13.04(e), including through any structured or derivative transaction such as accelerated share repurchase derivative or similar forward derivative;</w:t>
      </w:r>
    </w:p>
    <w:p>
      <w:pPr>
        <w:spacing w:after="0" w:line="75" w:lineRule="exact"/>
        <w:rPr>
          <w:rFonts w:ascii="Arial" w:cs="Arial" w:eastAsia="Arial" w:hAnsi="Arial"/>
          <w:sz w:val="18"/>
          <w:szCs w:val="18"/>
          <w:color w:val="auto"/>
        </w:rPr>
      </w:pPr>
    </w:p>
    <w:p>
      <w:pPr>
        <w:ind w:left="1644" w:hanging="252"/>
        <w:spacing w:after="0"/>
        <w:tabs>
          <w:tab w:leader="none" w:pos="1644" w:val="left"/>
        </w:tabs>
        <w:numPr>
          <w:ilvl w:val="2"/>
          <w:numId w:val="147"/>
        </w:numPr>
        <w:rPr>
          <w:rFonts w:ascii="Arial" w:cs="Arial" w:eastAsia="Arial" w:hAnsi="Arial"/>
          <w:sz w:val="18"/>
          <w:szCs w:val="18"/>
          <w:color w:val="auto"/>
        </w:rPr>
      </w:pPr>
      <w:r>
        <w:rPr>
          <w:rFonts w:ascii="Arial" w:cs="Arial" w:eastAsia="Arial" w:hAnsi="Arial"/>
          <w:sz w:val="18"/>
          <w:szCs w:val="18"/>
          <w:color w:val="auto"/>
        </w:rPr>
        <w:t>solely for a change in the par value of the Common Stock;</w:t>
      </w:r>
    </w:p>
    <w:p>
      <w:pPr>
        <w:spacing w:after="0" w:line="117" w:lineRule="exact"/>
        <w:rPr>
          <w:rFonts w:ascii="Arial" w:cs="Arial" w:eastAsia="Arial" w:hAnsi="Arial"/>
          <w:sz w:val="18"/>
          <w:szCs w:val="18"/>
          <w:color w:val="auto"/>
        </w:rPr>
      </w:pPr>
    </w:p>
    <w:p>
      <w:pPr>
        <w:ind w:left="1704" w:hanging="312"/>
        <w:spacing w:after="0"/>
        <w:tabs>
          <w:tab w:leader="none" w:pos="1704" w:val="left"/>
        </w:tabs>
        <w:numPr>
          <w:ilvl w:val="2"/>
          <w:numId w:val="147"/>
        </w:numPr>
        <w:rPr>
          <w:rFonts w:ascii="Arial" w:cs="Arial" w:eastAsia="Arial" w:hAnsi="Arial"/>
          <w:sz w:val="18"/>
          <w:szCs w:val="18"/>
          <w:color w:val="auto"/>
        </w:rPr>
      </w:pPr>
      <w:r>
        <w:rPr>
          <w:rFonts w:ascii="Arial" w:cs="Arial" w:eastAsia="Arial" w:hAnsi="Arial"/>
          <w:sz w:val="18"/>
          <w:szCs w:val="18"/>
          <w:color w:val="auto"/>
        </w:rPr>
        <w:t>for accrued and unpaid Special Interest, if any;</w:t>
      </w:r>
    </w:p>
    <w:p>
      <w:pPr>
        <w:spacing w:after="0" w:line="117" w:lineRule="exact"/>
        <w:rPr>
          <w:rFonts w:ascii="Arial" w:cs="Arial" w:eastAsia="Arial" w:hAnsi="Arial"/>
          <w:sz w:val="18"/>
          <w:szCs w:val="18"/>
          <w:color w:val="auto"/>
        </w:rPr>
      </w:pPr>
    </w:p>
    <w:p>
      <w:pPr>
        <w:ind w:left="444" w:right="660" w:firstLine="948"/>
        <w:spacing w:after="0" w:line="277" w:lineRule="auto"/>
        <w:tabs>
          <w:tab w:leader="none" w:pos="175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for a third-party tender offer by any party other than a tender offer by the Company or one or more of its subsidiaries as described in Section 13.04(e) above; or</w:t>
      </w:r>
    </w:p>
    <w:p>
      <w:pPr>
        <w:spacing w:after="0" w:line="62" w:lineRule="exact"/>
        <w:rPr>
          <w:rFonts w:ascii="Arial" w:cs="Arial" w:eastAsia="Arial" w:hAnsi="Arial"/>
          <w:sz w:val="18"/>
          <w:szCs w:val="18"/>
          <w:color w:val="auto"/>
        </w:rPr>
      </w:pPr>
    </w:p>
    <w:p>
      <w:pPr>
        <w:ind w:left="444" w:right="100" w:firstLine="948"/>
        <w:spacing w:after="0" w:line="277" w:lineRule="auto"/>
        <w:tabs>
          <w:tab w:leader="none" w:pos="180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upon the issuance of shares of Common Stock (other than any issuances to which Sections 13.04(a), (b) or (c) apply) at a price below the Conversion Price of the Notes.</w:t>
      </w:r>
    </w:p>
    <w:p>
      <w:pPr>
        <w:spacing w:after="0" w:line="170" w:lineRule="exact"/>
        <w:rPr>
          <w:rFonts w:ascii="Arial" w:cs="Arial" w:eastAsia="Arial" w:hAnsi="Arial"/>
          <w:sz w:val="18"/>
          <w:szCs w:val="18"/>
          <w:color w:val="auto"/>
        </w:rPr>
      </w:pPr>
    </w:p>
    <w:p>
      <w:pPr>
        <w:ind w:left="4" w:right="80" w:firstLine="987"/>
        <w:spacing w:after="0" w:line="301" w:lineRule="auto"/>
        <w:tabs>
          <w:tab w:leader="none" w:pos="121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the Company shall not be required to make an adjustment pursuant to clauses (a), (b), (c), (d) or (e) of this Section 13.04 unless such adjustment would result in a change of at least 1% of the Conversion Rate. However, the Company shall carry forward any adjustments that are less than 1% of the Conversion Rate and make such carried forward adjustments with respect to the Notes, except that all such adjustments must be given effect immediately upon the occurrence of any of the following:</w:t>
      </w:r>
    </w:p>
    <w:p>
      <w:pPr>
        <w:spacing w:after="0" w:line="157" w:lineRule="exact"/>
        <w:rPr>
          <w:rFonts w:ascii="Arial" w:cs="Arial" w:eastAsia="Arial" w:hAnsi="Arial"/>
          <w:sz w:val="16"/>
          <w:szCs w:val="16"/>
          <w:color w:val="auto"/>
        </w:rPr>
      </w:pPr>
    </w:p>
    <w:p>
      <w:pPr>
        <w:ind w:left="4" w:hanging="4"/>
        <w:spacing w:after="0" w:line="257" w:lineRule="auto"/>
        <w:tabs>
          <w:tab w:leader="none" w:pos="25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when the cumulative net effect of all adjustments not yet made will result in a change of at least 1% to the Conversion Rate and (2) regardless of whether the adjustment (or such cumulative net effect) is less than 1% of the Conversion Rate (i) (x) on the Conversion Date for any Notes and (y) on each Trading Day of any Observation Period; (ii) on the effective date of any Fundamental Change or Make-Whole Fundamental Change or Redemption Notice Date and (iii) December 1, 2027. All calculations and other determinations under this Article XIII shall be made by the Company and shall be made to the nearest one-ten thousandth (1/10,000) of a share.</w:t>
      </w:r>
    </w:p>
    <w:p>
      <w:pPr>
        <w:spacing w:after="0" w:line="187" w:lineRule="exact"/>
        <w:rPr>
          <w:rFonts w:ascii="Arial" w:cs="Arial" w:eastAsia="Arial" w:hAnsi="Arial"/>
          <w:sz w:val="18"/>
          <w:szCs w:val="18"/>
          <w:color w:val="auto"/>
        </w:rPr>
      </w:pPr>
    </w:p>
    <w:p>
      <w:pPr>
        <w:ind w:left="4" w:right="20" w:firstLine="987"/>
        <w:spacing w:after="0" w:line="254" w:lineRule="auto"/>
        <w:tabs>
          <w:tab w:leader="none" w:pos="124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give such notice of such adjustment of the Conversion Rate to each Holder in accordance with Section 16.03. Failure to deliver such notice shall not affect the legality or validity of any such adjustment.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154" w:name="page155"/>
    <w:bookmarkEnd w:id="154"/>
    <w:p>
      <w:pPr>
        <w:jc w:val="both"/>
        <w:ind w:left="4" w:firstLine="987"/>
        <w:spacing w:after="0" w:line="259" w:lineRule="auto"/>
        <w:tabs>
          <w:tab w:leader="none" w:pos="121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this Section 13.04,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8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Adjustments of Prices</w:t>
      </w:r>
      <w:r>
        <w:rPr>
          <w:rFonts w:ascii="Arial" w:cs="Arial" w:eastAsia="Arial" w:hAnsi="Arial"/>
          <w:sz w:val="17"/>
          <w:szCs w:val="17"/>
          <w:color w:val="auto"/>
        </w:rPr>
        <w:t>. Whenever any provision of this Indenture requires the Company to calculate the Last Reported Sale Prices, the Trading Prices, the Daily VWAPs, the Daily Conversion Values, the Daily Settlement Amounts or the Daily Net Settlement Amounts over a span of multiple days (including an Observation Period and, if applicable, the period for determining the Stock Price for purposes of a Redemption Notice or a Make-Whole Fundamental Change), the Company shall make appropriate adjustments in its good faith judgment to each such calculation to account for any adjustment to the Conversion Rate that becomes effective, or any event requiring an adjustment to the Conversion Rate as provided in Section 13.04 where the Ex-Dividend Date, Effective Date or expiration date of the event occurs, at any time during the period when the Last Reported Sale Prices, the Trading Prices, the Daily VWAPs, the Daily Conversion Values, the Daily Settlement Amounts or the Daily Net Settlement Amounts are to be calculated. For the avoidance of doubt, adjustments made pursuant to this Section 13.05 will be made without duplication of any adjustment made pursuant to Section 13.04.</w:t>
      </w:r>
    </w:p>
    <w:p>
      <w:pPr>
        <w:spacing w:after="0" w:line="181"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Shares to Be Fully Paid</w:t>
      </w:r>
      <w:r>
        <w:rPr>
          <w:rFonts w:ascii="Arial" w:cs="Arial" w:eastAsia="Arial" w:hAnsi="Arial"/>
          <w:sz w:val="18"/>
          <w:szCs w:val="18"/>
          <w:color w:val="auto"/>
        </w:rPr>
        <w:t>. The Company shall provide, free from preemptive rights, out of its authorized but unissued shares or shares held in treasury, sufficient shares of Common Stock to provide for conversion of the Notes from time to time as such Notes are presented for conversion (assuming that at the time of computation of such number of shares, all such Notes would be converted by a single Holder and assuming delivery of the maximum number of Additional Shares pursuant to Section 13.03).</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Effect of Recapitalizations, Reclassifications, and Changes of the Common Stock</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117" w:lineRule="exact"/>
        <w:rPr>
          <w:rFonts w:ascii="Arial" w:cs="Arial" w:eastAsia="Arial" w:hAnsi="Arial"/>
          <w:sz w:val="18"/>
          <w:szCs w:val="18"/>
          <w:color w:val="auto"/>
        </w:rPr>
      </w:pPr>
    </w:p>
    <w:p>
      <w:pPr>
        <w:ind w:left="444" w:right="220" w:firstLine="948"/>
        <w:spacing w:after="0" w:line="277" w:lineRule="auto"/>
        <w:tabs>
          <w:tab w:leader="none" w:pos="161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Common Stock (other than a change to par value, or from par value to no par value, or changes resulting from a subdivision or combination),</w:t>
      </w:r>
    </w:p>
    <w:p>
      <w:pPr>
        <w:spacing w:after="0" w:line="62" w:lineRule="exact"/>
        <w:rPr>
          <w:rFonts w:ascii="Arial" w:cs="Arial" w:eastAsia="Arial" w:hAnsi="Arial"/>
          <w:sz w:val="18"/>
          <w:szCs w:val="18"/>
          <w:color w:val="auto"/>
        </w:rPr>
      </w:pPr>
    </w:p>
    <w:p>
      <w:pPr>
        <w:ind w:left="1664" w:hanging="272"/>
        <w:spacing w:after="0"/>
        <w:tabs>
          <w:tab w:leader="none" w:pos="166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the Company,</w:t>
      </w:r>
    </w:p>
    <w:p>
      <w:pPr>
        <w:spacing w:after="0" w:line="117" w:lineRule="exact"/>
        <w:rPr>
          <w:rFonts w:ascii="Arial" w:cs="Arial" w:eastAsia="Arial" w:hAnsi="Arial"/>
          <w:sz w:val="18"/>
          <w:szCs w:val="18"/>
          <w:color w:val="auto"/>
        </w:rPr>
      </w:pPr>
    </w:p>
    <w:p>
      <w:pPr>
        <w:ind w:left="444" w:right="460" w:firstLine="948"/>
        <w:spacing w:after="0" w:line="277" w:lineRule="auto"/>
        <w:tabs>
          <w:tab w:leader="none" w:pos="171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sale, lease, or other transfer to a third party of all or substantially all of the consolidated assets of the Company and the Company’s Subsidiaries, taken as a whole, or</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ind w:left="4" w:right="40"/>
        <w:spacing w:after="0" w:line="283" w:lineRule="auto"/>
        <w:rPr>
          <w:sz w:val="20"/>
          <w:szCs w:val="20"/>
          <w:color w:val="auto"/>
        </w:rPr>
      </w:pPr>
      <w:r>
        <w:rPr>
          <w:rFonts w:ascii="Arial" w:cs="Arial" w:eastAsia="Arial" w:hAnsi="Arial"/>
          <w:sz w:val="16"/>
          <w:szCs w:val="16"/>
          <w:color w:val="auto"/>
        </w:rPr>
        <w:t>in each case, as a result of which holders of the Common Stock would be entitled to receive or their Common Stock would be converted into, or exchanged for, shares, stock, other securities, or other property or assets (including cash or any combination thereof) (any such event, a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 Change Event</w:t>
      </w:r>
      <w:r>
        <w:rPr>
          <w:rFonts w:ascii="Arial" w:cs="Arial" w:eastAsia="Arial" w:hAnsi="Arial"/>
          <w:sz w:val="16"/>
          <w:szCs w:val="16"/>
          <w:color w:val="auto"/>
        </w:rPr>
        <w:t>”), then, at and after the effective time of such Common Stock Change Event, the right to convert each $1,000 principal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Notes shall be changed into a right to convert such principal amount of Notes into the kind and amount of shares, stock, other securities, or other property or assets (including cash or any combination thereof) that a holder of a number of shares of Common Stock equal to the Conversion Rate immediately prior to such Common Stock Change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w:t>
      </w:r>
      <w:r>
        <w:rPr>
          <w:rFonts w:ascii="Arial" w:cs="Arial" w:eastAsia="Arial" w:hAnsi="Arial"/>
          <w:sz w:val="16"/>
          <w:szCs w:val="16"/>
          <w:color w:val="auto"/>
        </w:rPr>
        <w:t xml:space="preserve"> </w:t>
      </w:r>
      <w:r>
        <w:rPr>
          <w:rFonts w:ascii="Arial" w:cs="Arial" w:eastAsia="Arial" w:hAnsi="Arial"/>
          <w:sz w:val="16"/>
          <w:szCs w:val="16"/>
          <w:b w:val="1"/>
          <w:bCs w:val="1"/>
          <w:color w:val="auto"/>
        </w:rPr>
        <w:t>Reference Property</w:t>
      </w:r>
      <w:r>
        <w:rPr>
          <w:rFonts w:ascii="Arial" w:cs="Arial" w:eastAsia="Arial" w:hAnsi="Arial"/>
          <w:sz w:val="16"/>
          <w:szCs w:val="16"/>
          <w:color w:val="auto"/>
        </w:rPr>
        <w:t>” meaning the kind and amount of Reference Property that a holder of one share of Common Stock is entitled to receive) upon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Change Event and, prior to or at the effective time of such Common Stock Change Event, the Company or the successor or acquiring Person, as the case may be, shall execute with the Trustee a supplemental indenture permitted under Section 10.01(f) providing for such change in the right to convert each $1,000 principal amount of Notes;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and after the effective time of the Common Stock Change Event</w:t>
      </w:r>
    </w:p>
    <w:p>
      <w:pPr>
        <w:spacing w:after="0" w:line="5" w:lineRule="exact"/>
        <w:rPr>
          <w:sz w:val="20"/>
          <w:szCs w:val="20"/>
          <w:color w:val="auto"/>
        </w:rPr>
      </w:pPr>
    </w:p>
    <w:p>
      <w:pPr>
        <w:ind w:left="4" w:right="140" w:hanging="4"/>
        <w:spacing w:after="0" w:line="255" w:lineRule="auto"/>
        <w:tabs>
          <w:tab w:leader="none" w:pos="29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or the successor or acquiring Person, as the case may be, shall continue to have the right to determine the form of consideration to be paid or delivered, as the case may be, upon conversion of Notes in accordance with Section 13.02 and (B) (I) any amount payable in cash upon conversion of the Notes in accordance with Section 13.02 shall continue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155" w:name="page156"/>
    <w:bookmarkEnd w:id="155"/>
    <w:p>
      <w:pPr>
        <w:ind w:left="4" w:right="3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payable in cash, (II) any shares of Common Stock that the Company would have been required to deliver upon conversion of the Notes in accordance with Section 13.02 shall instead be deliverable in the amount and type of Reference Property that a holder of that number of shares of Common Stock would have received in such Common Stock Change Event, (III) the Daily VWAP shall be calculated based on the value of a unit of Reference Property and (IV) the conditions to conversion described in Section 13.01(b)(ii) and Section 13.01(b)(iv) will be determined as if each reference to a share of Common Stock were instead a reference to a Reference Property unit.</w:t>
      </w:r>
    </w:p>
    <w:p>
      <w:pPr>
        <w:spacing w:after="0" w:line="176"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If the Common Stock 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w:t>
      </w:r>
    </w:p>
    <w:p>
      <w:pPr>
        <w:spacing w:after="0" w:line="1" w:lineRule="exact"/>
        <w:rPr>
          <w:sz w:val="20"/>
          <w:szCs w:val="20"/>
          <w:color w:val="auto"/>
        </w:rPr>
      </w:pPr>
    </w:p>
    <w:p>
      <w:pPr>
        <w:ind w:left="4" w:hanging="4"/>
        <w:spacing w:after="0" w:line="269" w:lineRule="auto"/>
        <w:tabs>
          <w:tab w:leader="none" w:pos="21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attributable to one share of Common Stock. If the holders of Common Stock receive only cash in such Common Stock Change Event, then for all conversions for which the relevant Conversion Date occurs after the effective date of such Common Stock Change Event (A) the consideration due upon conversion of each $1,000 principal amount of Notes shall be solely cash in an amount equal to the Conversion Rate in effect on the Conversion Date (as may be increased by any Additional Shares pursuant to Section 13.03), multiplied by the price paid per share of Common Stock in such Common Stock Change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80"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Such supplemental indenture described in the second immediately preceding paragraph shall provide for anti-dilution and other adjustments that shall be as nearly equivalent as is possible to the adjustments provided for in this Article XIII. If, in the case of any Common Stock Change Event, the Reference Property includes shares of stock, securities, or other property or assets (including cash or any combination thereof) of a Person other than the successor or purchasing corporation, as the case may be, in such Common Stock Change Event, then such supplemental indenture shall also be executed by such other Person and shall contain such additional provisions to protect the interests of the Holders of the Notes as the Company in good faith shall reasonably consider necessary by reason of the foregoing.</w:t>
      </w:r>
    </w:p>
    <w:p>
      <w:pPr>
        <w:spacing w:after="0" w:line="178" w:lineRule="exact"/>
        <w:rPr>
          <w:sz w:val="20"/>
          <w:szCs w:val="20"/>
          <w:color w:val="auto"/>
        </w:rPr>
      </w:pPr>
    </w:p>
    <w:p>
      <w:pPr>
        <w:ind w:left="4" w:right="220" w:firstLine="987"/>
        <w:spacing w:after="0" w:line="293" w:lineRule="auto"/>
        <w:tabs>
          <w:tab w:leader="none" w:pos="125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When the Company executes a supplemental indenture pursuant to subsection (a) of this Section 13.07, the Company shall promptly file with the Trustee an Officer’s Certificate briefly stating the reasons therefor, the kind or amount of cash, securities or property or asset that will comprise a unit of Reference Property after any such Common Stock 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as provided for in this Indenture, within 20 days after execution thereof. Failure to deliver such notice shall not affect the legality or validity of such supplemental indenture.</w:t>
      </w:r>
    </w:p>
    <w:p>
      <w:pPr>
        <w:spacing w:after="0" w:line="164" w:lineRule="exact"/>
        <w:rPr>
          <w:rFonts w:ascii="Arial" w:cs="Arial" w:eastAsia="Arial" w:hAnsi="Arial"/>
          <w:sz w:val="16"/>
          <w:szCs w:val="16"/>
          <w:color w:val="auto"/>
        </w:rPr>
      </w:pPr>
    </w:p>
    <w:p>
      <w:pPr>
        <w:ind w:left="4" w:right="80" w:firstLine="987"/>
        <w:spacing w:after="0" w:line="263" w:lineRule="auto"/>
        <w:tabs>
          <w:tab w:leader="none" w:pos="12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None of the foregoing provisions shall affect the right of a Holder of Notes to convert its Notes into cash, shares of Common Stock, or a combination of cash and shares of Common Stock, as applicable, as set forth in Section 13.01 and Section 13.02 prior to the effective date of such Common Stock Change Event.</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above provisions of this Section shall similarly apply to successive Common Stock Change Events.</w:t>
      </w:r>
    </w:p>
    <w:p>
      <w:pPr>
        <w:spacing w:after="0" w:line="225" w:lineRule="exact"/>
        <w:rPr>
          <w:rFonts w:ascii="Arial" w:cs="Arial" w:eastAsia="Arial" w:hAnsi="Arial"/>
          <w:sz w:val="18"/>
          <w:szCs w:val="18"/>
          <w:color w:val="auto"/>
        </w:rPr>
      </w:pPr>
    </w:p>
    <w:p>
      <w:pPr>
        <w:ind w:left="4" w:right="660" w:firstLine="987"/>
        <w:spacing w:after="0" w:line="277" w:lineRule="auto"/>
        <w:tabs>
          <w:tab w:leader="none" w:pos="12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Upon the consummation of any Common Stock Change Event, references to “Common Stock” shall be deemed to refer to any Reference Property that constitutes capital stock after giving effect to such Common Stock Change Event.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7" w:lineRule="auto"/>
        <w:tabs>
          <w:tab w:leader="none" w:pos="12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covenants that all shares of Common Stock issued upon conversion of Notes will be fully paid and non-assessable by the Company and free from all taxes, liens and charges with respect to the issue thereof.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156" w:name="page157"/>
    <w:bookmarkEnd w:id="156"/>
    <w:p>
      <w:pPr>
        <w:ind w:right="40" w:firstLine="987"/>
        <w:spacing w:after="0" w:line="259" w:lineRule="auto"/>
        <w:tabs>
          <w:tab w:leader="none" w:pos="12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86" w:lineRule="exact"/>
        <w:rPr>
          <w:rFonts w:ascii="Arial" w:cs="Arial" w:eastAsia="Arial" w:hAnsi="Arial"/>
          <w:sz w:val="18"/>
          <w:szCs w:val="18"/>
          <w:color w:val="auto"/>
        </w:rPr>
      </w:pPr>
    </w:p>
    <w:p>
      <w:pPr>
        <w:ind w:right="40" w:firstLine="987"/>
        <w:spacing w:after="0" w:line="263" w:lineRule="auto"/>
        <w:tabs>
          <w:tab w:leader="none" w:pos="12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8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13.09 </w:t>
      </w:r>
      <w:r>
        <w:rPr>
          <w:rFonts w:ascii="Arial" w:cs="Arial" w:eastAsia="Arial" w:hAnsi="Arial"/>
          <w:sz w:val="16"/>
          <w:szCs w:val="16"/>
          <w:u w:val="single" w:color="auto"/>
          <w:color w:val="auto"/>
        </w:rPr>
        <w:t>Responsibility of Trustee</w:t>
      </w:r>
      <w:r>
        <w:rPr>
          <w:rFonts w:ascii="Arial" w:cs="Arial" w:eastAsia="Arial" w:hAnsi="Arial"/>
          <w:sz w:val="16"/>
          <w:szCs w:val="16"/>
          <w:color w:val="auto"/>
        </w:rPr>
        <w:t>.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13.07 relating either to the kind or amount of shares, stock or other securities, or property (including cash) receivable by Holders upon the conversion of their Notes after any event referred to in such Section 13.07 or to any adjustment to be made with respect thereto, but, subject to the provisions of Section 7.01, may accept (without any independent investigation) as conclusive evidence of the correctness of any such provisions, and shall be protected in conclusively relying upon, the Officer’s Certificate and Opinion of Counsel (which the Company shall be obligated to file with the Trustee prior to the execution of any such supplemental indenture) with respect thereto. Neither the Trustee nor the Conversion Agent shall be responsible for determining whether any event contemplated by Section 13.01(b) has occurred that makes the Notes eligible for conversion or no longer eligible therefor until the Company has delivered to the Trustee and the Conversion Agent the notices referred to in Section 13.01(b)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13.01(b).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Notice to Holders Prior to Certain Actions</w:t>
      </w:r>
      <w:r>
        <w:rPr>
          <w:rFonts w:ascii="Arial" w:cs="Arial" w:eastAsia="Arial" w:hAnsi="Arial"/>
          <w:sz w:val="18"/>
          <w:szCs w:val="18"/>
          <w:color w:val="auto"/>
        </w:rPr>
        <w:t>. In case of any:</w:t>
      </w:r>
    </w:p>
    <w:p>
      <w:pPr>
        <w:spacing w:after="0" w:line="225" w:lineRule="exact"/>
        <w:rPr>
          <w:sz w:val="20"/>
          <w:szCs w:val="20"/>
          <w:color w:val="auto"/>
        </w:rPr>
      </w:pPr>
    </w:p>
    <w:p>
      <w:pPr>
        <w:ind w:left="1240" w:hanging="253"/>
        <w:spacing w:after="0"/>
        <w:tabs>
          <w:tab w:leader="none" w:pos="12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action by the Company or one of its Subsidiaries that would require an adjustment in the Conversion Rate pursuant to Section 13.04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13.11;</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Common Stock Change Event;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voluntary or involuntary dissolution, liquidation or winding-up of the Company or any of its Subsidiaries;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provided in this Indenture, as promptly as possible but in any event at least 10 days prior to the applicable date hereinafter specified, a notice stating (i) the date on which a record is to be taken for the purpose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157" w:name="page158"/>
    <w:bookmarkEnd w:id="157"/>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such action by the Company or one of its Subsidiaries or, if a record is not to be taken, the date as of which the holders of Common Stock of record are to be determined for the purposes of such action by the Company or one of its Subsidiaries, or (ii) the date on which such Common Stock Change Event, dissolution, liquidation or winding-up is expected to become effective or occur, and the date as of which it is expected that holders of Common Stock of record shall be entitled to exchange their Common Stock for securities, or other property deliverable upon such Common Stock Change Event, dissolution, liquidation or winding-up. Failure to give such notice, or any defect therein, shall not affect the legality or validity of such action by the Company or one of its Subsidiaries, Common Stock Change Event, dissolution, liquidation or winding-up. For the avoidance of doubt, no failure to comply with this Section 13.10 shall be an Event of Default unless the 60-day period provided for in Section 6.01(f) has run and such Event of Default shall not have been cured prior to the expiration of such 60-day period.</w:t>
      </w:r>
    </w:p>
    <w:p>
      <w:pPr>
        <w:spacing w:after="0" w:line="178"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u w:val="single" w:color="auto"/>
          <w:color w:val="auto"/>
        </w:rPr>
        <w:t>Stockholder Rights Plans</w:t>
      </w:r>
      <w:r>
        <w:rPr>
          <w:rFonts w:ascii="Arial" w:cs="Arial" w:eastAsia="Arial" w:hAnsi="Arial"/>
          <w:sz w:val="16"/>
          <w:szCs w:val="16"/>
          <w:color w:val="auto"/>
        </w:rPr>
        <w:t>. To the extent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provided in Section 13.04(c), subject to readjustment in the event of the expiration, termination, or redemption of such rights.</w:t>
      </w:r>
    </w:p>
    <w:p>
      <w:pPr>
        <w:spacing w:after="0" w:line="16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Limit on Issuance of Shares of Common Stock Upon Conversion</w:t>
      </w:r>
      <w:r>
        <w:rPr>
          <w:rFonts w:ascii="Arial" w:cs="Arial" w:eastAsia="Arial" w:hAnsi="Arial"/>
          <w:sz w:val="18"/>
          <w:szCs w:val="18"/>
          <w:color w:val="auto"/>
        </w:rPr>
        <w:t>. Notwithstanding anything to the contrary in this Indenture, if an event occurs that would result in an increase in the Conversion Rate by an amount in excess of limitations imposed by the Nasdaq Global Select Market, the Company will, at its option, either obtain stockholder approval of any issuance of Common Stock upon conversion of the Notes in excess of such limitations or pay cash in lieu of delivering any shares of Common Stock otherwise deliverable upon conversions in excess of such limitations based on the Daily VWAP for each Trading Day of the relevant Observation Period in respect of which, in lieu of delivering shares of Common Stock, the Company pays cash pursuant to this Section 13.12.</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Exchange in Lieu of Conversion</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53" w:lineRule="auto"/>
        <w:tabs>
          <w:tab w:leader="none" w:pos="12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When a Holder surrenders its Notes for conversion, the Company may, at its election, direct the Conversion Agent to surrender, on or prior to the second Business Day following the relevant Conversion Date, such Notes to a financial institution designated by the Company (the “</w:t>
      </w:r>
      <w:r>
        <w:rPr>
          <w:rFonts w:ascii="Arial" w:cs="Arial" w:eastAsia="Arial" w:hAnsi="Arial"/>
          <w:sz w:val="18"/>
          <w:szCs w:val="18"/>
          <w:b w:val="1"/>
          <w:bCs w:val="1"/>
          <w:color w:val="auto"/>
        </w:rPr>
        <w:t>Designated Institution</w:t>
      </w:r>
      <w:r>
        <w:rPr>
          <w:rFonts w:ascii="Arial" w:cs="Arial" w:eastAsia="Arial" w:hAnsi="Arial"/>
          <w:sz w:val="18"/>
          <w:szCs w:val="18"/>
          <w:color w:val="auto"/>
        </w:rPr>
        <w:t>”) for exchange in lieu of conversion. In order to accept any Notes surrendered for conversion for exchange in lieu of conversion, the Designated Institution must agree to timely deliver, in exchange for such Notes, the cash or combination of cash and shares of Common Stock, at the Company’s election, that would otherwise be due upon conversion as described in Section 13.02 above and in respect of which the Company has notified converting Holders. If the Company makes the election described above, the Company shall, by the close of business on the second Business Day following the relevant Conversion Date, notify in writing the Holder surrendering Notes for conversion, the Trustee and the Conversion Agent (if other than the Trustee) that it has made such election. In addition, the Company shall concurrently notify the Designated Institution of the relevant deadline for delivery of the consideration due upon conversion. Any Notes exchanged by the Designated Institution will remain outstanding.</w:t>
      </w:r>
    </w:p>
    <w:p>
      <w:pPr>
        <w:spacing w:after="0" w:line="194" w:lineRule="exact"/>
        <w:rPr>
          <w:rFonts w:ascii="Arial" w:cs="Arial" w:eastAsia="Arial" w:hAnsi="Arial"/>
          <w:sz w:val="18"/>
          <w:szCs w:val="18"/>
          <w:color w:val="auto"/>
        </w:rPr>
      </w:pPr>
    </w:p>
    <w:p>
      <w:pPr>
        <w:ind w:firstLine="987"/>
        <w:spacing w:after="0" w:line="259" w:lineRule="auto"/>
        <w:tabs>
          <w:tab w:leader="none" w:pos="12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Designated Institution agrees to accept any Notes for exchange but does not timely deliver the related consideration due upon conversion to the Conversion Agent, or if the Designated Institution does not accept such Notes for exchange, the Company shall, within the time period specified in Section 13.02(c), convert such Notes into cash, shares of Common Stock or combination of cash and shares of Common Stock, at the Company’s election, in accordance with the provisions of Section 13.02.</w:t>
      </w:r>
    </w:p>
    <w:p>
      <w:pPr>
        <w:spacing w:after="0" w:line="186" w:lineRule="exact"/>
        <w:rPr>
          <w:rFonts w:ascii="Arial" w:cs="Arial" w:eastAsia="Arial" w:hAnsi="Arial"/>
          <w:sz w:val="18"/>
          <w:szCs w:val="18"/>
          <w:color w:val="auto"/>
        </w:rPr>
      </w:pPr>
    </w:p>
    <w:p>
      <w:pPr>
        <w:ind w:right="440" w:firstLine="987"/>
        <w:spacing w:after="0" w:line="277" w:lineRule="auto"/>
        <w:tabs>
          <w:tab w:leader="none" w:pos="12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the avoidance of doubt, in no event will the Company’s designation of a Designated Institution pursuant to this Section 13.13 require the Designated Institution to accept any Notes for exchange.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158" w:name="page159"/>
    <w:bookmarkEnd w:id="15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REPURCHASE OF NOTES AT OPTION OF 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u w:val="single" w:color="auto"/>
          <w:color w:val="auto"/>
        </w:rPr>
        <w:t>Repurchase at Option of Holders Upon a Fundamental Change</w:t>
      </w:r>
      <w:r>
        <w:rPr>
          <w:rFonts w:ascii="Arial" w:cs="Arial" w:eastAsia="Arial" w:hAnsi="Arial"/>
          <w:sz w:val="17"/>
          <w:szCs w:val="17"/>
          <w:color w:val="auto"/>
        </w:rPr>
        <w:t>. If a Fundamental Change occurs at any time prior to the Maturity Date, each Holder shall have the right, at such Holder’s option, to require the Company to repurchase for cash all of such Holder’s Notes, or any portion thereof that is equal to minimum denominations of $1,000 or an integral multiple of $1,000 in excess thereof, on the date (the “</w:t>
      </w:r>
      <w:r>
        <w:rPr>
          <w:rFonts w:ascii="Arial" w:cs="Arial" w:eastAsia="Arial" w:hAnsi="Arial"/>
          <w:sz w:val="17"/>
          <w:szCs w:val="17"/>
          <w:b w:val="1"/>
          <w:bCs w:val="1"/>
          <w:color w:val="auto"/>
        </w:rPr>
        <w:t>Fundamental Change</w:t>
      </w:r>
      <w:r>
        <w:rPr>
          <w:rFonts w:ascii="Arial" w:cs="Arial" w:eastAsia="Arial" w:hAnsi="Arial"/>
          <w:sz w:val="17"/>
          <w:szCs w:val="17"/>
          <w:color w:val="auto"/>
        </w:rPr>
        <w:t xml:space="preserve"> </w:t>
      </w:r>
      <w:r>
        <w:rPr>
          <w:rFonts w:ascii="Arial" w:cs="Arial" w:eastAsia="Arial" w:hAnsi="Arial"/>
          <w:sz w:val="17"/>
          <w:szCs w:val="17"/>
          <w:b w:val="1"/>
          <w:bCs w:val="1"/>
          <w:color w:val="auto"/>
        </w:rPr>
        <w:t>Repurchase Date</w:t>
      </w:r>
      <w:r>
        <w:rPr>
          <w:rFonts w:ascii="Arial" w:cs="Arial" w:eastAsia="Arial" w:hAnsi="Arial"/>
          <w:sz w:val="17"/>
          <w:szCs w:val="17"/>
          <w:color w:val="auto"/>
        </w:rPr>
        <w:t>”) specified by the Company that is not less than 20 or more than 35 Business Days following the date of the Fundamental 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Notice at a repurchase price equal to 100% of the principal amount thereof,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accrued and unpaid Special Interest thereon to, but excluding, the Fundamental Change Repurchase Date (the “</w:t>
      </w:r>
      <w:r>
        <w:rPr>
          <w:rFonts w:ascii="Arial" w:cs="Arial" w:eastAsia="Arial" w:hAnsi="Arial"/>
          <w:sz w:val="17"/>
          <w:szCs w:val="17"/>
          <w:b w:val="1"/>
          <w:bCs w:val="1"/>
          <w:color w:val="auto"/>
        </w:rPr>
        <w:t>Fundamental Change Repurchase Price</w:t>
      </w:r>
      <w:r>
        <w:rPr>
          <w:rFonts w:ascii="Arial" w:cs="Arial" w:eastAsia="Arial" w:hAnsi="Arial"/>
          <w:sz w:val="17"/>
          <w:szCs w:val="17"/>
          <w:color w:val="auto"/>
        </w:rPr>
        <w:t>”), unless the Fundamental Change Repurchase Date falls after a Special Interest Record Date but on or prior to the Special Interest Payment Date to which such Special Interest Record Date relates, in which case the Company shall instead pay the full amount of any accrued and unpaid Special Interest to Holders of record as of such Special Interest Record Date, and the Fundamental Change Repurchase Price shall be equal to 100% of the principal amount of Notes to be repurchased pursuant to this Article XIV.</w:t>
      </w:r>
    </w:p>
    <w:p>
      <w:pPr>
        <w:spacing w:after="0" w:line="185" w:lineRule="exact"/>
        <w:rPr>
          <w:sz w:val="20"/>
          <w:szCs w:val="20"/>
          <w:color w:val="auto"/>
        </w:rPr>
      </w:pPr>
    </w:p>
    <w:p>
      <w:pPr>
        <w:ind w:left="1240" w:hanging="253"/>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Repurchases of Notes under this Section 14.02 shall be made, at the option of the Holder thereof, upon:</w:t>
      </w:r>
    </w:p>
    <w:p>
      <w:pPr>
        <w:spacing w:after="0" w:line="113" w:lineRule="exact"/>
        <w:rPr>
          <w:rFonts w:ascii="Arial" w:cs="Arial" w:eastAsia="Arial" w:hAnsi="Arial"/>
          <w:sz w:val="18"/>
          <w:szCs w:val="18"/>
          <w:color w:val="auto"/>
        </w:rPr>
      </w:pPr>
    </w:p>
    <w:p>
      <w:pPr>
        <w:ind w:left="440" w:right="140" w:firstLine="948"/>
        <w:spacing w:after="0" w:line="281" w:lineRule="auto"/>
        <w:tabs>
          <w:tab w:leader="none" w:pos="1607"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delivery to the Paying Agent by a Holder of a duly completed notice (the “</w:t>
      </w:r>
      <w:r>
        <w:rPr>
          <w:rFonts w:ascii="Arial" w:cs="Arial" w:eastAsia="Arial" w:hAnsi="Arial"/>
          <w:sz w:val="17"/>
          <w:szCs w:val="17"/>
          <w:b w:val="1"/>
          <w:bCs w:val="1"/>
          <w:color w:val="auto"/>
        </w:rPr>
        <w:t>Fundamental Change Repurchase Notice</w:t>
      </w:r>
      <w:r>
        <w:rPr>
          <w:rFonts w:ascii="Arial" w:cs="Arial" w:eastAsia="Arial" w:hAnsi="Arial"/>
          <w:sz w:val="17"/>
          <w:szCs w:val="17"/>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60" w:lineRule="exact"/>
        <w:rPr>
          <w:rFonts w:ascii="Arial" w:cs="Arial" w:eastAsia="Arial" w:hAnsi="Arial"/>
          <w:sz w:val="17"/>
          <w:szCs w:val="17"/>
          <w:color w:val="auto"/>
        </w:rPr>
      </w:pPr>
    </w:p>
    <w:p>
      <w:pPr>
        <w:ind w:left="440" w:right="60" w:firstLine="948"/>
        <w:spacing w:after="0" w:line="279" w:lineRule="auto"/>
        <w:tabs>
          <w:tab w:leader="none" w:pos="1657"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Fundamental Change Repurchase Notice in respect of any Notes to be repurchased shall state:</w:t>
      </w:r>
    </w:p>
    <w:p>
      <w:pPr>
        <w:spacing w:after="0" w:line="117" w:lineRule="exact"/>
        <w:rPr>
          <w:sz w:val="20"/>
          <w:szCs w:val="20"/>
          <w:color w:val="auto"/>
        </w:rPr>
      </w:pPr>
    </w:p>
    <w:p>
      <w:pPr>
        <w:ind w:left="2100" w:hanging="289"/>
        <w:spacing w:after="0"/>
        <w:tabs>
          <w:tab w:leader="none" w:pos="21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case of Physical Notes, the certificate numbers of the Notes to be delivered for repurchase;</w:t>
      </w:r>
    </w:p>
    <w:p>
      <w:pPr>
        <w:spacing w:after="0" w:line="117" w:lineRule="exact"/>
        <w:rPr>
          <w:rFonts w:ascii="Arial" w:cs="Arial" w:eastAsia="Arial" w:hAnsi="Arial"/>
          <w:sz w:val="18"/>
          <w:szCs w:val="18"/>
          <w:color w:val="auto"/>
        </w:rPr>
      </w:pPr>
    </w:p>
    <w:p>
      <w:pPr>
        <w:ind w:left="2100" w:hanging="289"/>
        <w:spacing w:after="0"/>
        <w:tabs>
          <w:tab w:leader="none" w:pos="21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must be $1,000 or an integral multiple thereof; and</w:t>
      </w:r>
    </w:p>
    <w:p>
      <w:pPr>
        <w:spacing w:after="0" w:line="140" w:lineRule="exact"/>
        <w:rPr>
          <w:rFonts w:ascii="Arial" w:cs="Arial" w:eastAsia="Arial" w:hAnsi="Arial"/>
          <w:sz w:val="16"/>
          <w:szCs w:val="16"/>
          <w:color w:val="auto"/>
        </w:rPr>
      </w:pPr>
    </w:p>
    <w:p>
      <w:pPr>
        <w:ind w:left="2100" w:hanging="289"/>
        <w:spacing w:after="0"/>
        <w:tabs>
          <w:tab w:leader="none" w:pos="21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that the Notes are to be repurchased by the Company pursuant to the applicable provisions of the Notes and this Indenture;</w:t>
      </w:r>
    </w:p>
    <w:p>
      <w:pPr>
        <w:spacing w:after="0" w:line="24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Fundamental Change Repurchase Notice must comply with appropriate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14.02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14.03, in the case of Physical Notes, or through the applicable procedures of the Depositary, in the case of Global Notes.</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Paying Agent shall promptly notify the Company of the receipt by it of any Fundamental Change Repurchase Notice or written notice of withdrawal thereof.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40" w:top="270" w:right="499" w:bottom="1440" w:gutter="0" w:footer="0" w:header="0"/>
        </w:sectPr>
      </w:pPr>
    </w:p>
    <w:bookmarkStart w:id="159" w:name="page160"/>
    <w:bookmarkEnd w:id="159"/>
    <w:p>
      <w:pPr>
        <w:ind w:firstLine="987"/>
        <w:spacing w:after="0" w:line="273" w:lineRule="auto"/>
        <w:tabs>
          <w:tab w:leader="none" w:pos="1246" w:val="left"/>
        </w:tabs>
        <w:numPr>
          <w:ilvl w:val="0"/>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or before the 20th day after the occurrence of the effective date of a Fundamental Change, the Company shall provide to all Holders of Notes, the Trustee and the Paying Agent (in the case of a Paying Agent other than the Trustee) a notice (the “</w:t>
      </w:r>
      <w:r>
        <w:rPr>
          <w:rFonts w:ascii="Arial" w:cs="Arial" w:eastAsia="Arial" w:hAnsi="Arial"/>
          <w:sz w:val="17"/>
          <w:szCs w:val="17"/>
          <w:b w:val="1"/>
          <w:bCs w:val="1"/>
          <w:color w:val="auto"/>
        </w:rPr>
        <w:t>Fundamental Change Company</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of the occurrence of the effective date of a Fundamental Change and of the repurchase right at the option of the Holders arising as a result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Such notice shall be given in accordance with Section 16.03 of this Indenture. Simultaneously with providing such notice, the Company shall publish a notice containing the information set forth in the Fundamental Change Company Notice on the Company’s website or through such other public medium as the Company may use at that time. Each Fundamental Change Company Notice shall specify:</w:t>
      </w:r>
    </w:p>
    <w:p>
      <w:pPr>
        <w:spacing w:after="0" w:line="69" w:lineRule="exact"/>
        <w:rPr>
          <w:rFonts w:ascii="Arial" w:cs="Arial" w:eastAsia="Arial" w:hAnsi="Arial"/>
          <w:sz w:val="17"/>
          <w:szCs w:val="17"/>
          <w:color w:val="auto"/>
        </w:rPr>
      </w:pPr>
    </w:p>
    <w:p>
      <w:pPr>
        <w:ind w:left="1600" w:hanging="212"/>
        <w:spacing w:after="0"/>
        <w:tabs>
          <w:tab w:leader="none" w:pos="1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effective date of the Fundamental Change;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 pursuant to this Article XIV;</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if applicable, the Conversion Rate and any adjustments to the Conversion Rate as a result of the Fundamental Change;</w:t>
      </w:r>
    </w:p>
    <w:p>
      <w:pPr>
        <w:spacing w:after="0" w:line="128" w:lineRule="exact"/>
        <w:rPr>
          <w:rFonts w:ascii="Arial" w:cs="Arial" w:eastAsia="Arial" w:hAnsi="Arial"/>
          <w:sz w:val="17"/>
          <w:szCs w:val="17"/>
          <w:color w:val="auto"/>
        </w:rPr>
      </w:pPr>
    </w:p>
    <w:p>
      <w:pPr>
        <w:ind w:left="440" w:right="660" w:firstLine="948"/>
        <w:spacing w:after="0" w:line="342" w:lineRule="auto"/>
        <w:tabs>
          <w:tab w:leader="none" w:pos="179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5" w:lineRule="exact"/>
        <w:rPr>
          <w:rFonts w:ascii="Arial" w:cs="Arial" w:eastAsia="Arial" w:hAnsi="Arial"/>
          <w:sz w:val="16"/>
          <w:szCs w:val="16"/>
          <w:color w:val="auto"/>
        </w:rPr>
      </w:pPr>
    </w:p>
    <w:p>
      <w:pPr>
        <w:ind w:left="1700" w:hanging="312"/>
        <w:spacing w:after="0"/>
        <w:tabs>
          <w:tab w:leader="none" w:pos="17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Notes.</w:t>
      </w:r>
    </w:p>
    <w:p>
      <w:pPr>
        <w:spacing w:after="0" w:line="22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No failure of the Company to give the foregoing notices and no defect therein shall limit the Holders’ repurchase rights or affect the validity of the proceedings for the repurchase of the Notes pursuant to this Section 14.02. Notwithstanding the foregoing, the Company will not be required to repurchase, or to make an offer to repurchase, the Notes upon a Fundamental Change if a third party makes such an offer in the same manner, at the same time and otherwise in compliance with the requirements for an offer made by the Company as set forth above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7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Notwithstanding the foregoing, the Company will not be required to give such notice or repurchase the Notes as described above upon a Fundamental Change pursuant to clause (b) of the definition thereof (or a Fundamental Change pursuant to clause (b) which also results in a Fundamental Change pursuant to clause (a)) if (1) such Fundamental Change results in the Notes becoming convertible (pursuant to the provisions described in Section 13.07) into an amount of cash per Note (which is a fixed aggregate amount of cash that is required to be delivered upon conversion under the supplemental indenture for such Fundamental Change, excluding any cash payable as a result of any election of a Cash Percentage or cash paid in lieu of fractional shares) that is greater than the Fundamental Change Repurchase Price (assuming the maximum amount of accrued interest would be payable based on the latest possible Fundamental Change Repurchase Date) and (2) the Company provides timely notice of the Holders’ right to convert their Notes based on such Fundamental Change as described under Section 13.01.</w:t>
      </w:r>
    </w:p>
    <w:p>
      <w:pPr>
        <w:spacing w:after="0" w:line="165"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 xml:space="preserve">At the Company’s request, the Trustee shall give such notice in the Company’s name and at the Company’s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all cases, the text of such Fundamental Change Company Notice shall be prepared by the Company and such request is made by the Company at least five (5) Business Days (or such shorter period as may be agreed to by the Trustee) prior to the date such notice is required to be sent to Holders.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60" w:name="page161"/>
    <w:bookmarkEnd w:id="160"/>
    <w:p>
      <w:pPr>
        <w:ind w:right="100" w:firstLine="987"/>
        <w:spacing w:after="0" w:line="271" w:lineRule="auto"/>
        <w:tabs>
          <w:tab w:leader="none" w:pos="1236" w:val="left"/>
        </w:tabs>
        <w:numPr>
          <w:ilvl w:val="0"/>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canceled, and, upon such return or cancellation, as the case may be, the Fundamental Change Repurchase Notice with respect thereto shall be deemed to have been withdrawn.</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14.03 </w:t>
      </w:r>
      <w:r>
        <w:rPr>
          <w:rFonts w:ascii="Arial" w:cs="Arial" w:eastAsia="Arial" w:hAnsi="Arial"/>
          <w:sz w:val="17"/>
          <w:szCs w:val="17"/>
          <w:u w:val="single" w:color="auto"/>
          <w:color w:val="auto"/>
        </w:rPr>
        <w:t>Withdrawal of Fundamental Change Repurchase Notice</w:t>
      </w:r>
      <w:r>
        <w:rPr>
          <w:rFonts w:ascii="Arial" w:cs="Arial" w:eastAsia="Arial" w:hAnsi="Arial"/>
          <w:sz w:val="17"/>
          <w:szCs w:val="17"/>
          <w:color w:val="auto"/>
        </w:rPr>
        <w:t>. A Fundamental Change Repurchase Notice may be withdrawn (in whole or in part) by means of a written notice of withdrawal delivered to the Paying Agent in accordance with this Section 14.03 at any time prior to the close of business on the Business Day immediately preceding the Fundamental Change Repurchase Date, specifying:</w:t>
      </w:r>
    </w:p>
    <w:p>
      <w:pPr>
        <w:spacing w:after="0" w:line="57" w:lineRule="exact"/>
        <w:rPr>
          <w:sz w:val="20"/>
          <w:szCs w:val="20"/>
          <w:color w:val="auto"/>
        </w:rPr>
      </w:pPr>
    </w:p>
    <w:p>
      <w:pPr>
        <w:ind w:left="440" w:right="260" w:firstLine="948"/>
        <w:spacing w:after="0" w:line="277" w:lineRule="auto"/>
        <w:tabs>
          <w:tab w:leader="none" w:pos="16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aggregate principal amount of the Notes with respect to which such notice of withdrawal is being submitted, which must be $1,000 or an integral multiple thereof,</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Physical Notes have been issued, the certificate number of the Note in respect of which such notice of withdrawal is being</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submitted, and</w:t>
      </w:r>
    </w:p>
    <w:p>
      <w:pPr>
        <w:spacing w:after="0" w:line="102" w:lineRule="exact"/>
        <w:rPr>
          <w:rFonts w:ascii="Arial" w:cs="Arial" w:eastAsia="Arial" w:hAnsi="Arial"/>
          <w:sz w:val="17"/>
          <w:szCs w:val="17"/>
          <w:color w:val="auto"/>
        </w:rPr>
      </w:pPr>
    </w:p>
    <w:p>
      <w:pPr>
        <w:ind w:left="440" w:right="20" w:firstLine="948"/>
        <w:spacing w:after="0" w:line="277" w:lineRule="auto"/>
        <w:tabs>
          <w:tab w:leader="none" w:pos="17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aggregate principal amount, if any, of such Note that remains subject to the original Fundamental Change Repurchase Notice, which portion must be in principal amounts of $1,000 or an integral multiple of $1,000;</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the Notes are Global Notes, the notice must comply with appropriate procedures of the Depositary.</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14.04 </w:t>
      </w:r>
      <w:r>
        <w:rPr>
          <w:rFonts w:ascii="Arial" w:cs="Arial" w:eastAsia="Arial" w:hAnsi="Arial"/>
          <w:sz w:val="16"/>
          <w:szCs w:val="16"/>
          <w:u w:val="single" w:color="auto"/>
          <w:color w:val="auto"/>
        </w:rPr>
        <w:t>Deposit of Fundamental Change Repurchase Price</w:t>
      </w:r>
      <w:r>
        <w:rPr>
          <w:rFonts w:ascii="Arial" w:cs="Arial" w:eastAsia="Arial" w:hAnsi="Arial"/>
          <w:sz w:val="16"/>
          <w:szCs w:val="16"/>
          <w:color w:val="auto"/>
        </w:rPr>
        <w:t>.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Holder has satisfied the conditions in Section 14.02) and (ii) the time of book-entry transfer or the delivery of such Note to the Trustee (or other Paying Agent appointed by the Company) by the Holder thereof in the manner required by Section 14.02 by mailing checks for the amount payable to the Holders of such Notes entitled thereto as they shall appear in the Note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72" w:lineRule="exact"/>
        <w:rPr>
          <w:sz w:val="20"/>
          <w:szCs w:val="20"/>
          <w:color w:val="auto"/>
        </w:rPr>
      </w:pPr>
    </w:p>
    <w:p>
      <w:pPr>
        <w:ind w:right="20" w:firstLine="987"/>
        <w:spacing w:after="0" w:line="270" w:lineRule="auto"/>
        <w:tabs>
          <w:tab w:leader="none" w:pos="123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in accordance with the provisions of this Indenture, (i) such Notes will cease to be outstanding, (ii) Special Interest, if and to the extent that any such accrued and unpaid Special Interest exists as of such date, will cease to accrue on such Notes (whether or not book-entry transfer of the Notes has been made or the Notes have been delivered to the Trustee or Paying Agent) and (iii) all other rights of the Holders of such Notes will terminate (other than (x) the right to receive the Fundamental Change Repurchase Price and (y) if the Fundamental Change Repurchase Date falls after a Special Interest Record Date but on or prior to the Special Interest Payment Date to which such Special Interest Record Date relates, the right of the Holder of record on such Special Interest Record Date to receive the related interest payment).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161" w:name="page162"/>
    <w:bookmarkEnd w:id="161"/>
    <w:p>
      <w:pPr>
        <w:ind w:right="100" w:firstLine="987"/>
        <w:spacing w:after="0" w:line="263" w:lineRule="auto"/>
        <w:tabs>
          <w:tab w:leader="none" w:pos="12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surrender of a Note that is to be repurchased in part pursuant to Section 14.02, the Company shall execute and the Trustee shall authenticate and deliver to the Holder a new Note in an authorized denomination equal in principal amount to the unrepurchased portion of the Note surrendered.</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Covenant to Comply with Applicable Laws Upon Repurchase of Notes</w:t>
      </w:r>
      <w:r>
        <w:rPr>
          <w:rFonts w:ascii="Arial" w:cs="Arial" w:eastAsia="Arial" w:hAnsi="Arial"/>
          <w:sz w:val="18"/>
          <w:szCs w:val="18"/>
          <w:color w:val="auto"/>
        </w:rPr>
        <w:t>. In connection with any repurchase upon a Fundamental Change, the Company shall, to the extent required</w:t>
      </w:r>
    </w:p>
    <w:p>
      <w:pPr>
        <w:spacing w:after="0" w:line="170" w:lineRule="exact"/>
        <w:rPr>
          <w:sz w:val="20"/>
          <w:szCs w:val="20"/>
          <w:color w:val="auto"/>
        </w:rPr>
      </w:pPr>
    </w:p>
    <w:p>
      <w:pPr>
        <w:ind w:left="1240" w:hanging="253"/>
        <w:spacing w:after="0"/>
        <w:tabs>
          <w:tab w:leader="none" w:pos="12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Regulation 14E under the Exchange Act, and with all other applicable laws;</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file a Schedule TO or any other schedules required under the Exchange Act or any other applicable laws; and</w:t>
      </w:r>
    </w:p>
    <w:p>
      <w:pPr>
        <w:spacing w:after="0" w:line="225" w:lineRule="exact"/>
        <w:rPr>
          <w:rFonts w:ascii="Arial" w:cs="Arial" w:eastAsia="Arial" w:hAnsi="Arial"/>
          <w:sz w:val="18"/>
          <w:szCs w:val="18"/>
          <w:color w:val="auto"/>
        </w:rPr>
      </w:pPr>
    </w:p>
    <w:p>
      <w:pPr>
        <w:ind w:right="220" w:firstLine="987"/>
        <w:spacing w:after="0" w:line="342" w:lineRule="auto"/>
        <w:tabs>
          <w:tab w:leader="none" w:pos="123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otherwise comply with all applicable United States federal and state securities laws in connection with any offer by the Company to repurchase the Notes; provided that the Fundamental Change Purchase Date shall be extended to the extent necessary for such compliance;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each case, so as to permit the rights and obligations under this Article XIV to be exercised in the time and in the manner specified in this Article XIV.</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OPTIONAL REDEMPTION</w:t>
      </w:r>
    </w:p>
    <w:p>
      <w:pPr>
        <w:spacing w:after="0" w:line="21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u w:val="single" w:color="auto"/>
          <w:color w:val="auto"/>
        </w:rPr>
        <w:t>Optional Redemption</w:t>
      </w:r>
      <w:r>
        <w:rPr>
          <w:rFonts w:ascii="Arial" w:cs="Arial" w:eastAsia="Arial" w:hAnsi="Arial"/>
          <w:sz w:val="17"/>
          <w:szCs w:val="17"/>
          <w:color w:val="auto"/>
        </w:rPr>
        <w:t>. No sinking fund is provided for the Notes. The Notes shall not be redeemable by the Company prior to March 6, 2025. On or after March 6, 2025, the Company may, at its option, redeem (an “</w:t>
      </w:r>
      <w:r>
        <w:rPr>
          <w:rFonts w:ascii="Arial" w:cs="Arial" w:eastAsia="Arial" w:hAnsi="Arial"/>
          <w:sz w:val="17"/>
          <w:szCs w:val="17"/>
          <w:b w:val="1"/>
          <w:bCs w:val="1"/>
          <w:color w:val="auto"/>
        </w:rPr>
        <w:t>Optional Redemption</w:t>
      </w:r>
      <w:r>
        <w:rPr>
          <w:rFonts w:ascii="Arial" w:cs="Arial" w:eastAsia="Arial" w:hAnsi="Arial"/>
          <w:sz w:val="17"/>
          <w:szCs w:val="17"/>
          <w:color w:val="auto"/>
        </w:rPr>
        <w:t>”) for cash all or any portion of the Notes,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second Trading Day immediately preceding the date on which the Company provides the Redemption Notice to the Holders of the Notes in accordance with Section 16.03.</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Notice of Optional Redemption; Selection of Notes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0" w:lineRule="auto"/>
        <w:tabs>
          <w:tab w:leader="none" w:pos="123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case the Company exercises its Optional Redemption right to redeem all or, as the case may be, any part of the Notes pursuant to Section 15.01, it shall fix a date for redemption (each, a “</w:t>
      </w:r>
      <w:r>
        <w:rPr>
          <w:rFonts w:ascii="Arial" w:cs="Arial" w:eastAsia="Arial" w:hAnsi="Arial"/>
          <w:sz w:val="17"/>
          <w:szCs w:val="17"/>
          <w:b w:val="1"/>
          <w:bCs w:val="1"/>
          <w:color w:val="auto"/>
        </w:rPr>
        <w:t>Redemption Date</w:t>
      </w:r>
      <w:r>
        <w:rPr>
          <w:rFonts w:ascii="Arial" w:cs="Arial" w:eastAsia="Arial" w:hAnsi="Arial"/>
          <w:sz w:val="17"/>
          <w:szCs w:val="17"/>
          <w:color w:val="auto"/>
        </w:rPr>
        <w:t>”) and it or, at its written request (containing the form of the Redemption Notice) received by the Trustee not less than 5 Business Days prior to the date such Redemption Notice is to be sent (or such shorter period of time as may be acceptable to the Trustee), the Trustee, in the name of and at the expense of the Company, shall deliver or cause to be delivered a written notice of such Optional Redemption (a “</w:t>
      </w:r>
      <w:r>
        <w:rPr>
          <w:rFonts w:ascii="Arial" w:cs="Arial" w:eastAsia="Arial" w:hAnsi="Arial"/>
          <w:sz w:val="17"/>
          <w:szCs w:val="17"/>
          <w:b w:val="1"/>
          <w:bCs w:val="1"/>
          <w:color w:val="auto"/>
        </w:rPr>
        <w:t>Redemption Notice</w:t>
      </w:r>
      <w:r>
        <w:rPr>
          <w:rFonts w:ascii="Arial" w:cs="Arial" w:eastAsia="Arial" w:hAnsi="Arial"/>
          <w:sz w:val="17"/>
          <w:szCs w:val="17"/>
          <w:color w:val="auto"/>
        </w:rPr>
        <w:t xml:space="preserve">”) not less than 30 nor more than 60 Scheduled Trading Days prior to the Redemption Date to the Trustee, the Conversion Agent (if other than the Trustee), the Paying Agent, and each Holder of Notes so to be redeemed as a whole or in part;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if the Company shall give such notice, it shall also give written notice of the Redemption Date to the Trustee. The Redemption Date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a Business Day. The Company may not specify a Redemption Date that falls on or after the 26th Scheduled Trading Day immediately preceding the Maturity Date.</w:t>
      </w:r>
    </w:p>
    <w:p>
      <w:pPr>
        <w:spacing w:after="0" w:line="180" w:lineRule="exact"/>
        <w:rPr>
          <w:rFonts w:ascii="Arial" w:cs="Arial" w:eastAsia="Arial" w:hAnsi="Arial"/>
          <w:sz w:val="17"/>
          <w:szCs w:val="17"/>
          <w:color w:val="auto"/>
        </w:rPr>
      </w:pPr>
    </w:p>
    <w:p>
      <w:pPr>
        <w:jc w:val="both"/>
        <w:ind w:right="20" w:firstLine="987"/>
        <w:spacing w:after="0" w:line="311" w:lineRule="auto"/>
        <w:tabs>
          <w:tab w:leader="none" w:pos="124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Redemption Notice, if delivered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Redemption Notice shall specify:</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440" w:top="274" w:right="519" w:bottom="1440" w:gutter="0" w:footer="0" w:header="0"/>
        </w:sectPr>
      </w:pPr>
    </w:p>
    <w:bookmarkStart w:id="162" w:name="page163"/>
    <w:bookmarkEnd w:id="162"/>
    <w:p>
      <w:pPr>
        <w:ind w:left="440" w:right="460" w:firstLine="948"/>
        <w:spacing w:after="0" w:line="263" w:lineRule="auto"/>
        <w:tabs>
          <w:tab w:leader="none" w:pos="1707"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on the Redemption Date, the Redemption Price will become due and payable upon each Note to be redeemed, and that Special Interest thereon, if any, shall cease to accrue on and after the Redemption Date unless the Company defaults in the payment of the Redemption Price;</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place or places where such Notes are to be surrendered for payment of the Redemption Price;</w:t>
      </w:r>
    </w:p>
    <w:p>
      <w:pPr>
        <w:spacing w:after="0" w:line="117" w:lineRule="exact"/>
        <w:rPr>
          <w:rFonts w:ascii="Arial" w:cs="Arial" w:eastAsia="Arial" w:hAnsi="Arial"/>
          <w:sz w:val="18"/>
          <w:szCs w:val="18"/>
          <w:color w:val="auto"/>
        </w:rPr>
      </w:pPr>
    </w:p>
    <w:p>
      <w:pPr>
        <w:jc w:val="both"/>
        <w:ind w:left="440" w:right="180" w:firstLine="948"/>
        <w:spacing w:after="0" w:line="259" w:lineRule="auto"/>
        <w:tabs>
          <w:tab w:leader="none" w:pos="16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that Holders of Notes called for Optional Redemption may surrender their Notes for conversion at any time prior to the close of business on the second Scheduled Trading Day immediately preceding the Redemption Date unless the Company defaults in the payment of the Redemption Price, in which case such Holder will be entitled to convert such Note until the close of business on the Business Day immediately preceding the date on which the Redemption Price has been paid or duly provided for;</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procedures a converting Holder must follow to convert its Notes and the Cash Percentage;</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Conversion Rate and, if applicable, the number of Additional Shares added to the Conversion Rate in accordance with</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Section 13.03;</w:t>
      </w:r>
    </w:p>
    <w:p>
      <w:pPr>
        <w:spacing w:after="0" w:line="102" w:lineRule="exact"/>
        <w:rPr>
          <w:rFonts w:ascii="Arial" w:cs="Arial" w:eastAsia="Arial" w:hAnsi="Arial"/>
          <w:sz w:val="17"/>
          <w:szCs w:val="17"/>
          <w:color w:val="auto"/>
        </w:rPr>
      </w:pPr>
    </w:p>
    <w:p>
      <w:pPr>
        <w:ind w:left="1800" w:hanging="412"/>
        <w:spacing w:after="0"/>
        <w:tabs>
          <w:tab w:leader="none" w:pos="18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CUSIP, ISIN or other similar numbers, if any, assigned to such Notes; and</w:t>
      </w:r>
    </w:p>
    <w:p>
      <w:pPr>
        <w:spacing w:after="0" w:line="117" w:lineRule="exact"/>
        <w:rPr>
          <w:rFonts w:ascii="Arial" w:cs="Arial" w:eastAsia="Arial" w:hAnsi="Arial"/>
          <w:sz w:val="18"/>
          <w:szCs w:val="18"/>
          <w:color w:val="auto"/>
        </w:rPr>
      </w:pPr>
    </w:p>
    <w:p>
      <w:pPr>
        <w:ind w:left="440" w:right="160" w:firstLine="948"/>
        <w:spacing w:after="0" w:line="263" w:lineRule="auto"/>
        <w:tabs>
          <w:tab w:leader="none" w:pos="169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$1,000 or a multiple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Redemption Notice shall be irrevocable.</w:t>
      </w:r>
    </w:p>
    <w:p>
      <w:pPr>
        <w:spacing w:after="0" w:line="225" w:lineRule="exact"/>
        <w:rPr>
          <w:sz w:val="20"/>
          <w:szCs w:val="20"/>
          <w:color w:val="auto"/>
        </w:rPr>
      </w:pPr>
    </w:p>
    <w:p>
      <w:pPr>
        <w:ind w:firstLine="987"/>
        <w:spacing w:after="0" w:line="296" w:lineRule="auto"/>
        <w:tabs>
          <w:tab w:leader="none" w:pos="124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fewer than all of the outstanding Notes are to be redeemed, the Notes to be redeemed will be selected according to the Depositary’s applicable procedures, in the case of Notes represented by a Global Note, or, in the case of Notes represented by Physical Notes, the Company shall select, pro rata, by lot or in such manner as it shall deem appropriate and fair, Notes to be redeemed in whole or in part.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Payment of Notes Called for Optional Redemption</w:t>
      </w:r>
      <w:r>
        <w:rPr>
          <w:rFonts w:ascii="Arial" w:cs="Arial" w:eastAsia="Arial" w:hAnsi="Arial"/>
          <w:sz w:val="18"/>
          <w:szCs w:val="18"/>
          <w:color w:val="auto"/>
        </w:rPr>
        <w:t>.</w:t>
      </w:r>
    </w:p>
    <w:p>
      <w:pPr>
        <w:spacing w:after="0" w:line="225" w:lineRule="exact"/>
        <w:rPr>
          <w:sz w:val="20"/>
          <w:szCs w:val="20"/>
          <w:color w:val="auto"/>
        </w:rPr>
      </w:pPr>
    </w:p>
    <w:p>
      <w:pPr>
        <w:jc w:val="both"/>
        <w:ind w:right="240" w:firstLine="987"/>
        <w:spacing w:after="0" w:line="259" w:lineRule="auto"/>
        <w:tabs>
          <w:tab w:leader="none" w:pos="12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any Redemption Notice has been given in respect of the Notes in accordance with Section 15.02,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186" w:lineRule="exact"/>
        <w:rPr>
          <w:rFonts w:ascii="Arial" w:cs="Arial" w:eastAsia="Arial" w:hAnsi="Arial"/>
          <w:sz w:val="18"/>
          <w:szCs w:val="18"/>
          <w:color w:val="auto"/>
        </w:rPr>
      </w:pPr>
    </w:p>
    <w:p>
      <w:pPr>
        <w:ind w:firstLine="987"/>
        <w:spacing w:after="0" w:line="255" w:lineRule="auto"/>
        <w:tabs>
          <w:tab w:leader="none" w:pos="12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92"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Restrictions on Redemption</w:t>
      </w:r>
      <w:r>
        <w:rPr>
          <w:rFonts w:ascii="Arial" w:cs="Arial" w:eastAsia="Arial" w:hAnsi="Arial"/>
          <w:sz w:val="16"/>
          <w:szCs w:val="16"/>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Provisions Binding on Company’s Successors</w:t>
      </w:r>
      <w:r>
        <w:rPr>
          <w:rFonts w:ascii="Arial" w:cs="Arial" w:eastAsia="Arial" w:hAnsi="Arial"/>
          <w:sz w:val="18"/>
          <w:szCs w:val="18"/>
          <w:color w:val="auto"/>
        </w:rPr>
        <w:t>. All the covenants, stipulations, promises and agreements of the Company contained in this Indenture shall bind its successors and assigns whether so expressed or not.</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Official Acts by Successor Corporation</w:t>
      </w:r>
      <w:r>
        <w:rPr>
          <w:rFonts w:ascii="Arial" w:cs="Arial" w:eastAsia="Arial" w:hAnsi="Arial"/>
          <w:sz w:val="17"/>
          <w:szCs w:val="17"/>
          <w:color w:val="auto"/>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6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Addresses for Notices, Etc</w:t>
      </w:r>
      <w:r>
        <w:rPr>
          <w:rFonts w:ascii="Arial" w:cs="Arial" w:eastAsia="Arial" w:hAnsi="Arial"/>
          <w:sz w:val="18"/>
          <w:szCs w:val="18"/>
          <w:color w:val="auto"/>
        </w:rPr>
        <w:t>. Any notice or demand that by any provision of this Indenture is required or permitted to be given or served by the Trustee or by the Holders on the Company shall be deemed to have been sufficiently given or made, for all purposes if made in writing and delivered (i) by hand (in which case notice shall be effective upon delivery), (ii) by facsimile (in which case notice shall be effective upon receipt of confirmation of good transmission thereof) or (iii) by overnight delivery by a nationally recognized courier service (in which case such notice shall be effective on the Business Day immediately after being deposited with such courier service) addressed (until another address is filed by the Company with the Trustee) to Dropbox, Inc., 1800 Owens Street, San Francisco, CA 94158, Attention: Legal Department. Any notice, direction, request or demand hereunder to or upon the Trustee shall be deemed to have been sufficiently given or made upon receipt by the Trustee at its Corporate Trust Office.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Any notice or communication mailed to a Holder of a Physical Note shall be mailed to it by first class mail, postage prepaid, at its address as it appears on the Note Register and shall be sufficiently given to it if so mailed within the time prescribed; provided that, notwithstanding anything to the contrary herein, notices given to Holders of Global Notes may be given electronically through the facilities of the Depositary.</w:t>
      </w:r>
    </w:p>
    <w:p>
      <w:pPr>
        <w:spacing w:after="0" w:line="16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Failure to mail or give a notice or communication to a Holder or any defect in it shall not affect its sufficiency with respect to other Holders. If a notice or communication is given in the manner provided above, it is duly given, whether or not the addressee receives it.</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impracticable to give such notice to Holders of Physical Notes by mail, then such notification as shall be made with the approval of the Trustee shall constitute a sufficient notification for every purpose hereunder.</w:t>
      </w:r>
    </w:p>
    <w:p>
      <w:pPr>
        <w:spacing w:after="0" w:line="18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INDENTURE AND EACH NOTE, AND ANY CLAIM, CONTROVERSY OR DISPUTE ARISING UNDER OR RELATED TO THIS INDENTURE AND EACH NOTE, SHALL BE GOVERNED BY, AND CONSTRUED IN ACCORDANCE WITH, THE LAWS OF THE STATE OF NEW YORK.</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8"/>
          <w:szCs w:val="18"/>
          <w:i w:val="1"/>
          <w:iCs w:val="1"/>
          <w:color w:val="auto"/>
        </w:rPr>
        <w:t>in personam</w:t>
      </w:r>
      <w:r>
        <w:rPr>
          <w:rFonts w:ascii="Arial" w:cs="Arial" w:eastAsia="Arial" w:hAnsi="Arial"/>
          <w:sz w:val="18"/>
          <w:szCs w:val="18"/>
          <w:color w:val="auto"/>
        </w:rPr>
        <w:t>, generally and unconditionally with respect to any action, suit or proceeding for itself in respect of its properties, assets and revenues.</w:t>
      </w:r>
    </w:p>
    <w:p>
      <w:pPr>
        <w:spacing w:after="0" w:line="19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or the Notes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0" w:right="459" w:bottom="1440" w:gutter="0" w:footer="0" w:header="0"/>
        </w:sectPr>
      </w:pPr>
    </w:p>
    <w:bookmarkStart w:id="164" w:name="page165"/>
    <w:bookmarkEnd w:id="164"/>
    <w:p>
      <w:pPr>
        <w:ind w:right="3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16.05 </w:t>
      </w:r>
      <w:r>
        <w:rPr>
          <w:rFonts w:ascii="Arial" w:cs="Arial" w:eastAsia="Arial" w:hAnsi="Arial"/>
          <w:sz w:val="18"/>
          <w:szCs w:val="18"/>
          <w:u w:val="single" w:color="auto"/>
          <w:color w:val="auto"/>
        </w:rPr>
        <w:t>Evidence of Compliance with Conditions Precedent; Certificates and Opinions of Counsel to Trustee</w:t>
      </w:r>
      <w:r>
        <w:rPr>
          <w:rFonts w:ascii="Arial" w:cs="Arial" w:eastAsia="Arial" w:hAnsi="Arial"/>
          <w:sz w:val="18"/>
          <w:szCs w:val="18"/>
          <w:color w:val="auto"/>
        </w:rPr>
        <w:t>. Upon any application or demand by the Company to the Trustee to take any action under any of the provisions of this Indenture, the Company shall furnish to the Trustee an Officer’s Certificate and Opinion of Counsel stating that such action is permitted by the terms of this Indenture and all covenants and conditions precedent to such action have been satisfied.</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or opinion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all conditions precedent provided for in this Indenture have been complied with and whether or not such action is permitted by this Indenture; and (d) a statement as to whether or not, in the judgment of such person, such action is permitted by this Indenture and that all conditions precedent thereto have been complied with.</w:t>
      </w:r>
    </w:p>
    <w:p>
      <w:pPr>
        <w:spacing w:after="0" w:line="19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Legal Holidays</w:t>
      </w:r>
      <w:r>
        <w:rPr>
          <w:rFonts w:ascii="Arial" w:cs="Arial" w:eastAsia="Arial" w:hAnsi="Arial"/>
          <w:sz w:val="18"/>
          <w:szCs w:val="18"/>
          <w:color w:val="auto"/>
        </w:rPr>
        <w:t>. In any case where any Special Interest Payment Date, Fundamental Change Repurchase Date or Maturity Date is not a Business Day, then any action to be taken on such date need not be taken on such date, but may be taken on the next succeeding Business Day with the same force and effect as if taken on such date, and no Special Interest, if and to the extent any Special Interest is otherwise payable on such date, shall accrue in respect of the delay.</w:t>
      </w:r>
    </w:p>
    <w:p>
      <w:pPr>
        <w:spacing w:after="0" w:line="187"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 xml:space="preserve">Section 16.07 </w:t>
      </w:r>
      <w:r>
        <w:rPr>
          <w:rFonts w:ascii="Arial" w:cs="Arial" w:eastAsia="Arial" w:hAnsi="Arial"/>
          <w:sz w:val="16"/>
          <w:szCs w:val="16"/>
          <w:u w:val="single" w:color="auto"/>
          <w:color w:val="auto"/>
        </w:rPr>
        <w:t>No Security Interest Created</w:t>
      </w:r>
      <w:r>
        <w:rPr>
          <w:rFonts w:ascii="Arial" w:cs="Arial" w:eastAsia="Arial" w:hAnsi="Arial"/>
          <w:sz w:val="16"/>
          <w:szCs w:val="16"/>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2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16.08 </w:t>
      </w:r>
      <w:r>
        <w:rPr>
          <w:rFonts w:ascii="Arial" w:cs="Arial" w:eastAsia="Arial" w:hAnsi="Arial"/>
          <w:sz w:val="17"/>
          <w:szCs w:val="17"/>
          <w:u w:val="single" w:color="auto"/>
          <w:color w:val="auto"/>
        </w:rPr>
        <w:t>Benefits of Indenture</w:t>
      </w:r>
      <w:r>
        <w:rPr>
          <w:rFonts w:ascii="Arial" w:cs="Arial" w:eastAsia="Arial" w:hAnsi="Arial"/>
          <w:sz w:val="17"/>
          <w:szCs w:val="17"/>
          <w:color w:val="auto"/>
        </w:rPr>
        <w:t>. Nothing in this Indenture or in the Notes, expressed or implied, shall give to any Person, other than the Holders, the parties hereto, any Paying Agent, any Conversion Agent, any authenticating agent, any Note Registrar, any Bid Solicitation Agent and their respective successors hereunder, any benefit or any legal or equitable right, remedy or claim under this Indenture.</w:t>
      </w:r>
    </w:p>
    <w:p>
      <w:pPr>
        <w:spacing w:after="0" w:line="16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8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16.10 </w:t>
      </w:r>
      <w:r>
        <w:rPr>
          <w:rFonts w:ascii="Arial" w:cs="Arial" w:eastAsia="Arial" w:hAnsi="Arial"/>
          <w:sz w:val="17"/>
          <w:szCs w:val="17"/>
          <w:u w:val="single" w:color="auto"/>
          <w:color w:val="auto"/>
        </w:rPr>
        <w:t>Authenticating Agent</w:t>
      </w:r>
      <w:r>
        <w:rPr>
          <w:rFonts w:ascii="Arial" w:cs="Arial" w:eastAsia="Arial" w:hAnsi="Arial"/>
          <w:sz w:val="17"/>
          <w:szCs w:val="17"/>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14.04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7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16.10, without the execution or filing of any paper or any further act on the part of the parties hereto or the authenticating agent or such successor corporation or other entity.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165" w:name="page166"/>
    <w:bookmarkEnd w:id="165"/>
    <w:p>
      <w:pPr>
        <w:ind w:right="1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 in accordance with Section 16.03.</w:t>
      </w:r>
    </w:p>
    <w:p>
      <w:pPr>
        <w:spacing w:after="0" w:line="17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0"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The provisions of Section 7.02, Section 7.03, Section 7.04, Section 7.06, Section 8.03 and this Section 16.10 shall be applicable to any authenticating agent.</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If an authenticating agent is appointed pursuant to this Section 16.10, the Notes may have endorsed thereon, in addition to the Trustee’s certificate of authentication, an alternative certificate of authentication in the following form:</w:t>
      </w:r>
    </w:p>
    <w:p>
      <w:pPr>
        <w:spacing w:after="0" w:line="197"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-10160</wp:posOffset>
            </wp:positionV>
            <wp:extent cx="22282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Authenticating Agent, certifies that this is one of the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Notes described in the within-named Indenture.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16.11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the Trustee is under no obligation to agree to accept electronic signatures in any form or in any format unless expressly agreed to by the Trustee pursuant to reasonable procedures approved by the Trustee.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74"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6"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AND THE TRUSTEE HEREBY IRREVOCABLY WAIVES (AND EACH HOLDER, BY ITS ACCEPTANCE OF A NOTE OR A BENEFICIAL INTEREST IN A GLOBAL NOTE, SHALL BE DEEMED TO HAVE WAIVED), TO THE FULLEST EXTENT PERMITTED BY APPLICABLE LAW, ANY AND ALL RIGHT TO TRIAL BY JURY IN ANY LEGAL PROCEEDING ARISING OUT OF OR RELATING TO THIS INDENTURE, THE NOTES OR THE TRANSACTIONS CONTEMPLATED HEREBY.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166" w:name="page167"/>
    <w:bookmarkEnd w:id="166"/>
    <w:p>
      <w:pPr>
        <w:jc w:val="both"/>
        <w:ind w:right="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16.14 </w:t>
      </w:r>
      <w:r>
        <w:rPr>
          <w:rFonts w:ascii="Arial" w:cs="Arial" w:eastAsia="Arial" w:hAnsi="Arial"/>
          <w:sz w:val="16"/>
          <w:szCs w:val="16"/>
          <w:u w:val="single" w:color="auto"/>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6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16.15 </w:t>
      </w:r>
      <w:r>
        <w:rPr>
          <w:rFonts w:ascii="Arial" w:cs="Arial" w:eastAsia="Arial" w:hAnsi="Arial"/>
          <w:sz w:val="16"/>
          <w:szCs w:val="16"/>
          <w:u w:val="single" w:color="auto"/>
          <w:color w:val="auto"/>
        </w:rPr>
        <w:t>Calculations</w:t>
      </w:r>
      <w:r>
        <w:rPr>
          <w:rFonts w:ascii="Arial" w:cs="Arial" w:eastAsia="Arial" w:hAnsi="Arial"/>
          <w:sz w:val="16"/>
          <w:szCs w:val="16"/>
          <w:color w:val="auto"/>
        </w:rPr>
        <w:t>. The Company shall be responsible for making all calculations called for under this Indenture and the Notes. These calculations include, but are not limited to, determinations of the Stock Price, the Last Reported Sale Prices of the Common Stock, the Trading Prices, the Daily VWAPs, the Daily Conversion Values, the Redemption Price, the Conversion Price, the Daily Settlement Amounts, the Daily Net Settlement Amounts, any accrued Special Interest payable on the Notes, and the Conversion Rate of the Notes, including adjustment to the Conversion Price and Conversion Rate.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Company will forward its calculations to any Holder of Notes upon the written request of that Holder at the sole cost and expense of the Company.</w:t>
      </w:r>
    </w:p>
    <w:p>
      <w:pPr>
        <w:spacing w:after="0" w:line="165"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Section 16.16 </w:t>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and no such indenture or loan or debt agreement may be used to interpret this Indenture.</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16.17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parties hereto acknowledge that in accordance with Section 326 of the U.S.A. Patriot Act, the Trustee (in all of its capacities),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Timothy Regan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Timothy Regan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Brad Silicani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Brad Silicani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A. Jason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A. Jason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580"/>
          </w:cols>
          <w:pgMar w:left="880" w:top="274" w:right="4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FACE OF NOTE]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[INCLUDE FOLLOWING LEGEND IF A GLOBAL NOTE]</w:t>
      </w:r>
    </w:p>
    <w:p>
      <w:pPr>
        <w:spacing w:after="0" w:line="225"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[INCLUDE FOLLOWING LEGEND IF A RESTRICTED SECURITY]</w:t>
      </w:r>
    </w:p>
    <w:p>
      <w:pPr>
        <w:spacing w:after="0" w:line="225"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 w:right="140" w:firstLine="436"/>
        <w:spacing w:after="0" w:line="263" w:lineRule="auto"/>
        <w:tabs>
          <w:tab w:leader="none" w:pos="69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5" w:lineRule="exact"/>
        <w:rPr>
          <w:rFonts w:ascii="Arial" w:cs="Arial" w:eastAsia="Arial" w:hAnsi="Arial"/>
          <w:sz w:val="18"/>
          <w:szCs w:val="18"/>
          <w:color w:val="auto"/>
        </w:rPr>
      </w:pPr>
    </w:p>
    <w:p>
      <w:pPr>
        <w:ind w:left="4" w:right="500" w:firstLine="436"/>
        <w:spacing w:after="0" w:line="274" w:lineRule="auto"/>
        <w:tabs>
          <w:tab w:leader="none" w:pos="699"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AGREES FOR THE BENEFIT OF DROPBOX, INC. (THE “COMPANY”) THAT IT WILL NOT OFFER, SELL, PLEDGE OR OTHERWISE TRANSFER THIS SECURITY OR ANY BENEFICIAL INTEREST HEREIN PRIOR TO THE DATE THAT IS THE LATER OF</w:t>
      </w:r>
    </w:p>
    <w:p>
      <w:pPr>
        <w:ind w:left="4" w:right="20" w:hanging="4"/>
        <w:spacing w:after="0" w:line="255" w:lineRule="auto"/>
        <w:tabs>
          <w:tab w:leader="none" w:pos="29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81" w:lineRule="exact"/>
        <w:rPr>
          <w:rFonts w:ascii="Arial" w:cs="Arial" w:eastAsia="Arial" w:hAnsi="Arial"/>
          <w:sz w:val="18"/>
          <w:szCs w:val="18"/>
          <w:color w:val="auto"/>
        </w:rPr>
      </w:pPr>
    </w:p>
    <w:p>
      <w:pPr>
        <w:ind w:left="1164" w:hanging="301"/>
        <w:spacing w:after="0"/>
        <w:tabs>
          <w:tab w:leader="none" w:pos="1164"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1144" w:hanging="281"/>
        <w:spacing w:after="0"/>
        <w:tabs>
          <w:tab w:leader="none" w:pos="1144" w:val="left"/>
        </w:tabs>
        <w:numPr>
          <w:ilvl w:val="2"/>
          <w:numId w:val="172"/>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28" w:lineRule="exact"/>
        <w:rPr>
          <w:rFonts w:ascii="Arial" w:cs="Arial" w:eastAsia="Arial" w:hAnsi="Arial"/>
          <w:sz w:val="17"/>
          <w:szCs w:val="17"/>
          <w:color w:val="auto"/>
        </w:rPr>
      </w:pPr>
    </w:p>
    <w:p>
      <w:pPr>
        <w:ind w:left="1144" w:hanging="281"/>
        <w:spacing w:after="0"/>
        <w:tabs>
          <w:tab w:leader="none" w:pos="1144"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17" w:lineRule="exact"/>
        <w:rPr>
          <w:rFonts w:ascii="Arial" w:cs="Arial" w:eastAsia="Arial" w:hAnsi="Arial"/>
          <w:sz w:val="18"/>
          <w:szCs w:val="18"/>
          <w:color w:val="auto"/>
        </w:rPr>
      </w:pPr>
    </w:p>
    <w:p>
      <w:pPr>
        <w:ind w:left="444" w:right="20" w:firstLine="419"/>
        <w:spacing w:after="0" w:line="277" w:lineRule="auto"/>
        <w:tabs>
          <w:tab w:leader="none" w:pos="1162" w:val="left"/>
        </w:tabs>
        <w:numPr>
          <w:ilvl w:val="2"/>
          <w:numId w:val="172"/>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jc w:val="both"/>
        <w:ind w:left="4" w:right="220" w:firstLine="440"/>
        <w:spacing w:after="0" w:line="275" w:lineRule="auto"/>
        <w:rPr>
          <w:sz w:val="20"/>
          <w:szCs w:val="20"/>
          <w:color w:val="auto"/>
        </w:rPr>
      </w:pPr>
      <w:r>
        <w:rPr>
          <w:rFonts w:ascii="Arial" w:cs="Arial" w:eastAsia="Arial" w:hAnsi="Arial"/>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70" w:right="439" w:bottom="1440" w:gutter="0" w:footer="0" w:header="0"/>
        </w:sectPr>
      </w:pPr>
    </w:p>
    <w:bookmarkStart w:id="169" w:name="page170"/>
    <w:bookmarkEnd w:id="169"/>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ITS ACQUISITION OF THIS SECURITY, THE HOLDER HEREOF WILL BE DEEMED TO HAVE REPRESENTED AND WARRANTED THAT EITHER (1) NO PORTION OF THE ASSETS USED BY SUCH HOLDER TO ACQUIRE OR HOLD THIS SECURITY CONSTITUTES THE ASSETS OF (A) AN EMPLOYEE BENEFIT PLAN THAT IS SUBJECT TO TITLE I OF THE U.S. EMPLOYEE RETIREMENT INCOME SECURITY ACT OF 1974, AS AMENDED (“ERISA”), (B) A PLAN, INDIVIDUAL RETIREMENT ACCOUNT OR OTHER ARRANGEMENT THAT IS SUBJECT TO SECTION 4975 OF THE U.S. INTERNAL REVENUE CODE OF 1986, AS AMENDED (THE “CODE”), OR PROVISIONS UNDER ANY OTHER U.S. OR NON-U.S. FEDERAL, STATE, LOCAL, NON-U.S. OR OTHER LAWS OR REGULATIONS THAT ARE SIMILAR TO SUCH PROVISIONS OF ERISA OR THE CODE (“COLLECTIVELY, SIMILAR LAWS”), OR OF AN ENTITY WHOSE UNDERLYING ASSETS ARE CONSIDERED TO INCLUDE “PLAN ASSETS” OF ANY SUCH PLAN, ACCOUNT OR ARRANGEMENT, OR (2) THE ACQUISITION, HOLDING AND SUBSEQUENT DISPOSITION OR CONVERSION OF THIS SECURITY DOES NOT AND WILL NOT CONSTITUTE A NON-EXEMPT PROHIBITED TRANSACTION UNDER SECTION 406 OF ERISA OR SECTION 4975 OF THE CODE OR A SIMILAR VIOLATION UNDER ANY APPLICABLE SIMILAR LAWS.]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440" w:top="274" w:right="539"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Dropbox,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 Convertible Senior Note due 2028</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No. [</w:t>
        <w:tab/>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CUSIP No. 26210C AB0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US26210CAB00</w:t>
      </w:r>
    </w:p>
    <w:p>
      <w:pPr>
        <w:spacing w:after="0" w:line="207"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Dropbox, Inc., a corporation duly organized and validly existing under the laws of the State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 other entity under the Indenture referred to on the reverse hereof), for value received hereby promises to pay to CEDE &amp; CO., or registered assigns, the principal sum as set forth in the “Schedule of Increases and Decreases in Global Note” attached hereto, which amount, taken together with the principal amounts of all other outstanding Notes, shall not, unless permitted by the Indenture, exceed $653,000,000 in aggregate at any time, in accordance with the rules and procedures of the Depositary, on March 1, 2028, and interest thereon as set forth below.</w:t>
      </w:r>
    </w:p>
    <w:p>
      <w:pPr>
        <w:spacing w:after="0" w:line="1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This Note shall bear no regular cash interest, and the principal amount of this Note shall not accrete. Any interest on this Note shall be computed on the basis of a 360-day year composed of twelve 30-day months and, for partial months, on the basis of actual days elapsed over a 30-day month. Any Special Interest is payable semi-annually in arrears on each March 1 and September 1, commencing on September 1, 2021 (if Special Interest is then payable), to Holders of record at the close of business on the preceding February 15 and August 15 (whether or not such day is a Business Day), respectively. Any Special Interest will be payable as set forth in Section 4.06(d), Section 4.06(e) and Section 6.03 of the within-mentioned Indenture, and any reference to interest on, or in respect of, any Note therein shall be deemed to refer solely to Special Interest if, in such context, Special Interest is, was or would be payable pursuant to any of such Section 4.06(d), Section 4.06(e) or Section 6.03 or any interest on any Defaulted Amounts payable as set forth in Section 2.03(c) in the within-mentioned Indenture.</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Any Defaulted Amounts shall not accrue interest unless Special Interest was payable on the required payment date, in which case such Defaulted Amounts representing Special Interest shall accrue interest per annum at the then-applicable Special Interest rate, from, and including, such relevant payment date to, but excluding, the date on which such Defaulted Amounts shall have been paid by the Company, at its election, in accordance with Section 2.03(c) of the Indenture.</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Company shall pay the principal of and interest, if any, on this Note, if and so long as such Note is a Global Note, in immediately available funds in lawful money of the United States at the time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where Notes may be presented for payment or for registration of transfer and exchange.</w:t>
      </w:r>
    </w:p>
    <w:p>
      <w:pPr>
        <w:spacing w:after="0" w:line="19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83"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40" w:top="274" w:right="499" w:bottom="1440" w:gutter="0" w:footer="0" w:header="0"/>
        </w:sectPr>
      </w:pPr>
    </w:p>
    <w:bookmarkStart w:id="171" w:name="page172"/>
    <w:bookmarkEnd w:id="17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shall not be valid or become obligatory for any purpose until the certificate of authentication hereon shall have been manually or electronically signed by the Trustee or a duly authorized authenticating agent under the Indenture.</w:t>
      </w:r>
    </w:p>
    <w:p>
      <w:pPr>
        <w:spacing w:after="0" w:line="17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440"/>
          </w:cols>
          <w:pgMar w:left="440" w:top="274" w:right="1019" w:bottom="1440" w:gutter="0" w:footer="0" w:header="0"/>
        </w:sectPr>
      </w:pPr>
    </w:p>
    <w:bookmarkStart w:id="172" w:name="page173"/>
    <w:bookmarkEnd w:id="1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DROPBOX,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within-named Indenture.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14605</wp:posOffset>
            </wp:positionV>
            <wp:extent cx="22288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019"/>
          </w:cols>
          <w:pgMar w:left="440" w:top="274" w:right="1440"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 Convertible Senior Note due 2028</w:t>
      </w:r>
    </w:p>
    <w:p>
      <w:pPr>
        <w:spacing w:after="0" w:line="20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This Note is one of a duly authorized issue of Notes of the Company, designated as its 0% Convertible Senior Notes due 2028 (the “</w:t>
      </w:r>
      <w:r>
        <w:rPr>
          <w:rFonts w:ascii="Arial" w:cs="Arial" w:eastAsia="Arial" w:hAnsi="Arial"/>
          <w:sz w:val="17"/>
          <w:szCs w:val="17"/>
          <w:b w:val="1"/>
          <w:bCs w:val="1"/>
          <w:color w:val="auto"/>
        </w:rPr>
        <w:t>Notes</w:t>
      </w:r>
      <w:r>
        <w:rPr>
          <w:rFonts w:ascii="Arial" w:cs="Arial" w:eastAsia="Arial" w:hAnsi="Arial"/>
          <w:sz w:val="17"/>
          <w:szCs w:val="17"/>
          <w:color w:val="auto"/>
        </w:rPr>
        <w:t>”), in an initial aggregate principal amount of $653,000,000 all issued or to be issued under and pursuant to an Indenture dated as of February 26, 2021 (as amended or supplemented from time to time in accordance with its terms,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U.S. Bank National Association (the “</w:t>
      </w:r>
      <w:r>
        <w:rPr>
          <w:rFonts w:ascii="Arial" w:cs="Arial" w:eastAsia="Arial" w:hAnsi="Arial"/>
          <w:sz w:val="17"/>
          <w:szCs w:val="17"/>
          <w:b w:val="1"/>
          <w:bCs w:val="1"/>
          <w:color w:val="auto"/>
        </w:rPr>
        <w:t>Trustee</w:t>
      </w:r>
      <w:r>
        <w:rPr>
          <w:rFonts w:ascii="Arial" w:cs="Arial" w:eastAsia="Arial" w:hAnsi="Arial"/>
          <w:sz w:val="17"/>
          <w:szCs w:val="17"/>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76"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In case certain Events of Default shall have occurred and be continuing, the principal of, and Special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65"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Subject to the terms and conditions of the Indenture, the Company will make all payments and deliveries in respect of the Redemption Price on any Redemption Date,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57"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9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No reference herein to the Indenture and no provision of this Note or of the Indenture shall alter or impair the obligation of the Company, which is absolute and unconditional, to pay or deliver, as the case may be, the principal (including the Redemption Price and the Fundamental Change Repurchase Price, if applicable) of, any accrued and unpaid Special Interest on, and the consideration due upon conversion of, this Note at the place, at the respective times, at the rate and in the lawful money or shares of Common Stock, as the case may be, herein prescribed.</w:t>
      </w:r>
    </w:p>
    <w:p>
      <w:pPr>
        <w:spacing w:after="0" w:line="17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9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Notes shall be redeemable at the Company’s option on or after March 6, 2025, in accordance with the terms and subject to the conditions specified in the Indenture. No sinking fund is provided for the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0980"/>
          </w:cols>
          <w:pgMar w:left="440" w:top="274" w:right="479" w:bottom="1440" w:gutter="0" w:footer="0" w:header="0"/>
        </w:sectPr>
      </w:pPr>
    </w:p>
    <w:bookmarkStart w:id="174" w:name="page175"/>
    <w:bookmarkEnd w:id="174"/>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occurrence of a Fundamental Change prior to the Maturity Date, the Holder has the right, at such Holder’s option exercised in the manner specified in the Indenture,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4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at the Company’s election, cash or a combination of cash and shares of Common Stock, as applicable, as set forth in the Indenture at the Conversion Rate specified in the Indenture and as adjusted from time to time as provided in the Indenture.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R-2</w:t>
      </w:r>
    </w:p>
    <w:p>
      <w:pPr>
        <w:sectPr>
          <w:pgSz w:w="11900" w:h="16838" w:orient="portrait"/>
          <w:cols w:equalWidth="0" w:num="1">
            <w:col w:w="10980"/>
          </w:cols>
          <w:pgMar w:left="440" w:top="274" w:right="479" w:bottom="1440" w:gutter="0" w:footer="0" w:header="0"/>
        </w:sectPr>
      </w:pPr>
    </w:p>
    <w:bookmarkStart w:id="175" w:name="page176"/>
    <w:bookmarkEnd w:id="175"/>
    <w:p>
      <w:pPr>
        <w:jc w:val="center"/>
        <w:ind w:right="-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ABBREVIATIONS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JT TEN = joint tenants with right of survivorship and not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0480"/>
          </w:cols>
          <w:pgMar w:left="440" w:top="270" w:right="97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6"/>
            <w:vMerge w:val="restart"/>
          </w:tcPr>
          <w:p>
            <w:pPr>
              <w:jc w:val="center"/>
              <w:ind w:right="670"/>
              <w:spacing w:after="0"/>
              <w:rPr>
                <w:sz w:val="20"/>
                <w:szCs w:val="20"/>
                <w:color w:val="auto"/>
              </w:rPr>
            </w:pPr>
            <w:r>
              <w:rPr>
                <w:rFonts w:ascii="Arial" w:cs="Arial" w:eastAsia="Arial" w:hAnsi="Arial"/>
                <w:sz w:val="18"/>
                <w:szCs w:val="18"/>
                <w:color w:val="auto"/>
                <w:w w:val="95"/>
              </w:rPr>
              <w:t>SCHEDULE OF INCREASES AND DECREASES OF GLOBAL NOTE</w:t>
            </w:r>
          </w:p>
        </w:tc>
        <w:tc>
          <w:tcPr>
            <w:tcW w:w="120" w:type="dxa"/>
            <w:vAlign w:val="bottom"/>
          </w:tcPr>
          <w:p>
            <w:pPr>
              <w:spacing w:after="0"/>
              <w:rPr>
                <w:sz w:val="20"/>
                <w:szCs w:val="20"/>
                <w:color w:val="auto"/>
              </w:rPr>
            </w:pPr>
          </w:p>
        </w:tc>
        <w:tc>
          <w:tcPr>
            <w:tcW w:w="1760" w:type="dxa"/>
            <w:vAlign w:val="bottom"/>
          </w:tcPr>
          <w:p>
            <w:pPr>
              <w:ind w:left="580"/>
              <w:spacing w:after="0"/>
              <w:rPr>
                <w:sz w:val="20"/>
                <w:szCs w:val="20"/>
                <w:color w:val="auto"/>
              </w:rPr>
            </w:pPr>
            <w:r>
              <w:rPr>
                <w:rFonts w:ascii="Arial" w:cs="Arial" w:eastAsia="Arial" w:hAnsi="Arial"/>
                <w:sz w:val="18"/>
                <w:szCs w:val="18"/>
                <w:b w:val="1"/>
                <w:bCs w:val="1"/>
                <w:color w:val="auto"/>
                <w:w w:val="99"/>
              </w:rPr>
              <w:t>SCHEDULE A</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ind w:right="490"/>
              <w:spacing w:after="0"/>
              <w:rPr>
                <w:sz w:val="20"/>
                <w:szCs w:val="20"/>
                <w:color w:val="auto"/>
              </w:rPr>
            </w:pPr>
            <w:r>
              <w:rPr>
                <w:rFonts w:ascii="Arial" w:cs="Arial" w:eastAsia="Arial" w:hAnsi="Arial"/>
                <w:sz w:val="18"/>
                <w:szCs w:val="18"/>
                <w:color w:val="auto"/>
                <w:w w:val="93"/>
              </w:rPr>
              <w:t>Dropbox, Inc.</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6"/>
          </w:tcPr>
          <w:p>
            <w:pPr>
              <w:jc w:val="center"/>
              <w:ind w:right="650"/>
              <w:spacing w:after="0"/>
              <w:rPr>
                <w:sz w:val="20"/>
                <w:szCs w:val="20"/>
                <w:color w:val="auto"/>
              </w:rPr>
            </w:pPr>
            <w:r>
              <w:rPr>
                <w:rFonts w:ascii="Arial" w:cs="Arial" w:eastAsia="Arial" w:hAnsi="Arial"/>
                <w:sz w:val="18"/>
                <w:szCs w:val="18"/>
                <w:color w:val="auto"/>
                <w:w w:val="90"/>
              </w:rPr>
              <w:t>0% Convertible Senior Notes due 2028</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20" w:type="dxa"/>
            <w:vAlign w:val="bottom"/>
            <w:gridSpan w:val="3"/>
          </w:tcPr>
          <w:p>
            <w:pPr>
              <w:ind w:left="440"/>
              <w:spacing w:after="0"/>
              <w:rPr>
                <w:sz w:val="20"/>
                <w:szCs w:val="20"/>
                <w:color w:val="auto"/>
              </w:rPr>
            </w:pPr>
            <w:r>
              <w:rPr>
                <w:rFonts w:ascii="Arial" w:cs="Arial" w:eastAsia="Arial" w:hAnsi="Arial"/>
                <w:sz w:val="18"/>
                <w:szCs w:val="18"/>
                <w:color w:val="auto"/>
              </w:rPr>
              <w:t>The initial principal amount of this Global Note is [</w:t>
            </w:r>
          </w:p>
        </w:tc>
        <w:tc>
          <w:tcPr>
            <w:tcW w:w="10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 DOLLARS ($[</w:t>
            </w:r>
          </w:p>
        </w:tc>
        <w:tc>
          <w:tcPr>
            <w:tcW w:w="4260" w:type="dxa"/>
            <w:vAlign w:val="bottom"/>
            <w:gridSpan w:val="5"/>
          </w:tcPr>
          <w:p>
            <w:pPr>
              <w:ind w:left="20"/>
              <w:spacing w:after="0"/>
              <w:rPr>
                <w:sz w:val="20"/>
                <w:szCs w:val="20"/>
                <w:color w:val="auto"/>
              </w:rPr>
            </w:pPr>
            <w:r>
              <w:rPr>
                <w:rFonts w:ascii="Arial" w:cs="Arial" w:eastAsia="Arial" w:hAnsi="Arial"/>
                <w:sz w:val="18"/>
                <w:szCs w:val="18"/>
                <w:color w:val="auto"/>
                <w:w w:val="98"/>
              </w:rPr>
              <w:t>]). The following increases or decreases in this Global</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Note have been made:</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Amount of decrease in</w:t>
            </w:r>
          </w:p>
        </w:tc>
        <w:tc>
          <w:tcPr>
            <w:tcW w:w="100" w:type="dxa"/>
            <w:vAlign w:val="bottom"/>
          </w:tcPr>
          <w:p>
            <w:pPr>
              <w:spacing w:after="0"/>
              <w:rPr>
                <w:sz w:val="24"/>
                <w:szCs w:val="24"/>
                <w:color w:val="auto"/>
              </w:rPr>
            </w:pPr>
          </w:p>
        </w:tc>
        <w:tc>
          <w:tcPr>
            <w:tcW w:w="1940" w:type="dxa"/>
            <w:vAlign w:val="bottom"/>
          </w:tcPr>
          <w:p>
            <w:pPr>
              <w:jc w:val="center"/>
              <w:ind w:left="90"/>
              <w:spacing w:after="0"/>
              <w:rPr>
                <w:sz w:val="20"/>
                <w:szCs w:val="20"/>
                <w:color w:val="auto"/>
              </w:rPr>
            </w:pPr>
            <w:r>
              <w:rPr>
                <w:rFonts w:ascii="Arial" w:cs="Arial" w:eastAsia="Arial" w:hAnsi="Arial"/>
                <w:sz w:val="18"/>
                <w:szCs w:val="18"/>
                <w:color w:val="auto"/>
                <w:w w:val="91"/>
              </w:rPr>
              <w:t>Amount of increase in</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Principal amount of this</w:t>
            </w:r>
          </w:p>
        </w:tc>
        <w:tc>
          <w:tcPr>
            <w:tcW w:w="1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principal amount of this</w:t>
            </w:r>
          </w:p>
        </w:tc>
        <w:tc>
          <w:tcPr>
            <w:tcW w:w="100" w:type="dxa"/>
            <w:vAlign w:val="bottom"/>
          </w:tcPr>
          <w:p>
            <w:pPr>
              <w:spacing w:after="0"/>
              <w:rPr>
                <w:sz w:val="18"/>
                <w:szCs w:val="18"/>
                <w:color w:val="auto"/>
              </w:rPr>
            </w:pPr>
          </w:p>
        </w:tc>
        <w:tc>
          <w:tcPr>
            <w:tcW w:w="1940" w:type="dxa"/>
            <w:vAlign w:val="bottom"/>
          </w:tcPr>
          <w:p>
            <w:pPr>
              <w:jc w:val="center"/>
              <w:ind w:left="90"/>
              <w:spacing w:after="0"/>
              <w:rPr>
                <w:sz w:val="20"/>
                <w:szCs w:val="20"/>
                <w:color w:val="auto"/>
              </w:rPr>
            </w:pPr>
            <w:r>
              <w:rPr>
                <w:rFonts w:ascii="Arial" w:cs="Arial" w:eastAsia="Arial" w:hAnsi="Arial"/>
                <w:sz w:val="18"/>
                <w:szCs w:val="18"/>
                <w:color w:val="auto"/>
                <w:w w:val="92"/>
              </w:rPr>
              <w:t>principal amount of this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Global Note following</w:t>
            </w: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signatory of Trustee or</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7"/>
              </w:rPr>
              <w:t>Date of increase or decrease</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Global Note</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2"/>
              </w:rPr>
              <w:t>Global Note</w:t>
            </w:r>
          </w:p>
        </w:tc>
        <w:tc>
          <w:tcPr>
            <w:tcW w:w="1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such decrease or increase</w:t>
            </w:r>
          </w:p>
        </w:tc>
        <w:tc>
          <w:tcPr>
            <w:tcW w:w="12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Custodian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Dropbox,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California Street,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 Jason (Dropbox, Inc. 0% Convertible Senior Notes due 2028)</w:t>
      </w:r>
    </w:p>
    <w:p>
      <w:pPr>
        <w:spacing w:after="0" w:line="21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undersigned registered owner of this Note hereby exercises the option to convert this Note, or the portion hereof (that is $1,000 principal amount or an integral multiple thereof) below designated, into, at the Company’s election, cash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13.02(d) and Section 13.02(e) of the Indenture. Any amount required to be paid to the undersigned on account of interest accompanies this Note. Capitalized terms used herein but not defined shall have the meanings ascribed to such terms in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306070</wp:posOffset>
            </wp:positionV>
            <wp:extent cx="29317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6518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ind w:right="5300"/>
        <w:spacing w:after="0" w:line="255" w:lineRule="auto"/>
        <w:rPr>
          <w:sz w:val="20"/>
          <w:szCs w:val="20"/>
          <w:color w:val="auto"/>
        </w:rPr>
      </w:pPr>
      <w:r>
        <w:rPr>
          <w:rFonts w:ascii="Arial" w:cs="Arial" w:eastAsia="Arial" w:hAnsi="Arial"/>
          <w:sz w:val="18"/>
          <w:szCs w:val="18"/>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p>
      <w:pPr>
        <w:sectPr>
          <w:pgSz w:w="11900" w:h="16838" w:orient="portrait"/>
          <w:cols w:equalWidth="0" w:num="1">
            <w:col w:w="11020"/>
          </w:cols>
          <w:pgMar w:left="440" w:top="270" w:right="4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Fill in for registration of shares if to be issued, and Notes if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 delivered, other than to and in the name of the 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9317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9317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9317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amount to be converted (if less than all):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-19050</wp:posOffset>
            </wp:positionV>
            <wp:extent cx="10566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6"/>
          <w:szCs w:val="16"/>
          <w:color w:val="auto"/>
        </w:rPr>
        <w:t>NOTICE: The above signature(s) of the Holder(s) hereof must correspond</w:t>
      </w:r>
    </w:p>
    <w:p>
      <w:pPr>
        <w:spacing w:after="0" w:line="4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with the name as written upon the face of the Note in every particular</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280035</wp:posOffset>
            </wp:positionV>
            <wp:extent cx="3497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Social Security or Other Taxpayer Identification Number</w:t>
      </w:r>
    </w:p>
    <w:p>
      <w:pPr>
        <w:sectPr>
          <w:pgSz w:w="11900" w:h="16838" w:orient="portrait"/>
          <w:cols w:equalWidth="0" w:num="1">
            <w:col w:w="10840"/>
          </w:cols>
          <w:pgMar w:left="440" w:top="274" w:right="6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FUNDAMENTAL CHANGE REPURCHASE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Dropbox,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California Street,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 Jason (Dropbox, Inc. 0% Convertible Senior Notes due 2028)</w:t>
      </w:r>
    </w:p>
    <w:p>
      <w:pPr>
        <w:spacing w:after="0" w:line="207"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The undersigned registered owner of this Note hereby acknowledges receipt of a notice from Dropbox, Inc.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14.02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Business Day immediately following the corresponding Special Interest Payment Date, accrued and unpaid Special Interest, if any, thereon to, but excluding, such Fundamental Change Repurchase Date. Capitalized terms used herein but not defined shall have the meanings ascribed to such terms in the Indenture.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7715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426085</wp:posOffset>
            </wp:positionV>
            <wp:extent cx="27946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Identification Number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amount to be repurchased (if less than all):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NOTICE: The above signature(s) of the Holder(s) hereof</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must correspond with the name as written upon the face of</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enlargement or any change whatever.</w:t>
      </w:r>
    </w:p>
    <w:p>
      <w:pPr>
        <w:sectPr>
          <w:pgSz w:w="11900" w:h="16838" w:orient="portrait"/>
          <w:cols w:equalWidth="0" w:num="1">
            <w:col w:w="11020"/>
          </w:cols>
          <w:pgMar w:left="440" w:top="270" w:right="4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ASSIGNMENT AND TRANSFER]</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California Street, Suite 1000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D. Jason (Dropbox, Inc. 0% Convertible Senior Notes due 2028)</w:t>
      </w:r>
    </w:p>
    <w:p>
      <w:pPr>
        <w:sectPr>
          <w:pgSz w:w="11900" w:h="16838" w:orient="portrait"/>
          <w:cols w:equalWidth="0" w:num="1">
            <w:col w:w="11024"/>
          </w:cols>
          <w:pgMar w:left="436" w:top="270" w:right="439" w:bottom="1440" w:gutter="0" w:footer="0" w:header="0"/>
        </w:sectPr>
      </w:pP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For value received hereby sell(s), assign(s) and transfer(s) unto of assignee) the within Note, and hereby irrevocably constitutes and appoints (the “</w:t>
      </w:r>
      <w:r>
        <w:rPr>
          <w:rFonts w:ascii="Arial" w:cs="Arial" w:eastAsia="Arial" w:hAnsi="Arial"/>
          <w:sz w:val="17"/>
          <w:szCs w:val="17"/>
          <w:b w:val="1"/>
          <w:bCs w:val="1"/>
          <w:color w:val="auto"/>
        </w:rPr>
        <w:t>Company</w:t>
      </w:r>
      <w:r>
        <w:rPr>
          <w:rFonts w:ascii="Arial" w:cs="Arial" w:eastAsia="Arial" w:hAnsi="Arial"/>
          <w:sz w:val="17"/>
          <w:szCs w:val="17"/>
          <w:color w:val="auto"/>
        </w:rPr>
        <w:t>”), with full power of substitution in the premises.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firstLine="106"/>
        <w:spacing w:after="0" w:line="342" w:lineRule="auto"/>
        <w:rPr>
          <w:sz w:val="20"/>
          <w:szCs w:val="20"/>
          <w:color w:val="auto"/>
        </w:rPr>
      </w:pPr>
      <w:r>
        <w:rPr>
          <w:rFonts w:ascii="Arial" w:cs="Arial" w:eastAsia="Arial" w:hAnsi="Arial"/>
          <w:sz w:val="16"/>
          <w:szCs w:val="16"/>
          <w:color w:val="auto"/>
        </w:rPr>
        <w:t>(Please insert social security or Taxpayer Identification Number attorney to transfer the said Note on the books of Dropbox, Inc.</w:t>
      </w:r>
    </w:p>
    <w:p>
      <w:pPr>
        <w:spacing w:after="0" w:line="339" w:lineRule="exact"/>
        <w:rPr>
          <w:sz w:val="20"/>
          <w:szCs w:val="20"/>
          <w:color w:val="auto"/>
        </w:rPr>
      </w:pPr>
    </w:p>
    <w:p>
      <w:pPr>
        <w:sectPr>
          <w:pgSz w:w="11900" w:h="16838" w:orient="portrait"/>
          <w:cols w:equalWidth="0" w:num="2">
            <w:col w:w="5664" w:space="600"/>
            <w:col w:w="4760"/>
          </w:cols>
          <w:pgMar w:left="436" w:top="270" w:right="439" w:bottom="1440" w:gutter="0" w:footer="0" w:header="0"/>
          <w:type w:val="continuous"/>
        </w:sectPr>
      </w:pPr>
    </w:p>
    <w:p>
      <w:pPr>
        <w:ind w:left="4" w:right="720" w:firstLine="440"/>
        <w:spacing w:after="0" w:line="277" w:lineRule="auto"/>
        <w:rPr>
          <w:sz w:val="20"/>
          <w:szCs w:val="20"/>
          <w:color w:val="auto"/>
        </w:rPr>
      </w:pPr>
      <w:r>
        <w:rPr>
          <w:rFonts w:ascii="Arial" w:cs="Arial" w:eastAsia="Arial" w:hAnsi="Arial"/>
          <w:sz w:val="18"/>
          <w:szCs w:val="18"/>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97" w:lineRule="exact"/>
        <w:rPr>
          <w:sz w:val="20"/>
          <w:szCs w:val="20"/>
          <w:color w:val="auto"/>
        </w:rPr>
      </w:pPr>
    </w:p>
    <w:p>
      <w:pPr>
        <w:ind w:left="424" w:hanging="424"/>
        <w:spacing w:after="0"/>
        <w:tabs>
          <w:tab w:leader="none" w:pos="424" w:val="left"/>
        </w:tabs>
        <w:numPr>
          <w:ilvl w:val="0"/>
          <w:numId w:val="173"/>
        </w:numPr>
        <w:rPr>
          <w:rFonts w:ascii="MS PGothic" w:cs="MS PGothic" w:eastAsia="MS PGothic" w:hAnsi="MS PGothic"/>
          <w:sz w:val="18"/>
          <w:szCs w:val="18"/>
          <w:color w:val="auto"/>
        </w:rPr>
      </w:pPr>
      <w:r>
        <w:rPr>
          <w:rFonts w:ascii="Arial" w:cs="Arial" w:eastAsia="Arial" w:hAnsi="Arial"/>
          <w:sz w:val="18"/>
          <w:szCs w:val="18"/>
          <w:color w:val="auto"/>
        </w:rPr>
        <w:t>To the Company or a subsidiary thereof; or</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73"/>
        </w:numPr>
        <w:rPr>
          <w:rFonts w:ascii="MS PGothic" w:cs="MS PGothic" w:eastAsia="MS PGothic" w:hAnsi="MS PGothic"/>
          <w:sz w:val="18"/>
          <w:szCs w:val="18"/>
          <w:color w:val="auto"/>
        </w:rPr>
      </w:pPr>
      <w:r>
        <w:rPr>
          <w:rFonts w:ascii="Arial" w:cs="Arial" w:eastAsia="Arial" w:hAnsi="Arial"/>
          <w:sz w:val="18"/>
          <w:szCs w:val="18"/>
          <w:color w:val="auto"/>
        </w:rPr>
        <w:t>Pursuant to a registration statement that has become or been declared effective under the Securities Act of 1933, as amended; or</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73"/>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144A under the Securities Act of 1933, as amended; or</w:t>
      </w:r>
    </w:p>
    <w:p>
      <w:pPr>
        <w:spacing w:after="0" w:line="252" w:lineRule="exact"/>
        <w:rPr>
          <w:rFonts w:ascii="MS PGothic" w:cs="MS PGothic" w:eastAsia="MS PGothic" w:hAnsi="MS PGothic"/>
          <w:sz w:val="18"/>
          <w:szCs w:val="18"/>
          <w:color w:val="auto"/>
        </w:rPr>
      </w:pPr>
    </w:p>
    <w:p>
      <w:pPr>
        <w:ind w:left="424" w:right="60" w:hanging="424"/>
        <w:spacing w:after="0" w:line="277" w:lineRule="auto"/>
        <w:tabs>
          <w:tab w:leader="none" w:pos="424" w:val="left"/>
        </w:tabs>
        <w:numPr>
          <w:ilvl w:val="0"/>
          <w:numId w:val="173"/>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27946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717550</wp:posOffset>
            </wp:positionV>
            <wp:extent cx="27946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-10160</wp:posOffset>
            </wp:positionV>
            <wp:extent cx="17138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386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126365</wp:posOffset>
            </wp:positionV>
            <wp:extent cx="8280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7946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Signature(s) must be guaranteed by an eligible Guarantor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Institution (banks, stockbrokers, savings and loan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associations and credit unions) with membership in 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approved signature guarantee medallion program pursuant to</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 Rule 17Ad-15 if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 are to be delivered, other than to and in the name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registered holder.</w:t>
      </w:r>
    </w:p>
    <w:p>
      <w:pPr>
        <w:spacing w:after="0" w:line="21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ectPr>
          <w:pgSz w:w="11900" w:h="16838" w:orient="portrait"/>
          <w:cols w:equalWidth="0" w:num="1">
            <w:col w:w="11024"/>
          </w:cols>
          <w:pgMar w:left="436" w:top="270" w:right="4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0% Convertible Senior Notes due 2026</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0% Convertible Senior Notes due 2028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Initial Purchasers listed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Dropbox, Inc., a Delaware corporation (the “Company”), proposes to issue and sell to the several initial purchasers listed in Schedule 1 hereto (the “Initial Purchasers”), for whom you are acting as representatives (the “Representatives”), $653,000,000 principal amount of its 0% Convertible Senior Notes due 2026 (the “2026 Notes”) and $653,000,000 principal amount of its 0% Convertible Senior Notes due 2028 (the “2028 Notes” and, together with the 2026 Notes, the “Firm Securities”) and, at the option of the Initial Purchasers, up to an additional $65,300,000 principal amount of its 0% Convertible Senior Notes due 2026 (the “2026 Option Notes”) and $65,300,000 principal amount of its 0% Convertible Senior Notes due 2028 (the “2028 Option Notes” and, together with the 2026 Option Notes, the “Option Securities”). The Firm Securities and the Option Securities are herein referred to as the “Securities”. The Securities will be convertible into cash or a combination of cash and shares of Class A common stock of the Company, par value $0.00001 per share (the “Common Stock”), at the Company’s election, as set forth in the relevant Indenture (as defined below). Any Common Stock into which the Securities are convertible into are referred to herein as the “Underlying Securities.” The 2026 Notes will be issued pursuant to an indenture to be dated as of February 26, 2021 (the “2026 Indenture”), between the Company and U.S. Bank National Association as trustee (the “Trustee”) and the 2028 Notes will be issued pursuant to an indenture to be dated as of February 26, 2021, between the Company and the Trustee (the “2028 Indenture” and, together with the 2026 Indenture, the “Indentures”).</w:t>
      </w:r>
    </w:p>
    <w:p>
      <w:pPr>
        <w:sectPr>
          <w:pgSz w:w="11900" w:h="16838" w:orient="portrait"/>
          <w:cols w:equalWidth="0" w:num="1">
            <w:col w:w="11020"/>
          </w:cols>
          <w:pgMar w:left="440" w:top="121" w:right="439" w:bottom="1440" w:gutter="0" w:footer="0" w:header="0"/>
        </w:sectPr>
      </w:pPr>
    </w:p>
    <w:bookmarkStart w:id="182" w:name="page183"/>
    <w:bookmarkEnd w:id="18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hereby confirms its agreement with the several Initial Purchasers concerning the purchase and sale of the Securities, as follows:</w:t>
      </w:r>
    </w:p>
    <w:p>
      <w:pPr>
        <w:spacing w:after="0" w:line="140" w:lineRule="exact"/>
        <w:rPr>
          <w:sz w:val="20"/>
          <w:szCs w:val="20"/>
          <w:color w:val="auto"/>
        </w:rPr>
      </w:pPr>
    </w:p>
    <w:p>
      <w:pPr>
        <w:ind w:firstLine="436"/>
        <w:spacing w:after="0" w:line="287" w:lineRule="auto"/>
        <w:tabs>
          <w:tab w:leader="none" w:pos="62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Offering Memorandum and Transaction Information</w:t>
      </w:r>
      <w:r>
        <w:rPr>
          <w:rFonts w:ascii="Arial" w:cs="Arial" w:eastAsia="Arial" w:hAnsi="Arial"/>
          <w:sz w:val="16"/>
          <w:szCs w:val="16"/>
          <w:color w:val="auto"/>
        </w:rPr>
        <w:t>. The Securities will be sold to the Initial Purchasers without being registered under the Securities Act of 1933, as amended (the “Securities Act”), in reliance upon an exemption therefrom. The Company has prepared a preliminary offering memorandum dated February 22, 2021 (the “Preliminary Offering Memorandum”) and has prepared an offering memorandum dated the date hereof (the “Offering Memorandum”) setting forth or incorporating by reference information concerning the Company and the Securities. Copies of the Preliminary Offering Memorandum have been, and copies of the Offering Memorandum will be, delivered by the Company to the Initial Purchasers pursuant to the terms of this purchase agreement (this “Agreement”). The Company hereby confirms that it has authorized the use of the Preliminary Offering Memorandum, the other Time of Sale Information (as defined below) and the Offering Memorandum in connection with the offering and resale of the Securities by the Initial Purchasers in the manner contemplated by this Agreement. References herein to the Preliminary Offering Memorandum, the Time of Sale Information and the Offering Memorandum shall be deemed to refer to and include any document incorporated by reference therein and any reference to “amend,” “amendment” or “supplement” with respect to the Preliminary Offering Memorandum or the Offering Memorandum shall be deemed to refer to and include any documents filed after such date and incorporated by reference therein.</w:t>
      </w:r>
    </w:p>
    <w:p>
      <w:pPr>
        <w:spacing w:after="0" w:line="172"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At or prior to the time when sales of the Securities were first made (the “Time of Sale”), the Company had prepared the following information (collectively, the “Time of Sale Information”): the Preliminary Offering Memorandum, as supplemented and amended by the written communications listed on Annex A hereto. For purposes of this Agreement, the “Time of Sale” is 10:35 P.M. New York City time on the date of this Agreement.</w:t>
      </w:r>
    </w:p>
    <w:p>
      <w:pPr>
        <w:spacing w:after="0" w:line="41" w:lineRule="exact"/>
        <w:rPr>
          <w:sz w:val="20"/>
          <w:szCs w:val="20"/>
          <w:color w:val="auto"/>
        </w:rPr>
      </w:pPr>
    </w:p>
    <w:p>
      <w:pPr>
        <w:ind w:right="100" w:firstLine="436"/>
        <w:spacing w:after="0" w:line="272" w:lineRule="auto"/>
        <w:tabs>
          <w:tab w:leader="none" w:pos="62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Purchase and Resale of the Securities by the Initial Purchasers</w:t>
      </w:r>
      <w:r>
        <w:rPr>
          <w:rFonts w:ascii="Arial" w:cs="Arial" w:eastAsia="Arial" w:hAnsi="Arial"/>
          <w:sz w:val="17"/>
          <w:szCs w:val="17"/>
          <w:color w:val="auto"/>
        </w:rPr>
        <w:t>. (a) The Company agrees to issue and sell the Firm Securities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principal amount of Firm Securities set forth opposite such Initial Purchaser’s name in Schedule 1 hereto at a price equal to (i) in the case of the 2026 Notes, 98.5% of the principal amount thereof (the “2026 Purchase Price”) and (ii) in the case of the 2028 Notes, 98.5% of the principal amount thereof (the “2028 Purchase Price” and, each of the 2026 Purchase Price and the 2028 Purchase Price, as applicable, the “Purchase Price”) plus accrued interest, if any, from February 26, 2021 to the Closing Date (as defined below).</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addition, the Company agrees to issue and sell the Option Securities to the several Initial Purchasers as provided in this Agreement, and the Initial Purchasers, on the basis of the representations, warranties and agreements set forth herein and subject to the conditions set forth herein, shall have the option to purchase, severally and not jointly, from the Company the Option Securities at the Purchase Price plus accrued interest, if any, from the Closing Date to the date of payment and delivery.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83" w:name="page184"/>
    <w:bookmarkEnd w:id="18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Option Securities are to be purchased, the principal amount of Option Securities to be purchased by each Initial Purchaser shall be the principal amount of the applicable Option Securities which bears the same ratio to the aggregate principal amount of such Option Securities being purchased as the principal amount of the applicable Firm Securities as set forth opposite the name of such Initial Purchaser in Schedule 1 hereto (or such amount increased as set forth in Section 10 hereof) bears to the aggregate principal amount of Firm Securities being purchased from the Company by the several Initial Purchasers, subject, however, to such adjustments to eliminate Securities in denominations other than $1,000 as the Representatives in their sole discretion shall make.</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Initial Purchasers may exercise the option to purchase Option Securities at any time in whole, or from time to time in part, on or before the thirteenth day following the date of this Agreement, by written notice from the Representatives to the Company. Such notice shall set forth the aggregate principal amount of Option Securities plus accrued interest as to which the option is being exercised and the date and time when such Option Securities are to be delivered and paid for which may be the same date and time as the Closing Date (as hereinafter defined) but shall not be earlier than the Closing Date nor later than the thirteenth full calendar day after the Closing Date (unless such time and date are postponed in accordance with the provisions of Section 10 hereof). Any such notice shall be given at least one Business Day (as defined below) prior to the date and time of delivery specified therein.</w:t>
      </w:r>
    </w:p>
    <w:p>
      <w:pPr>
        <w:spacing w:after="0" w:line="195" w:lineRule="exact"/>
        <w:rPr>
          <w:sz w:val="20"/>
          <w:szCs w:val="20"/>
          <w:color w:val="auto"/>
        </w:rPr>
      </w:pPr>
    </w:p>
    <w:p>
      <w:pPr>
        <w:ind w:right="700" w:firstLine="436"/>
        <w:spacing w:after="0" w:line="277"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Company understands that the Initial Purchasers intend to offer the Securities for resale on the terms set forth in the Time of Sale Information. Each Initial Purchaser, severally and not jointly, represents, warrants and agrees that:</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07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it is a qualified institutional buyer within the meaning of Rule 144A under the Securities Act (a “QIB”) and an accredited investor within the meaning of Rule 501(a) of Regulation D under the Securities Act (“Regulation D”);</w:t>
      </w:r>
    </w:p>
    <w:p>
      <w:pPr>
        <w:spacing w:after="0" w:line="62" w:lineRule="exact"/>
        <w:rPr>
          <w:rFonts w:ascii="Arial" w:cs="Arial" w:eastAsia="Arial" w:hAnsi="Arial"/>
          <w:sz w:val="18"/>
          <w:szCs w:val="18"/>
          <w:color w:val="auto"/>
        </w:rPr>
      </w:pPr>
    </w:p>
    <w:p>
      <w:pPr>
        <w:ind w:left="440" w:right="100" w:firstLine="419"/>
        <w:spacing w:after="0" w:line="263" w:lineRule="auto"/>
        <w:tabs>
          <w:tab w:leader="none" w:pos="112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it has not solicited offers for, or offered or sold, and will not solicit offers for, or offer or sell, the Securities by means of any form of general solicitation or general advertising within the meaning of Rule 502(c) of Regulation D or in any manner involving a public offering within the meaning of Section 4(a)(2) of the Securities Act; and</w:t>
      </w:r>
    </w:p>
    <w:p>
      <w:pPr>
        <w:spacing w:after="0" w:line="75" w:lineRule="exact"/>
        <w:rPr>
          <w:rFonts w:ascii="Arial" w:cs="Arial" w:eastAsia="Arial" w:hAnsi="Arial"/>
          <w:sz w:val="18"/>
          <w:szCs w:val="18"/>
          <w:color w:val="auto"/>
        </w:rPr>
      </w:pPr>
    </w:p>
    <w:p>
      <w:pPr>
        <w:ind w:left="440" w:right="120" w:firstLine="419"/>
        <w:spacing w:after="0" w:line="259" w:lineRule="auto"/>
        <w:tabs>
          <w:tab w:leader="none" w:pos="117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it has not solicited offers for, or offered or sold, and will not solicit offers for, or offer or sell, the Securities as part of their initial offering except to persons whom it reasonably believes to be QIBs in transactions pursuant to Rule 144A under the Securities Act (“Rule 144A”) and in connection with each such sale, it has taken or will take reasonable steps to ensure that the purchaser of the Securities is aware that such sale is being made in reliance on Rule 144A.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84" w:name="page185"/>
    <w:bookmarkEnd w:id="184"/>
    <w:p>
      <w:pPr>
        <w:ind w:firstLine="436"/>
        <w:spacing w:after="0" w:line="259"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Initial Purchaser acknowledges and agrees that the Company and, for purposes of the opinions to be delivered to the Initial Purchasers pursuant to Sections 6(f) and 6(g), counsel for the Company and counsel for the Initial Purchasers, respectively, may rely upon the accuracy of the representations and warranties of the Initial Purchasers, and compliance by the Initial Purchasers with their agreements, contained in Section 2(b) above, and each Initial Purchaser hereby consents to such reliance.</w:t>
      </w:r>
    </w:p>
    <w:p>
      <w:pPr>
        <w:spacing w:after="0" w:line="78" w:lineRule="exact"/>
        <w:rPr>
          <w:rFonts w:ascii="Arial" w:cs="Arial" w:eastAsia="Arial" w:hAnsi="Arial"/>
          <w:sz w:val="18"/>
          <w:szCs w:val="18"/>
          <w:color w:val="auto"/>
        </w:rPr>
      </w:pPr>
    </w:p>
    <w:p>
      <w:pPr>
        <w:ind w:right="640" w:firstLine="436"/>
        <w:spacing w:after="0" w:line="308" w:lineRule="auto"/>
        <w:tabs>
          <w:tab w:leader="none" w:pos="69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acknowledges and agrees that the Initial Purchasers may offer and sell Securities to or through any affiliate of an Initial Purchaser and that any such affiliate may offer and sell Securities purchased by it to or through any Initial Purchaser.</w:t>
      </w:r>
    </w:p>
    <w:p>
      <w:pPr>
        <w:spacing w:after="0" w:line="38" w:lineRule="exact"/>
        <w:rPr>
          <w:rFonts w:ascii="Arial" w:cs="Arial" w:eastAsia="Arial" w:hAnsi="Arial"/>
          <w:sz w:val="17"/>
          <w:szCs w:val="17"/>
          <w:color w:val="auto"/>
        </w:rPr>
      </w:pPr>
    </w:p>
    <w:p>
      <w:pPr>
        <w:ind w:right="80" w:firstLine="436"/>
        <w:spacing w:after="0" w:line="272" w:lineRule="auto"/>
        <w:tabs>
          <w:tab w:leader="none" w:pos="68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 Representatives in the case of the Firm Securities, at the offices of Simpson Thacher &amp; Bartlett LLP, 2475 Hanover Street, Palo Alto, California 94304 at 10:00 A.M. New York City time on February 26, 2021, or at such other time or place on the same or such other date, not later than the fifth Business Day thereafter, as the Representatives and the Company may agree upon in writing or, in the case of any Option Securities, on the date and at the time and place specified by the Representatives in the written notice of the Initial Purchasers’ election to purchase such Option Securities. The time and date of such payment for the Firm Securities is referred to herein as the “Closing Date” and the time and date for such payment for any Option Securities, if other than the Closing Date, is herein referred to as the “Additional Closing Date”.</w:t>
      </w:r>
    </w:p>
    <w:p>
      <w:pPr>
        <w:spacing w:after="0" w:line="17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Payment for the Securities to be purchased on the Closing Date or the Additional Closing Date, as the case may be, shall be made by wire transfer in immediately available funds to the account specified by the Company to the Representatives against delivery to the nominee of The Depository Trust Company (“DTC”), for the respective accounts of the several Initial Purchasers of the Securities to be purchased on such date of one or more global notes representing the Securities (collectively, the “Global Note”), with any transfer taxes payable in connection with the sale of such Securities to the Initial Purchasers duly paid by the Company. The Global Note will be made available for inspection by the Representatives at the office of J.P. Morgan Securities LLC set forth above not later than 1:00 P.M., New York City time, on the Business Day prior to the Closing Date or the Additional Closing Date, as the case may be.</w:t>
      </w:r>
    </w:p>
    <w:p>
      <w:pPr>
        <w:spacing w:after="0" w:line="87" w:lineRule="exact"/>
        <w:rPr>
          <w:sz w:val="20"/>
          <w:szCs w:val="20"/>
          <w:color w:val="auto"/>
        </w:rPr>
      </w:pPr>
    </w:p>
    <w:p>
      <w:pPr>
        <w:ind w:firstLine="436"/>
        <w:spacing w:after="0" w:line="253" w:lineRule="auto"/>
        <w:tabs>
          <w:tab w:leader="none" w:pos="66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acknowledges and agrees that each Initial Purchaser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Initial Purchaser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Initial Purchasers shall have no responsibility or liability to the Company with respect thereto. Any review by the Representatives or any Initial Purchaser of the Company, the transactions contemplated hereby or other matters relating to such transactions will be performed solely for the benefit of the Representatives or such Initial Purchaser and shall not be on behalf of the Company or any other person.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85" w:name="page186"/>
    <w:bookmarkEnd w:id="18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Initial Purchaser that:</w:t>
      </w:r>
    </w:p>
    <w:p>
      <w:pPr>
        <w:spacing w:after="0" w:line="117" w:lineRule="exact"/>
        <w:rPr>
          <w:sz w:val="20"/>
          <w:szCs w:val="20"/>
          <w:color w:val="auto"/>
        </w:rPr>
      </w:pPr>
    </w:p>
    <w:p>
      <w:pPr>
        <w:ind w:left="-20" w:right="80" w:firstLine="436"/>
        <w:spacing w:after="0" w:line="273" w:lineRule="auto"/>
        <w:tabs>
          <w:tab w:leader="none" w:pos="665"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Preliminary Offering Memorandum. </w:t>
      </w:r>
      <w:r>
        <w:rPr>
          <w:rFonts w:ascii="Arial" w:cs="Arial" w:eastAsia="Arial" w:hAnsi="Arial"/>
          <w:sz w:val="17"/>
          <w:szCs w:val="17"/>
          <w:color w:val="auto"/>
        </w:rPr>
        <w:t>The Preliminary Offering Memorandum, as of its date, did not contain any untrue statement of a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Representatives expressly for use in any Preliminary Offering Memorandum, it being understood and agreed that the only such information furnished by any Initial Purchaser consists of the information described as such in Section 7(b) hereof.</w:t>
      </w:r>
    </w:p>
    <w:p>
      <w:pPr>
        <w:spacing w:after="0" w:line="69" w:lineRule="exact"/>
        <w:rPr>
          <w:rFonts w:ascii="Arial" w:cs="Arial" w:eastAsia="Arial" w:hAnsi="Arial"/>
          <w:sz w:val="17"/>
          <w:szCs w:val="17"/>
          <w:color w:val="auto"/>
        </w:rPr>
      </w:pPr>
    </w:p>
    <w:p>
      <w:pPr>
        <w:ind w:left="-20" w:right="80" w:firstLine="436"/>
        <w:spacing w:after="0" w:line="290" w:lineRule="auto"/>
        <w:tabs>
          <w:tab w:leader="none" w:pos="675"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Time of Sale Information</w:t>
      </w:r>
      <w:r>
        <w:rPr>
          <w:rFonts w:ascii="Arial" w:cs="Arial" w:eastAsia="Arial" w:hAnsi="Arial"/>
          <w:sz w:val="16"/>
          <w:szCs w:val="16"/>
          <w:color w:val="auto"/>
        </w:rPr>
        <w:t>. The Time of Sale Information, at the Time of Sale, did not, and at the Closing Date and as of the Additional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Initial Purchaser furnished to the Company in writing by such Initial Purchaser through the Representatives expressly for use in such Time of Sale Information, it being understood and agreed that the only such information furnished by any Initial Purchaser consists of the information described as such in Section 7(b) hereof. No statement of material fact included in the Offering Memorandum has been omitted from the Time of Sale Information and no statement of material fact included in the Time of Sale Information that is required to be included in the Offering Memorandum has been omitted therefrom.</w:t>
      </w:r>
    </w:p>
    <w:p>
      <w:pPr>
        <w:spacing w:after="0" w:line="57" w:lineRule="exact"/>
        <w:rPr>
          <w:rFonts w:ascii="Arial" w:cs="Arial" w:eastAsia="Arial" w:hAnsi="Arial"/>
          <w:sz w:val="16"/>
          <w:szCs w:val="16"/>
          <w:color w:val="auto"/>
        </w:rPr>
      </w:pPr>
    </w:p>
    <w:p>
      <w:pPr>
        <w:ind w:left="-20" w:firstLine="436"/>
        <w:spacing w:after="0" w:line="269" w:lineRule="auto"/>
        <w:tabs>
          <w:tab w:leader="none" w:pos="665"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Additional Written Communications. </w:t>
      </w:r>
      <w:r>
        <w:rPr>
          <w:rFonts w:ascii="Arial" w:cs="Arial" w:eastAsia="Arial" w:hAnsi="Arial"/>
          <w:sz w:val="17"/>
          <w:szCs w:val="17"/>
          <w:color w:val="auto"/>
        </w:rPr>
        <w:t>Other than the Preliminary Offering Memorandum and the Offering Memorandum,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its agents and representatives, other than the Initial Purchasers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Written Communication”) other than (i) the Preliminary Offering Memorandum, (ii) the Offering Memorandum, (iii) the documents listed on Annex A hereto, including a term sheet substantially in the form of Annex B hereto, which constitute part of the Time of Sale Information, and (iv) each electronic road show and any other written communications approved in writing in advance by the Representatives, in each case used in accordance with Section 4(c) hereof. Each such Issuer Written Communication does not conflict with the information contained in the Time of Sale Information, at the Time of Sale, and when taken together with the Time of Sale Information at the Time of Sale, did not, and at the Closing Date and as of the Additional Closing Date, as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186" w:name="page187"/>
    <w:bookmarkEnd w:id="18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 made in each such Issuer Written Communication in reliance upon and in conformity with information relating to any Initial Purchaser furnished to the Company in writing by such Initial Purchaser through the Representatives expressly for use in such Issuer Written Communication, it being understood and agreed that the only such information furnished by any Initial Purchaser consists of the information described as such in Section 7(b) hereof.</w:t>
      </w:r>
    </w:p>
    <w:p>
      <w:pPr>
        <w:spacing w:after="0" w:line="84" w:lineRule="exact"/>
        <w:rPr>
          <w:sz w:val="20"/>
          <w:szCs w:val="20"/>
          <w:color w:val="auto"/>
        </w:rPr>
      </w:pPr>
    </w:p>
    <w:p>
      <w:pPr>
        <w:ind w:firstLine="436"/>
        <w:spacing w:after="0" w:line="254"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Offering Memorandum. </w:t>
      </w:r>
      <w:r>
        <w:rPr>
          <w:rFonts w:ascii="Arial" w:cs="Arial" w:eastAsia="Arial" w:hAnsi="Arial"/>
          <w:sz w:val="18"/>
          <w:szCs w:val="18"/>
          <w:color w:val="auto"/>
        </w:rPr>
        <w:t>As of the date of the Offering Memorandum and as of the Closing Date and as of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case may be, the Offering Memorandum does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Representatives expressly for use in the Offering Memorandum, it being understood and agreed that the only such information furnished by any Initial Purchaser consists of the information described as such in Section 7(b) hereof.</w:t>
      </w:r>
    </w:p>
    <w:p>
      <w:pPr>
        <w:spacing w:after="0" w:line="86" w:lineRule="exact"/>
        <w:rPr>
          <w:rFonts w:ascii="Arial" w:cs="Arial" w:eastAsia="Arial" w:hAnsi="Arial"/>
          <w:sz w:val="18"/>
          <w:szCs w:val="18"/>
          <w:color w:val="auto"/>
        </w:rPr>
      </w:pPr>
    </w:p>
    <w:p>
      <w:pPr>
        <w:ind w:right="80" w:firstLine="436"/>
        <w:spacing w:after="0" w:line="254" w:lineRule="auto"/>
        <w:tabs>
          <w:tab w:leader="none" w:pos="685"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Incorporated Documents. </w:t>
      </w:r>
      <w:r>
        <w:rPr>
          <w:rFonts w:ascii="Arial" w:cs="Arial" w:eastAsia="Arial" w:hAnsi="Arial"/>
          <w:sz w:val="18"/>
          <w:szCs w:val="18"/>
          <w:color w:val="auto"/>
        </w:rPr>
        <w:t>The documents incorporated by reference in the Offering Memorandum and the Time of Sale Information,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when they were filed with the Securities and Exchange Commission (the “Commission”), or as subsequently amended prior to the Time of Sale conformed or will conform, as the case may be, in all material respects to the requirements of the Securities Exchange Act of 1934, as amended, and the rules and regulations of the Commission thereunder (collectively, the “Exchange Act”) and such documents did not, at the time they were filed or subsequently amended, as the case may be, and will not, at the time they were filed or subsequently amended, as the case may be, contain any untrue statement of a material fact or omit to state a material fact necessary to make the statements therein, in the light of the circumstances under which they were made, not misleading.</w:t>
      </w:r>
    </w:p>
    <w:p>
      <w:pPr>
        <w:spacing w:after="0" w:line="86" w:lineRule="exact"/>
        <w:rPr>
          <w:rFonts w:ascii="Arial" w:cs="Arial" w:eastAsia="Arial" w:hAnsi="Arial"/>
          <w:sz w:val="18"/>
          <w:szCs w:val="18"/>
          <w:color w:val="auto"/>
        </w:rPr>
      </w:pPr>
    </w:p>
    <w:p>
      <w:pPr>
        <w:ind w:right="40" w:firstLine="436"/>
        <w:spacing w:after="0" w:line="271" w:lineRule="auto"/>
        <w:tabs>
          <w:tab w:leader="none" w:pos="665"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together with the related schedules and notes of the Company and its subsidiaries included or</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by reference in each of the Time of Sale Information and the Offering Memorandum present fairly in all material respects the consolidated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included or incorporated by reference in the Time of Sale Information and the Offering Memorandum present fairly in all material respects the information required to be stated therein in accordance with GAAP. The selected financial data and the summary financial information included or incorporated by reference in the Time of Sale Information and the Offering Memorandum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87" w:name="page188"/>
    <w:bookmarkEnd w:id="187"/>
    <w:p>
      <w:pPr>
        <w:ind w:left="4"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present fairly the information shown therein and have been compiled on a basis consistent with that of the audited financial statements included or incorporated by reference therein. No other historical or pro forma financial statements or supporting schedules are required to be included in the Time of Sale Information or the Offering Memorandum under the Securities Act or the rules and regulations promulgated thereunder. All disclosures contained in the Time of Sale Information and the Offering Memorandum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84" w:lineRule="exact"/>
        <w:rPr>
          <w:sz w:val="20"/>
          <w:szCs w:val="20"/>
          <w:color w:val="auto"/>
        </w:rPr>
      </w:pPr>
    </w:p>
    <w:p>
      <w:pPr>
        <w:ind w:left="4" w:firstLine="436"/>
        <w:spacing w:after="0" w:line="284" w:lineRule="auto"/>
        <w:tabs>
          <w:tab w:leader="none" w:pos="699"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Neither the Company nor any of its subsidiaries has, since the date of the latest audited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or incorporated by reference in each of the Time of Sale Information and the Offering Memorandum,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Time of Sale Information and the Offering Memorandum; and, since the respective dates as of which information is given in the Time of Sale Information and the Offering Memorandum, there has not been</w:t>
      </w:r>
    </w:p>
    <w:p>
      <w:pPr>
        <w:spacing w:after="0" w:line="2" w:lineRule="exact"/>
        <w:rPr>
          <w:rFonts w:ascii="Arial" w:cs="Arial" w:eastAsia="Arial" w:hAnsi="Arial"/>
          <w:sz w:val="16"/>
          <w:szCs w:val="16"/>
          <w:color w:val="auto"/>
        </w:rPr>
      </w:pPr>
    </w:p>
    <w:p>
      <w:pPr>
        <w:ind w:left="4" w:hanging="4"/>
        <w:spacing w:after="0" w:line="281" w:lineRule="auto"/>
        <w:tabs>
          <w:tab w:leader="none" w:pos="25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change in the capital stock (other than as a result of (i) the exercise or settlement (including any “net” or “cashless” exercises or settlements) of stock options or restricted stock units or the award, if any, of stock options or restricted stock units in the ordinary course of business, in each case pursuant to the Company’s equity plans that are described in the Time of Sale Information and the Offering Memorandum, (ii) the repurchase of shares of capital stock (A) pursuant to agreements providing for an option to repurchase or a right of first refusal on behalf of the Company pursuant to the Company’s repurchase rights, (B) in connection with the (x) offering of the Firm Securities, convertible note hedge transactions (a “Base Bond Hedge Confirmation”) and warrant transactions (a “Base Warrant Confirmation”) that the Company may enter into with one or more counterparties, which may include the Initial Purchasers or affiliates thereof (each, a “Call Spread Counterparty”) as of the date hereof and (y) the issuance of any Option Securities, additional convertible note hedge transactions and additional warrant transactions, in each case pursuant to an additional convertible note hedge confirmation (an “Additional Bond Hedge Confirmation”) and an additional warrant confirmation (an “Additional Warrant Confirmation” and, together with the Base Bond Hedge Confirmations, Base Warrant Confirmations and the Additional Bond Hedge Confirmations, the “Call Spread Confirmations”) to be entered into by the Company and each Call Spread Counterparty, each to be dated the date of the Additional Closing Date or</w:t>
      </w:r>
    </w:p>
    <w:p>
      <w:pPr>
        <w:spacing w:after="0" w:line="6" w:lineRule="exact"/>
        <w:rPr>
          <w:rFonts w:ascii="Arial" w:cs="Arial" w:eastAsia="Arial" w:hAnsi="Arial"/>
          <w:sz w:val="16"/>
          <w:szCs w:val="16"/>
          <w:color w:val="auto"/>
        </w:rPr>
      </w:pPr>
    </w:p>
    <w:p>
      <w:pPr>
        <w:ind w:left="4" w:right="100"/>
        <w:spacing w:after="0" w:line="290" w:lineRule="auto"/>
        <w:rPr>
          <w:rFonts w:ascii="Arial" w:cs="Arial" w:eastAsia="Arial" w:hAnsi="Arial"/>
          <w:sz w:val="16"/>
          <w:szCs w:val="16"/>
          <w:color w:val="auto"/>
        </w:rPr>
      </w:pPr>
      <w:r>
        <w:rPr>
          <w:rFonts w:ascii="Arial" w:cs="Arial" w:eastAsia="Arial" w:hAnsi="Arial"/>
          <w:sz w:val="16"/>
          <w:szCs w:val="16"/>
          <w:color w:val="auto"/>
        </w:rPr>
        <w:t>(C) as described in the Time of Sale Information and the Offering Memorandum under the heading “Use of Proceeds” or (iii) the issuance, if any, of stock upon conversion of Company securities as described in the Time of Sale Information and the Offering Memorandum) or long 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the business, management, consolidated financial position, consolidated stockholders’ equity or consolidated results of operations of the Company and its subsidiaries, taken as a whole, except as set forth or contemplated in the Time of Sale Information and the Offering Memorandum.</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88" w:name="page189"/>
    <w:bookmarkEnd w:id="188"/>
    <w:p>
      <w:pPr>
        <w:ind w:right="60" w:firstLine="436"/>
        <w:spacing w:after="0" w:line="269" w:lineRule="auto"/>
        <w:tabs>
          <w:tab w:leader="none" w:pos="695"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Organization and Good Standing. </w:t>
      </w:r>
      <w:r>
        <w:rPr>
          <w:rFonts w:ascii="Arial" w:cs="Arial" w:eastAsia="Arial" w:hAnsi="Arial"/>
          <w:sz w:val="17"/>
          <w:szCs w:val="17"/>
          <w:color w:val="auto"/>
        </w:rPr>
        <w:t>The Company has been (i) duly incorporated and is validly existing and in good standing under the laws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 of Delaware, with power and authority (corporate and other) to own its properties and conduct its business as described in the Time of Sale Information and the Offering Memorandum,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of the Company’s subsidiaries has been duly organized and is validly existing as a corporation or other entity, as applicable, and in good standing (or the foreign equivalent) under the laws of its jurisdiction of organization, with power and authority (corporate and otherwise) to own its properties and conduct its business as described in the Time of Sale Information and the Offering Memorandum, except where the failure to be in good standing (or the foreign equivalent) would not, individually or in the aggregate, reasonably be expected to have a Material Adverse Effect, and other than Dropbox International Unlimited Company, none of the Company’s subsidiaries is a “Significant Subsidiary” (as such term is defined in Rule 1-02 of Regulation S-X promulgated under the Act).</w:t>
      </w:r>
    </w:p>
    <w:p>
      <w:pPr>
        <w:spacing w:after="0" w:line="73" w:lineRule="exact"/>
        <w:rPr>
          <w:rFonts w:ascii="Arial" w:cs="Arial" w:eastAsia="Arial" w:hAnsi="Arial"/>
          <w:sz w:val="17"/>
          <w:szCs w:val="17"/>
          <w:color w:val="auto"/>
        </w:rPr>
      </w:pPr>
    </w:p>
    <w:p>
      <w:pPr>
        <w:ind w:firstLine="436"/>
        <w:spacing w:after="0" w:line="287" w:lineRule="auto"/>
        <w:tabs>
          <w:tab w:leader="none" w:pos="655"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Time of Sale Information and the Offering Memorandum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issued shares of capital stock of the Company have been duly and validly authorized and issued and are fully paid and non-assessable and are not subject to any pre-emptive or similar rights. Except for the rights described in the Time of Sale Information and the Offering Memorandum, there are no outstanding rights (including, without limitation, pre-emptive rights), warrants or options to acquire, or instruments convertible into or exchangeable for, any shares of capital stock or other equity interest in the Company or any of its subsidiaries or contracts, commitments, agreements, understandings or arrangements of any kind relating to the issuance of any capital stock of the Company or any such subsidiary, any such convertible or exchangeable securities or any such rights, warrants or options, the capital stock of the Company conforms in all material respects to the description of the capital stock contained in the Time of Sale Information and the Offering Memorandum thereof.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Time of Sale Information and the Offering Memorandum.</w:t>
      </w:r>
    </w:p>
    <w:p>
      <w:pPr>
        <w:spacing w:after="0" w:line="63" w:lineRule="exact"/>
        <w:rPr>
          <w:rFonts w:ascii="Arial" w:cs="Arial" w:eastAsia="Arial" w:hAnsi="Arial"/>
          <w:sz w:val="16"/>
          <w:szCs w:val="16"/>
          <w:color w:val="auto"/>
        </w:rPr>
      </w:pPr>
    </w:p>
    <w:p>
      <w:pPr>
        <w:ind w:right="40" w:firstLine="436"/>
        <w:spacing w:after="0" w:line="25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full corporate right, power and authority to execute and deliver this Agreement, the Indentures,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the Call Spread Confirmations (collectively, the “Transaction Documents”) and to perform its obligations hereunder and thereunder; and all corporate action required to be taken for the due and proper authorization, execution and delivery by it of each of the Transaction Documents and the consummation by it of the transactions contemplated thereby or by the Time of Sale Information and the Offering Memorandum has been duly and validly taken.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9" w:name="page190"/>
    <w:bookmarkEnd w:id="189"/>
    <w:p>
      <w:pPr>
        <w:ind w:left="4" w:firstLine="436"/>
        <w:spacing w:after="0" w:line="296" w:lineRule="auto"/>
        <w:tabs>
          <w:tab w:leader="none" w:pos="699" w:val="left"/>
        </w:tabs>
        <w:numPr>
          <w:ilvl w:val="1"/>
          <w:numId w:val="18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Indentures</w:t>
      </w:r>
      <w:r>
        <w:rPr>
          <w:rFonts w:ascii="Arial" w:cs="Arial" w:eastAsia="Arial" w:hAnsi="Arial"/>
          <w:sz w:val="16"/>
          <w:szCs w:val="16"/>
          <w:color w:val="auto"/>
        </w:rPr>
        <w:t>. The Indentures have been duly authorized by the Company and, when duly executed and delivered in accordance with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terms by each of the parties thereto, will constitute valid and legally binding agreements of the Company, enforceable against the Company in accordance with their respective terms, subject to bankruptcy, insolvency, fraudulent conveyance, re-organization, moratorium or similar laws affecting the enforcement of creditors’ rights generally or by equitable principles relating to enforceability, including principles of commercial reasonableness, good faith and fair dealing (regardless of whether enforcement is sought in a proceeding at law or equity) (collectively, the “Enforceability Exceptions”).</w:t>
      </w:r>
    </w:p>
    <w:p>
      <w:pPr>
        <w:spacing w:after="0" w:line="53" w:lineRule="exact"/>
        <w:rPr>
          <w:rFonts w:ascii="Arial" w:cs="Arial" w:eastAsia="Arial" w:hAnsi="Arial"/>
          <w:sz w:val="16"/>
          <w:szCs w:val="16"/>
          <w:color w:val="auto"/>
        </w:rPr>
      </w:pPr>
    </w:p>
    <w:p>
      <w:pPr>
        <w:ind w:left="4" w:right="40" w:firstLine="436"/>
        <w:spacing w:after="0" w:line="279" w:lineRule="auto"/>
        <w:tabs>
          <w:tab w:leader="none" w:pos="659"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 xml:space="preserve">The Securities. </w:t>
      </w:r>
      <w:r>
        <w:rPr>
          <w:rFonts w:ascii="Arial" w:cs="Arial" w:eastAsia="Arial" w:hAnsi="Arial"/>
          <w:sz w:val="17"/>
          <w:szCs w:val="17"/>
          <w:color w:val="auto"/>
        </w:rPr>
        <w:t>The Securities to be issued and sold by the Company hereunder have been duly authorized by the Company and, when duly</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authenticated, issued and delivered as provided in the respective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applicable Indenture.</w:t>
      </w:r>
    </w:p>
    <w:p>
      <w:pPr>
        <w:spacing w:after="0" w:line="63" w:lineRule="exact"/>
        <w:rPr>
          <w:rFonts w:ascii="Arial" w:cs="Arial" w:eastAsia="Arial" w:hAnsi="Arial"/>
          <w:sz w:val="17"/>
          <w:szCs w:val="17"/>
          <w:color w:val="auto"/>
        </w:rPr>
      </w:pPr>
    </w:p>
    <w:p>
      <w:pPr>
        <w:ind w:left="4" w:right="80" w:firstLine="436"/>
        <w:spacing w:after="0" w:line="255" w:lineRule="auto"/>
        <w:tabs>
          <w:tab w:leader="none" w:pos="749"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The Underlying Securities</w:t>
      </w:r>
      <w:r>
        <w:rPr>
          <w:rFonts w:ascii="Arial" w:cs="Arial" w:eastAsia="Arial" w:hAnsi="Arial"/>
          <w:sz w:val="18"/>
          <w:szCs w:val="18"/>
          <w:color w:val="auto"/>
        </w:rPr>
        <w:t>. Upon issuance and delivery of the Securities in accordance with this Agreement and the Indentures,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convertible at the option of the holder thereof into cash or a combination of cash and shares of the Underlying Securities, at the Company’s election, in accordance the terms of the applicable Indenture and Securities; the Underlying Securities reserved for issuance upon conversion of the Securities have been duly authorized and reserved and, when issued upon conversion of the Securities in accordance with the terms of the applicable Indenture and Securities, will be validly issued, fully paid and non-assessable, and the issuance of the Underlying Securities will not be subject to any preemptive or similar rights.</w:t>
      </w:r>
    </w:p>
    <w:p>
      <w:pPr>
        <w:spacing w:after="0" w:line="84" w:lineRule="exact"/>
        <w:rPr>
          <w:rFonts w:ascii="Arial" w:cs="Arial" w:eastAsia="Arial" w:hAnsi="Arial"/>
          <w:sz w:val="18"/>
          <w:szCs w:val="18"/>
          <w:color w:val="auto"/>
        </w:rPr>
      </w:pPr>
    </w:p>
    <w:p>
      <w:pPr>
        <w:ind w:left="704" w:hanging="264"/>
        <w:spacing w:after="0"/>
        <w:tabs>
          <w:tab w:leader="none" w:pos="704"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 xml:space="preserve">Other Transaction Documents. </w:t>
      </w:r>
      <w:r>
        <w:rPr>
          <w:rFonts w:ascii="Arial" w:cs="Arial" w:eastAsia="Arial" w:hAnsi="Arial"/>
          <w:sz w:val="17"/>
          <w:szCs w:val="17"/>
          <w:color w:val="auto"/>
        </w:rPr>
        <w:t>The Call Spread Confirmations have been duly authorized, executed and delivered by the Company.</w:t>
      </w:r>
    </w:p>
    <w:p>
      <w:pPr>
        <w:spacing w:after="0" w:line="128" w:lineRule="exact"/>
        <w:rPr>
          <w:rFonts w:ascii="Arial" w:cs="Arial" w:eastAsia="Arial" w:hAnsi="Arial"/>
          <w:sz w:val="17"/>
          <w:szCs w:val="17"/>
          <w:color w:val="auto"/>
        </w:rPr>
      </w:pPr>
    </w:p>
    <w:p>
      <w:pPr>
        <w:ind w:left="4" w:right="60" w:firstLine="436"/>
        <w:spacing w:after="0" w:line="277" w:lineRule="auto"/>
        <w:tabs>
          <w:tab w:leader="none" w:pos="699"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Descriptions of the Transaction Documents. </w:t>
      </w:r>
      <w:r>
        <w:rPr>
          <w:rFonts w:ascii="Arial" w:cs="Arial" w:eastAsia="Arial" w:hAnsi="Arial"/>
          <w:sz w:val="18"/>
          <w:szCs w:val="18"/>
          <w:color w:val="auto"/>
        </w:rPr>
        <w:t>Each Transaction Document conforms in all material respects to the description thereof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of the Time of Sale Information and the Offering Memorandum.</w:t>
      </w:r>
    </w:p>
    <w:p>
      <w:pPr>
        <w:spacing w:after="0" w:line="62" w:lineRule="exact"/>
        <w:rPr>
          <w:rFonts w:ascii="Arial" w:cs="Arial" w:eastAsia="Arial" w:hAnsi="Arial"/>
          <w:sz w:val="18"/>
          <w:szCs w:val="18"/>
          <w:color w:val="auto"/>
        </w:rPr>
      </w:pPr>
    </w:p>
    <w:p>
      <w:pPr>
        <w:ind w:left="4" w:right="80" w:firstLine="436"/>
        <w:spacing w:after="0" w:line="285" w:lineRule="auto"/>
        <w:tabs>
          <w:tab w:leader="none" w:pos="699" w:val="left"/>
        </w:tabs>
        <w:numPr>
          <w:ilvl w:val="1"/>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or Default. </w:t>
      </w:r>
      <w:r>
        <w:rPr>
          <w:rFonts w:ascii="Arial" w:cs="Arial" w:eastAsia="Arial" w:hAnsi="Arial"/>
          <w:sz w:val="16"/>
          <w:szCs w:val="16"/>
          <w:color w:val="auto"/>
        </w:rPr>
        <w:t>Neither the Company nor any of its subsidiaries is (i) in violation of its certificate of incorporation or bylaws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organizational document, as applicable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w:t>
      </w:r>
    </w:p>
    <w:p>
      <w:pPr>
        <w:spacing w:after="0" w:line="1" w:lineRule="exact"/>
        <w:rPr>
          <w:rFonts w:ascii="Arial" w:cs="Arial" w:eastAsia="Arial" w:hAnsi="Arial"/>
          <w:sz w:val="16"/>
          <w:szCs w:val="16"/>
          <w:color w:val="auto"/>
        </w:rPr>
      </w:pPr>
    </w:p>
    <w:p>
      <w:pPr>
        <w:ind w:left="4" w:right="80" w:hanging="4"/>
        <w:spacing w:after="0" w:line="260" w:lineRule="auto"/>
        <w:tabs>
          <w:tab w:leader="none" w:pos="31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and, with respect to the Company’s subsidiaries in the case of clause (i), for such defaults as would not, individually or in the aggregate, reasonably be expected to have a Material Adverse Effect.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90" w:name="page191"/>
    <w:bookmarkEnd w:id="190"/>
    <w:p>
      <w:pPr>
        <w:ind w:left="4" w:firstLine="436"/>
        <w:spacing w:after="0" w:line="284" w:lineRule="auto"/>
        <w:tabs>
          <w:tab w:leader="none" w:pos="699"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Conflicts; no consents required. </w:t>
      </w:r>
      <w:r>
        <w:rPr>
          <w:rFonts w:ascii="Arial" w:cs="Arial" w:eastAsia="Arial" w:hAnsi="Arial"/>
          <w:sz w:val="16"/>
          <w:szCs w:val="16"/>
          <w:color w:val="auto"/>
        </w:rPr>
        <w:t>The execution, delivery and performance by the Company of each of the Transaction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and sale of the Securities (including the issuance of the Underlying Securities upon conversion thereof) and the consummation of the transactions contemplated by the Transaction Documents or the Time of Sale Information and the Offering Memorandum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of</w:t>
      </w:r>
    </w:p>
    <w:p>
      <w:pPr>
        <w:spacing w:after="0" w:line="4" w:lineRule="exact"/>
        <w:rPr>
          <w:rFonts w:ascii="Arial" w:cs="Arial" w:eastAsia="Arial" w:hAnsi="Arial"/>
          <w:sz w:val="16"/>
          <w:szCs w:val="16"/>
          <w:color w:val="auto"/>
        </w:rPr>
      </w:pPr>
    </w:p>
    <w:p>
      <w:pPr>
        <w:ind w:left="4" w:hanging="4"/>
        <w:spacing w:after="0" w:line="285" w:lineRule="auto"/>
        <w:tabs>
          <w:tab w:leader="none" w:pos="25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or (2) any of its subsidiaries, or (C) any statute or any judgment, order, rule or regulation of any court or governmental agency or body having jurisdiction over the Company or any of its subsidiaries or any of their properties, except in the case of (A), (B)(2) and (C) for such violations that would not individually or in the aggregate, reasonably be expected to have a Material Adverse Effect or materially impair the ability of the Company to perform its obligations under this Agreement, including the issuance and sale of the Securities (including the issuance of the Underlying Securities upon conversion thereof), or to consummate the transactions contemplated in the Time of Sale Information and the Offering Memorandum; and no consent, approval, authorization, order, registration or qualification of or with any such court or governmental agency or body is required for the issuance and sale of the Securities (including the issuance of the Underlying Securities upon conversion thereof) to be sold by the Company and the issuance and sale of the Securities (including the issuance of the Underlying Securities upon conversion thereof) or the consummation by the Company of the transactions contemplated by this Agreement, except such as have been obtained under the Act, the approval for listing on the Nasdaq Stock Market Inc.’s National Market (“NASDAQ”) and such consents, approvals, authorizations, orders, registrations or qualifications as may be required under state securities or Blue Sky laws in connection with the purchase and resale of the Securities by the Initial Purchasers.</w:t>
      </w:r>
    </w:p>
    <w:p>
      <w:pPr>
        <w:spacing w:after="0" w:line="66" w:lineRule="exact"/>
        <w:rPr>
          <w:rFonts w:ascii="Arial" w:cs="Arial" w:eastAsia="Arial" w:hAnsi="Arial"/>
          <w:sz w:val="16"/>
          <w:szCs w:val="16"/>
          <w:color w:val="auto"/>
        </w:rPr>
      </w:pPr>
    </w:p>
    <w:p>
      <w:pPr>
        <w:ind w:left="4" w:right="20" w:firstLine="436"/>
        <w:spacing w:after="0" w:line="293" w:lineRule="auto"/>
        <w:tabs>
          <w:tab w:leader="none" w:pos="669"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Other than as set forth in the Time of Sale Information and the Offering Memorandum, there are no legal or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Actions are threatened or contemplated by governmental authorities or threatened by others.</w:t>
      </w:r>
    </w:p>
    <w:p>
      <w:pPr>
        <w:spacing w:after="0" w:line="56" w:lineRule="exact"/>
        <w:rPr>
          <w:rFonts w:ascii="Arial" w:cs="Arial" w:eastAsia="Arial" w:hAnsi="Arial"/>
          <w:sz w:val="16"/>
          <w:szCs w:val="16"/>
          <w:color w:val="auto"/>
        </w:rPr>
      </w:pPr>
    </w:p>
    <w:p>
      <w:pPr>
        <w:ind w:left="4" w:right="540" w:firstLine="436"/>
        <w:spacing w:after="0" w:line="263" w:lineRule="auto"/>
        <w:tabs>
          <w:tab w:leader="none" w:pos="679" w:val="left"/>
        </w:tabs>
        <w:numPr>
          <w:ilvl w:val="1"/>
          <w:numId w:val="187"/>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Ernst &amp; Young LLP, who has certified certain financial statements of the Company and its subsidiaries, is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as required by the rules and regulations of the Commission and the Public Company Accounting Oversight Board (United States) and as required by the Securities Act thereunder.</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4" w:right="519" w:bottom="1440" w:gutter="0" w:footer="0" w:header="0"/>
        </w:sectPr>
      </w:pPr>
    </w:p>
    <w:bookmarkStart w:id="191" w:name="page192"/>
    <w:bookmarkEnd w:id="191"/>
    <w:p>
      <w:pPr>
        <w:ind w:firstLine="436"/>
        <w:spacing w:after="0" w:line="253"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Title to Real and Personal Property. </w:t>
      </w:r>
      <w:r>
        <w:rPr>
          <w:rFonts w:ascii="Arial" w:cs="Arial" w:eastAsia="Arial" w:hAnsi="Arial"/>
          <w:sz w:val="18"/>
          <w:szCs w:val="18"/>
          <w:color w:val="auto"/>
        </w:rPr>
        <w:t>The Company and its subsidiaries do not own any real property. Except as would not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a Material Adverse Effect, the Company and its subsidiaries have good and marketable title to all personal property owned by them (other than with respect to Intellectual Property (as defined below), title to which is addressed exclusively in Section 4(u) below), free and clear of all liens, encumbrances and defects, and any real property and buildings held under lease by the Company and its subsidiaries are held by them under, to the Company’s knowledge,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w:t>
      </w:r>
    </w:p>
    <w:p>
      <w:pPr>
        <w:spacing w:after="0" w:line="88" w:lineRule="exact"/>
        <w:rPr>
          <w:rFonts w:ascii="Arial" w:cs="Arial" w:eastAsia="Arial" w:hAnsi="Arial"/>
          <w:sz w:val="18"/>
          <w:szCs w:val="18"/>
          <w:color w:val="auto"/>
        </w:rPr>
      </w:pPr>
    </w:p>
    <w:p>
      <w:pPr>
        <w:ind w:left="700" w:hanging="264"/>
        <w:spacing w:after="0"/>
        <w:tabs>
          <w:tab w:leader="none" w:pos="700"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To the Company’s knowledge (solely with respect to third party patents and patent rights), the Company and its</w:t>
      </w:r>
    </w:p>
    <w:p>
      <w:pPr>
        <w:spacing w:after="0" w:line="34" w:lineRule="exact"/>
        <w:rPr>
          <w:rFonts w:ascii="Arial" w:cs="Arial" w:eastAsia="Arial" w:hAnsi="Arial"/>
          <w:sz w:val="17"/>
          <w:szCs w:val="17"/>
          <w:color w:val="auto"/>
        </w:rPr>
      </w:pPr>
    </w:p>
    <w:p>
      <w:pPr>
        <w:ind w:right="40"/>
        <w:spacing w:after="0" w:line="267" w:lineRule="auto"/>
        <w:rPr>
          <w:rFonts w:ascii="Arial" w:cs="Arial" w:eastAsia="Arial" w:hAnsi="Arial"/>
          <w:sz w:val="17"/>
          <w:szCs w:val="17"/>
          <w:color w:val="auto"/>
        </w:rPr>
      </w:pPr>
      <w:r>
        <w:rPr>
          <w:rFonts w:ascii="Arial" w:cs="Arial" w:eastAsia="Arial" w:hAnsi="Arial"/>
          <w:sz w:val="17"/>
          <w:szCs w:val="17"/>
          <w:color w:val="auto"/>
        </w:rPr>
        <w:t>subsidiaries own or possess, or can acquire on commercially reasonable terms, sufficient rights to use all patents, copyrights, know-how (including trade secrets and other unpatented and/or unpatentable proprietary or confidential information, systems or procedures), trademarks, service marks and trade names, Internet domain names and all goodwill associated therewith and other technology and intellectual property rights (collectively, the “Intellectual Property”) used in the conduct of their respective businesses as currently conducted, except where the failure to own or possess any of the foregoing would not reasonably be expected to have a Material Adverse Effect. Except as disclosed in the Time of Sale Information and the Offering Memorandum, neither the Company nor any of its subsidiaries has received any written notice of any claim of infringement, misappropriation or conflict with, asserted rights of others with respect to any Intellectual Property which, individually or in the aggregate, if the subject of an unfavorable decision, ruling or finding, would reasonably be expected to have a Material Adverse Effect; and except as would not reasonably be expected to have a Material Adverse Effect, to the Company’s knowledge, (A) the conduct of the business of the Company and its subsidiaries does not infringe, misappropriate or violate the Intellectual Property of others and (B) no third party is infringing any Intellectual Property owned by the Company or its subsidiaries.</w:t>
      </w:r>
    </w:p>
    <w:p>
      <w:pPr>
        <w:spacing w:after="0" w:line="77" w:lineRule="exact"/>
        <w:rPr>
          <w:rFonts w:ascii="Arial" w:cs="Arial" w:eastAsia="Arial" w:hAnsi="Arial"/>
          <w:sz w:val="17"/>
          <w:szCs w:val="17"/>
          <w:color w:val="auto"/>
        </w:rPr>
      </w:pPr>
    </w:p>
    <w:p>
      <w:pPr>
        <w:ind w:right="20" w:firstLine="436"/>
        <w:spacing w:after="0" w:line="259"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Company is not and, immediately after giving effect to the offering and sale of the Securities and the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proceeds thereof as described in the Time of Sale Information and the Offering Memorandum, will not be required to register as an “investment company”, as such terms are defined in the Investment Company Act of 1940, as amended , and the rules and regulations of the Commission thereunder (collectively, the “Investment Company Act”).</w:t>
      </w:r>
    </w:p>
    <w:p>
      <w:pPr>
        <w:spacing w:after="0" w:line="78" w:lineRule="exact"/>
        <w:rPr>
          <w:rFonts w:ascii="Arial" w:cs="Arial" w:eastAsia="Arial" w:hAnsi="Arial"/>
          <w:sz w:val="18"/>
          <w:szCs w:val="18"/>
          <w:color w:val="auto"/>
        </w:rPr>
      </w:pPr>
    </w:p>
    <w:p>
      <w:pPr>
        <w:ind w:right="60" w:firstLine="436"/>
        <w:spacing w:after="0" w:line="255" w:lineRule="auto"/>
        <w:tabs>
          <w:tab w:leader="none" w:pos="73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Except for cases in which the failure to file or pay would not, individually or in the aggregate, reasonably be expected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the Company and each of its subsidiaries have filed all federal, state, local and foreign income and franchise tax returns required to be filed through the date hereof, subject to permitted extensions, and have paid all taxes due thereon. Except for cases where a tax deficiency would not, individually or in the aggregate, reasonably be expected to have a Material Adverse Effect, (i) no tax deficiency has been determined adversely to the Company or any of its subsidiaries, and (ii) the Company has not received any written notice from any taxing authorities asserting any tax deficiency against the Company and its subsidiaries.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92" w:name="page193"/>
    <w:bookmarkEnd w:id="192"/>
    <w:p>
      <w:pPr>
        <w:ind w:right="20" w:firstLine="436"/>
        <w:spacing w:after="0" w:line="257"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Specified Disclosure</w:t>
      </w:r>
      <w:r>
        <w:rPr>
          <w:rFonts w:ascii="Arial" w:cs="Arial" w:eastAsia="Arial" w:hAnsi="Arial"/>
          <w:sz w:val="18"/>
          <w:szCs w:val="18"/>
          <w:color w:val="auto"/>
        </w:rPr>
        <w:t>. The statements set forth in the Offering Memorandum under the caption “Description of Notes”, “Description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 and Hedge and Warrant Transactions” and “Description of Capital Stock”, insofar as they purport to constitute a summary of the terms of the Securities, the Call Spread Confirmations and the capital stock of the Company, and under the caption “Certain U.S. Federal Income Tax Considerations”, and under the caption “Other Relationships”, insofar as they purport to describe the provisions of the laws and documents referred to therein, are accurate and are fairly summarized in all material respects.</w:t>
      </w:r>
    </w:p>
    <w:p>
      <w:pPr>
        <w:spacing w:after="0" w:line="79" w:lineRule="exact"/>
        <w:rPr>
          <w:rFonts w:ascii="Arial" w:cs="Arial" w:eastAsia="Arial" w:hAnsi="Arial"/>
          <w:sz w:val="18"/>
          <w:szCs w:val="18"/>
          <w:color w:val="auto"/>
        </w:rPr>
      </w:pPr>
    </w:p>
    <w:p>
      <w:pPr>
        <w:ind w:firstLine="436"/>
        <w:spacing w:after="0" w:line="259"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Licenses and Permits. </w:t>
      </w:r>
      <w:r>
        <w:rPr>
          <w:rFonts w:ascii="Arial" w:cs="Arial" w:eastAsia="Arial" w:hAnsi="Arial"/>
          <w:sz w:val="18"/>
          <w:szCs w:val="18"/>
          <w:color w:val="auto"/>
        </w:rPr>
        <w:t>Except as would not, either individually or in the aggregate, have a Material Adverse Effect,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possess, and are in compliance with the terms of, all certificates, authorizations, franchises, licenses and permits (“Business Licenses”) necessary to the conduct of the business now conducted and the Company and its subsidiaries have not received any notice of proceedings relating to the revocation or modification of any Business Licenses.</w:t>
      </w:r>
    </w:p>
    <w:p>
      <w:pPr>
        <w:spacing w:after="0" w:line="78" w:lineRule="exact"/>
        <w:rPr>
          <w:rFonts w:ascii="Arial" w:cs="Arial" w:eastAsia="Arial" w:hAnsi="Arial"/>
          <w:sz w:val="18"/>
          <w:szCs w:val="18"/>
          <w:color w:val="auto"/>
        </w:rPr>
      </w:pPr>
    </w:p>
    <w:p>
      <w:pPr>
        <w:ind w:right="220" w:firstLine="436"/>
        <w:spacing w:after="0" w:line="277"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material labor disputes against the Company or any of its subsidiaries exists or, to the knowledge of the Company, is</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w:t>
      </w:r>
    </w:p>
    <w:p>
      <w:pPr>
        <w:spacing w:after="0" w:line="62" w:lineRule="exact"/>
        <w:rPr>
          <w:sz w:val="20"/>
          <w:szCs w:val="20"/>
          <w:color w:val="auto"/>
        </w:rPr>
      </w:pPr>
    </w:p>
    <w:p>
      <w:pPr>
        <w:ind w:right="20" w:firstLine="436"/>
        <w:spacing w:after="0" w:line="269" w:lineRule="auto"/>
        <w:tabs>
          <w:tab w:leader="none" w:pos="765"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Certain Environmental Matters</w:t>
      </w:r>
      <w:r>
        <w:rPr>
          <w:rFonts w:ascii="Arial" w:cs="Arial" w:eastAsia="Arial" w:hAnsi="Arial"/>
          <w:sz w:val="17"/>
          <w:szCs w:val="17"/>
          <w:color w:val="auto"/>
        </w:rPr>
        <w:t>. The Company and each of its subsidiaries (i) are in compliance with all applicable laws,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ordinances, rules, orders, judgments, decrees, permits or other legal requirements of any governmental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(ii) have received all permits, licenses or other approvals required of them under applicable Environmental Laws to conduct their respective businesses, (iii) are in compliance with all terms and conditions of any such permit, license or approval, and (iv) the Company has not received notice of any proceedings that are pending or threatened against the Company or any of its subsidiaries under Environmental Laws in which a governmental authority is also a party, except where such non-compliance with Environmental Laws, or where any claim, request, notice, proceeding, investigation, failure to receive required permits, licenses or other approvals or failure to comply with the terms and conditions of such permits, licenses or approvals would not individually or in the aggregate reasonably be expected to have a Material Adverse Effect.</w:t>
      </w:r>
    </w:p>
    <w:p>
      <w:pPr>
        <w:spacing w:after="0" w:line="77" w:lineRule="exact"/>
        <w:rPr>
          <w:rFonts w:ascii="Arial" w:cs="Arial" w:eastAsia="Arial" w:hAnsi="Arial"/>
          <w:sz w:val="17"/>
          <w:szCs w:val="17"/>
          <w:color w:val="auto"/>
        </w:rPr>
      </w:pPr>
    </w:p>
    <w:p>
      <w:pPr>
        <w:ind w:right="60" w:firstLine="436"/>
        <w:spacing w:after="0" w:line="255" w:lineRule="auto"/>
        <w:tabs>
          <w:tab w:leader="none" w:pos="785"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ERISA. </w:t>
      </w:r>
      <w:r>
        <w:rPr>
          <w:rFonts w:ascii="Arial" w:cs="Arial" w:eastAsia="Arial" w:hAnsi="Arial"/>
          <w:sz w:val="18"/>
          <w:szCs w:val="18"/>
          <w:color w:val="auto"/>
        </w:rPr>
        <w:t>(i) Each employee benefit plan, within the meaning of Section 3(3) of the Employee Retirement Income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1974, as amended (“ERISA”), for which the Company or any member of its “Controlled Group” (defined as any organization which is a member of a controlled group of corporations within the meaning of Section 414 of the Internal Revenue Code of 1986, as amended (the “Code”)) may have any liability (each, a “Plan”) has been maintained in compliance with its terms and the requirements of any applicable statutes, orders, rules and regulations, including but not limited to, ERISA and the Code, except for such noncompliance that, individually or in the aggregate, would not have a Material Adverse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93" w:name="page194"/>
    <w:bookmarkEnd w:id="193"/>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 (ii) for each Plan that is subject to the funding rules of Section 412 of the Code or Section 302 of ERISA, the minimum funding standard of Section 412 of the Code or Section 302 of ERISA, as applicable, has been satisfied and is reasonably expected to be satisfied in the future (without taking into account any waiver thereof or extension of any amortization period); (iii) no “reportable event” (within the meaning of Section 4043(c) of ERISA) has occurred or is reasonably expected to occur with respect to any Plan that, individually or in the aggregate, would have a Material Adverse Effect; (iv) neither the Company nor any member of the Controlled Group has incurred, or reasonably expects to incur, any liability under Title IV of ERISA (other than for Pension Benefit Guaranty Corporation (“PBGC”) premiums due but not delinquent under Section 4007 of ERISA) with respect to any Plan (including a “multiemployer plan”, within the meaning of Section 4001(a)(3) of ERISA);(v) there is no pending or, to the Company’s knowledge, threatened audit or investigation by the Internal Revenue Service, the U.S. Department of Labor, the PBGC or any other governmental agency or any foreign regulatory agency with respect to any Plan that, individually or in the aggregate, would have a Material Adverse Effect; and</w:t>
      </w:r>
    </w:p>
    <w:p>
      <w:pPr>
        <w:spacing w:after="0" w:line="6" w:lineRule="exact"/>
        <w:rPr>
          <w:sz w:val="20"/>
          <w:szCs w:val="20"/>
          <w:color w:val="auto"/>
        </w:rPr>
      </w:pPr>
    </w:p>
    <w:p>
      <w:pPr>
        <w:ind w:left="4" w:right="40" w:hanging="4"/>
        <w:spacing w:after="0" w:line="295" w:lineRule="auto"/>
        <w:tabs>
          <w:tab w:leader="none" w:pos="30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none of the following events has occurred or is reasonably likely to occur: (x) a material increase in the aggregate amount of contributions required to be made to all Plans by the Company in the current fiscal year of the Company compared to the amount of such contributions made in the Company’s recently completed fiscal year; or (y) a material increase in the Company “accumulated post-retirement benefit obligations” (within the meaning of Statement of Financial Accounting Standards 106) compared to the amount of such obligations in the Company’s most recently completed fiscal year.</w:t>
      </w:r>
    </w:p>
    <w:p>
      <w:pPr>
        <w:spacing w:after="0" w:line="53" w:lineRule="exact"/>
        <w:rPr>
          <w:rFonts w:ascii="Arial" w:cs="Arial" w:eastAsia="Arial" w:hAnsi="Arial"/>
          <w:sz w:val="16"/>
          <w:szCs w:val="16"/>
          <w:color w:val="auto"/>
        </w:rPr>
      </w:pPr>
    </w:p>
    <w:p>
      <w:pPr>
        <w:ind w:left="4" w:right="180" w:firstLine="436"/>
        <w:spacing w:after="0" w:line="279" w:lineRule="auto"/>
        <w:tabs>
          <w:tab w:leader="none" w:pos="769"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maintains disclosure controls and procedures (as such term is defined in Rule 13a-15(e)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63" w:lineRule="exact"/>
        <w:rPr>
          <w:rFonts w:ascii="Arial" w:cs="Arial" w:eastAsia="Arial" w:hAnsi="Arial"/>
          <w:sz w:val="17"/>
          <w:szCs w:val="17"/>
          <w:color w:val="auto"/>
        </w:rPr>
      </w:pPr>
    </w:p>
    <w:p>
      <w:pPr>
        <w:ind w:left="4" w:firstLine="436"/>
        <w:spacing w:after="0" w:line="284" w:lineRule="auto"/>
        <w:tabs>
          <w:tab w:leader="none" w:pos="789"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such term is defined in Rule 13a-15(f)</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Securities Exchange Act of 1934, as amended (the “Exchange Act”)) that (i) complies with the requirements of the Exchange Act applicable to the Company, (ii) has been designed by the Company’s principal executive officer and principal financial officer, or under their supervision</w:t>
      </w:r>
      <w:r>
        <w:rPr>
          <w:rFonts w:ascii="Arial" w:cs="Arial" w:eastAsia="Arial" w:hAnsi="Arial"/>
          <w:sz w:val="16"/>
          <w:szCs w:val="16"/>
          <w:b w:val="1"/>
          <w:bCs w:val="1"/>
          <w:color w:val="auto"/>
        </w:rPr>
        <w:t>,</w:t>
      </w:r>
      <w:r>
        <w:rPr>
          <w:rFonts w:ascii="Arial" w:cs="Arial" w:eastAsia="Arial" w:hAnsi="Arial"/>
          <w:sz w:val="16"/>
          <w:szCs w:val="16"/>
          <w:color w:val="auto"/>
        </w:rPr>
        <w:t xml:space="preserve"> to provide reasonable assurance regarding the reliability of financial reporting and the preparation of financial statements for external purposes in accordance with GAAP and (iii) is sufficient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w:t>
      </w:r>
    </w:p>
    <w:p>
      <w:pPr>
        <w:ind w:left="4" w:right="80"/>
        <w:spacing w:after="0" w:line="253" w:lineRule="auto"/>
        <w:rPr>
          <w:rFonts w:ascii="Arial" w:cs="Arial" w:eastAsia="Arial" w:hAnsi="Arial"/>
          <w:sz w:val="16"/>
          <w:szCs w:val="16"/>
          <w:color w:val="auto"/>
        </w:rPr>
      </w:pPr>
      <w:r>
        <w:rPr>
          <w:rFonts w:ascii="Arial" w:cs="Arial" w:eastAsia="Arial" w:hAnsi="Arial"/>
          <w:sz w:val="18"/>
          <w:szCs w:val="18"/>
          <w:color w:val="auto"/>
        </w:rPr>
        <w:t>(E) interactive data in eXtensible Business Reporting Language included or incorporated by reference in the Time of Sale Information and the Offering Memorandum fairly presents the information called for in all material respects and is prepared in accordance with the Commission’s rules and guidelines applicable thereto; and except as disclosed in the Time of Sale Information and the Offering Memorandum, the Company is not aware of any material weaknesses in its internal control over financial reporting.</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94" w:name="page195"/>
    <w:bookmarkEnd w:id="194"/>
    <w:p>
      <w:pPr>
        <w:ind w:left="-20" w:right="120" w:firstLine="436"/>
        <w:spacing w:after="0" w:line="286" w:lineRule="auto"/>
        <w:tabs>
          <w:tab w:leader="none" w:pos="745"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change in internal controls</w:t>
      </w:r>
      <w:r>
        <w:rPr>
          <w:rFonts w:ascii="Arial" w:cs="Arial" w:eastAsia="Arial" w:hAnsi="Arial"/>
          <w:sz w:val="17"/>
          <w:szCs w:val="17"/>
          <w:color w:val="auto"/>
        </w:rPr>
        <w:t>. Since the date of the latest audited financial statements included in the Time of Sale Information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Memorandum, there has been no change in the Company’s internal control over financial reporting that has materially and adversely affected, or is reasonably likely to materially and adversely affect, the Company’s internal control over financial reporting.</w:t>
      </w:r>
    </w:p>
    <w:p>
      <w:pPr>
        <w:spacing w:after="0" w:line="57" w:lineRule="exact"/>
        <w:rPr>
          <w:rFonts w:ascii="Arial" w:cs="Arial" w:eastAsia="Arial" w:hAnsi="Arial"/>
          <w:sz w:val="17"/>
          <w:szCs w:val="17"/>
          <w:color w:val="auto"/>
        </w:rPr>
      </w:pPr>
    </w:p>
    <w:p>
      <w:pPr>
        <w:ind w:left="-20" w:right="160" w:firstLine="436"/>
        <w:spacing w:after="0" w:line="257" w:lineRule="auto"/>
        <w:tabs>
          <w:tab w:leader="none" w:pos="702"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 and its subsidiaries taken as a whole are insured by insurers of recognized financial responsibility against such</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risks and in such amounts as are, in the Company’s reasonable judgment, prudent and customary in the business in which it is engaged; and none of the Company 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79" w:lineRule="exact"/>
        <w:rPr>
          <w:rFonts w:ascii="Arial" w:cs="Arial" w:eastAsia="Arial" w:hAnsi="Arial"/>
          <w:sz w:val="18"/>
          <w:szCs w:val="18"/>
          <w:color w:val="auto"/>
        </w:rPr>
      </w:pPr>
    </w:p>
    <w:p>
      <w:pPr>
        <w:ind w:left="-20" w:firstLine="436"/>
        <w:spacing w:after="0" w:line="269" w:lineRule="auto"/>
        <w:tabs>
          <w:tab w:leader="none" w:pos="765"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None of the Company or any of its subsidiaries nor, to the knowledge of the Company, any director, officer, agent,</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affiliate or other person, while acting on behalf of the Company or any of its subsidiaries has (i) made, offered, promised or authorized any unlawful contribution, gift, entertainment or other unlawful expense; (ii) made, offered, promised or authorized any direct or indirect unlawful payment to any foreign or domestic government official or employee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from corporate funds; or (iii)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applicable to the Company; and the Company and its subsidiaries conduct their business in compliance with applicable anti-corruption laws in all material respects and have instituted and maintained policies and procedures designed to promote and achieve compliance with such laws in all material respects.</w:t>
      </w:r>
    </w:p>
    <w:p>
      <w:pPr>
        <w:spacing w:after="0" w:line="73" w:lineRule="exact"/>
        <w:rPr>
          <w:rFonts w:ascii="Arial" w:cs="Arial" w:eastAsia="Arial" w:hAnsi="Arial"/>
          <w:sz w:val="17"/>
          <w:szCs w:val="17"/>
          <w:color w:val="auto"/>
        </w:rPr>
      </w:pPr>
    </w:p>
    <w:p>
      <w:pPr>
        <w:ind w:left="-20" w:right="40" w:firstLine="436"/>
        <w:spacing w:after="0" w:line="273" w:lineRule="auto"/>
        <w:tabs>
          <w:tab w:leader="none" w:pos="765"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subsidiaries are and have been conducted at all times</w:t>
      </w:r>
      <w:r>
        <w:rPr>
          <w:rFonts w:ascii="Arial" w:cs="Arial" w:eastAsia="Arial" w:hAnsi="Arial"/>
          <w:sz w:val="17"/>
          <w:szCs w:val="17"/>
          <w:i w:val="1"/>
          <w:iCs w:val="1"/>
          <w:color w:val="auto"/>
        </w:rPr>
        <w:t xml:space="preserve"> </w:t>
      </w:r>
      <w:r>
        <w:rPr>
          <w:rFonts w:ascii="Arial" w:cs="Arial" w:eastAsia="Arial" w:hAnsi="Arial"/>
          <w:sz w:val="17"/>
          <w:szCs w:val="17"/>
          <w:color w:val="auto"/>
        </w:rPr>
        <w:t>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195" w:name="page196"/>
    <w:bookmarkEnd w:id="195"/>
    <w:p>
      <w:pPr>
        <w:ind w:left="-40" w:right="20" w:firstLine="436"/>
        <w:spacing w:after="0" w:line="269" w:lineRule="auto"/>
        <w:tabs>
          <w:tab w:leader="none" w:pos="665"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Conflicts with Sanctions Laws</w:t>
      </w:r>
      <w:r>
        <w:rPr>
          <w:rFonts w:ascii="Arial" w:cs="Arial" w:eastAsia="Arial" w:hAnsi="Arial"/>
          <w:sz w:val="17"/>
          <w:szCs w:val="17"/>
          <w:color w:val="auto"/>
        </w:rPr>
        <w:t>. None of the Company or any of its subsidiaries nor, to the knowledge of the Company, any director,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agent, employee or affiliate of the Company or any of its subsidiaries is currently the subject or the target of any sanctions administered or enforced by the U.S. Government, including, without limitation, the Office of Foreign Assets Control of the U.S. Department of the Treasury, or other relevant sanctions authority (collectively, “Sanctions”),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Except for any violations that have been disclosed in the Time of Sale Information and Offering Memorandum or are otherwise related to the Voluntary Self Disclosure filings that have been identified in the Time of Sale Information and Offering Memorandum, for the past five years, the Company and its subsidiaries have not engaged in and are not now knowingly engaged in any dealings or transactions in violation of U.S. Sanctions.</w:t>
      </w:r>
    </w:p>
    <w:p>
      <w:pPr>
        <w:spacing w:after="0" w:line="73" w:lineRule="exact"/>
        <w:rPr>
          <w:rFonts w:ascii="Arial" w:cs="Arial" w:eastAsia="Arial" w:hAnsi="Arial"/>
          <w:sz w:val="17"/>
          <w:szCs w:val="17"/>
          <w:color w:val="auto"/>
        </w:rPr>
      </w:pPr>
    </w:p>
    <w:p>
      <w:pPr>
        <w:ind w:left="-40" w:firstLine="436"/>
        <w:spacing w:after="0" w:line="263" w:lineRule="auto"/>
        <w:tabs>
          <w:tab w:leader="none" w:pos="665"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any of them or any Initial Purchaser for a brokerage commission, finder’s fee or like payment in connection with the offering and sale of the Securities.</w:t>
      </w:r>
    </w:p>
    <w:p>
      <w:pPr>
        <w:spacing w:after="0" w:line="75" w:lineRule="exact"/>
        <w:rPr>
          <w:rFonts w:ascii="Arial" w:cs="Arial" w:eastAsia="Arial" w:hAnsi="Arial"/>
          <w:sz w:val="18"/>
          <w:szCs w:val="18"/>
          <w:color w:val="auto"/>
        </w:rPr>
      </w:pPr>
    </w:p>
    <w:p>
      <w:pPr>
        <w:ind w:left="-40" w:right="20" w:firstLine="436"/>
        <w:spacing w:after="0" w:line="301" w:lineRule="auto"/>
        <w:tabs>
          <w:tab w:leader="none" w:pos="745"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Rule 144A Eligibility</w:t>
      </w:r>
      <w:r>
        <w:rPr>
          <w:rFonts w:ascii="Arial" w:cs="Arial" w:eastAsia="Arial" w:hAnsi="Arial"/>
          <w:sz w:val="16"/>
          <w:szCs w:val="16"/>
          <w:color w:val="auto"/>
        </w:rPr>
        <w:t>. On the Closing Date, the Securities will not be of the same class as securities listed on a national securities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under Section 6 of the Exchange Act or quoted in an automated inter-dealer quotation system; and each of the Time of Sale Information, as of the Time of Sale, and the Offering Memorandum, as of its date, contains or will contain all the information that, if requested by a prospective purchaser of the Securities, would be required to be provided to such prospective purchaser pursuant to Rule 144A(d)(4) under the Securities Act.</w:t>
      </w:r>
    </w:p>
    <w:p>
      <w:pPr>
        <w:spacing w:after="0" w:line="49" w:lineRule="exact"/>
        <w:rPr>
          <w:rFonts w:ascii="Arial" w:cs="Arial" w:eastAsia="Arial" w:hAnsi="Arial"/>
          <w:sz w:val="16"/>
          <w:szCs w:val="16"/>
          <w:color w:val="auto"/>
        </w:rPr>
      </w:pPr>
    </w:p>
    <w:p>
      <w:pPr>
        <w:ind w:left="-40" w:right="200" w:firstLine="436"/>
        <w:spacing w:after="0" w:line="286" w:lineRule="auto"/>
        <w:tabs>
          <w:tab w:leader="none" w:pos="665"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No Integration</w:t>
      </w:r>
      <w:r>
        <w:rPr>
          <w:rFonts w:ascii="Arial" w:cs="Arial" w:eastAsia="Arial" w:hAnsi="Arial"/>
          <w:sz w:val="17"/>
          <w:szCs w:val="17"/>
          <w:color w:val="auto"/>
        </w:rPr>
        <w:t>. Neither the Company nor any of its affiliates (as defined in Rule 501(b) of Regulation D) has, directly or through any agent,</w:t>
      </w:r>
      <w:r>
        <w:rPr>
          <w:rFonts w:ascii="Arial" w:cs="Arial" w:eastAsia="Arial" w:hAnsi="Arial"/>
          <w:sz w:val="17"/>
          <w:szCs w:val="17"/>
          <w:i w:val="1"/>
          <w:iCs w:val="1"/>
          <w:color w:val="auto"/>
        </w:rPr>
        <w:t xml:space="preserve"> </w:t>
      </w:r>
      <w:r>
        <w:rPr>
          <w:rFonts w:ascii="Arial" w:cs="Arial" w:eastAsia="Arial" w:hAnsi="Arial"/>
          <w:sz w:val="17"/>
          <w:szCs w:val="17"/>
          <w:color w:val="auto"/>
        </w:rPr>
        <w:t>sold, offered for sale, solicited offers to buy or otherwise negotiated in respect of, any security (as defined in the Securities Act), that is or will be integrated with the sale of the Securities in a manner that would require registration of the Securities under the Securities Act.</w:t>
      </w:r>
    </w:p>
    <w:p>
      <w:pPr>
        <w:spacing w:after="0" w:line="57" w:lineRule="exact"/>
        <w:rPr>
          <w:rFonts w:ascii="Arial" w:cs="Arial" w:eastAsia="Arial" w:hAnsi="Arial"/>
          <w:sz w:val="17"/>
          <w:szCs w:val="17"/>
          <w:color w:val="auto"/>
        </w:rPr>
      </w:pPr>
    </w:p>
    <w:p>
      <w:pPr>
        <w:ind w:left="-40" w:right="60" w:firstLine="436"/>
        <w:spacing w:after="0" w:line="259" w:lineRule="auto"/>
        <w:tabs>
          <w:tab w:leader="none" w:pos="845"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No General Solicitation</w:t>
      </w:r>
      <w:r>
        <w:rPr>
          <w:rFonts w:ascii="Arial" w:cs="Arial" w:eastAsia="Arial" w:hAnsi="Arial"/>
          <w:sz w:val="18"/>
          <w:szCs w:val="18"/>
          <w:color w:val="auto"/>
        </w:rPr>
        <w:t>. None of the Company or any of its affiliates or any other person acting on its or their behalf (other than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as to which no representation is made) has solicited offers for, or offered or sold, the Securities by means of any form of general solicitation or general advertising within the meaning of Rule 502(c) of Regulation D or in any manner involving a public offering within the meaning of Section 4(a)(2) of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80" w:top="274" w:right="479" w:bottom="1440" w:gutter="0" w:footer="0" w:header="0"/>
        </w:sectPr>
      </w:pPr>
    </w:p>
    <w:bookmarkStart w:id="196" w:name="page197"/>
    <w:bookmarkEnd w:id="196"/>
    <w:p>
      <w:pPr>
        <w:ind w:left="-20" w:right="100" w:firstLine="436"/>
        <w:spacing w:after="0" w:line="257" w:lineRule="auto"/>
        <w:tabs>
          <w:tab w:leader="none" w:pos="765"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Law Exemptions</w:t>
      </w:r>
      <w:r>
        <w:rPr>
          <w:rFonts w:ascii="Arial" w:cs="Arial" w:eastAsia="Arial" w:hAnsi="Arial"/>
          <w:sz w:val="18"/>
          <w:szCs w:val="18"/>
          <w:color w:val="auto"/>
        </w:rPr>
        <w:t>. Assuming the accuracy of the representations and warranties of the Initial Purchasers contained in Section 2(b)</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compliance with their agreements set forth therein, it is not necessary, in connection with the issuance and sale of the Securities to the Initial Purchasers and the offer, resale and delivery of the Securities by the Initial Purchasers in the manner contemplated by this Agreement, the Time of Sale Information and the Offering Memorandum, to register the Securities under the Securities Act or to qualify the relevant Indenture under the Trust Indenture Act.</w:t>
      </w:r>
    </w:p>
    <w:p>
      <w:pPr>
        <w:spacing w:after="0" w:line="79" w:lineRule="exact"/>
        <w:rPr>
          <w:rFonts w:ascii="Arial" w:cs="Arial" w:eastAsia="Arial" w:hAnsi="Arial"/>
          <w:sz w:val="18"/>
          <w:szCs w:val="18"/>
          <w:color w:val="auto"/>
        </w:rPr>
      </w:pPr>
    </w:p>
    <w:p>
      <w:pPr>
        <w:ind w:left="-20" w:right="160" w:firstLine="436"/>
        <w:spacing w:after="0" w:line="308" w:lineRule="auto"/>
        <w:tabs>
          <w:tab w:leader="none" w:pos="765"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has not taken, directly or indirectly, any action designed to or that could reasonably be expected to cause or</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any stabilization or manipulation of the price of any security of the Company to facilitate the sale of the Securities.</w:t>
      </w:r>
    </w:p>
    <w:p>
      <w:pPr>
        <w:spacing w:after="0" w:line="38" w:lineRule="exact"/>
        <w:rPr>
          <w:sz w:val="20"/>
          <w:szCs w:val="20"/>
          <w:color w:val="auto"/>
        </w:rPr>
      </w:pPr>
    </w:p>
    <w:p>
      <w:pPr>
        <w:jc w:val="both"/>
        <w:ind w:left="-20" w:firstLine="436"/>
        <w:spacing w:after="0" w:line="263" w:lineRule="auto"/>
        <w:tabs>
          <w:tab w:leader="none" w:pos="765"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Time of Sale Information and the Offering Memorandum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left="-20" w:right="40" w:firstLine="436"/>
        <w:spacing w:after="0" w:line="263"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The statistical and market-related data included or incorporated by reference in the Time of Sale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Offering Memorandum are based on or derived from estimates and sources that the Company believes to be reliable and accurate in all material respects.</w:t>
      </w:r>
    </w:p>
    <w:p>
      <w:pPr>
        <w:spacing w:after="0" w:line="75" w:lineRule="exact"/>
        <w:rPr>
          <w:rFonts w:ascii="Arial" w:cs="Arial" w:eastAsia="Arial" w:hAnsi="Arial"/>
          <w:sz w:val="18"/>
          <w:szCs w:val="18"/>
          <w:color w:val="auto"/>
        </w:rPr>
      </w:pPr>
    </w:p>
    <w:p>
      <w:pPr>
        <w:ind w:left="-20" w:right="160" w:firstLine="436"/>
        <w:spacing w:after="0" w:line="293" w:lineRule="auto"/>
        <w:tabs>
          <w:tab w:leader="none" w:pos="725"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Except as would not, individually or in the aggregate, have a Material Adverse Effect,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believes that (i) the Company and its subsidiaries own or have a valid right to access and use all computer systems, networks, hardware, software, databases, websites, and equipment used to process, store, maintain and operate data, information, and functions used in connection with the business of the Company and its subsidiaries (the “</w:t>
      </w:r>
      <w:r>
        <w:rPr>
          <w:rFonts w:ascii="Arial" w:cs="Arial" w:eastAsia="Arial" w:hAnsi="Arial"/>
          <w:sz w:val="16"/>
          <w:szCs w:val="16"/>
          <w:u w:val="single" w:color="auto"/>
          <w:color w:val="auto"/>
        </w:rPr>
        <w:t>Company IT Systems</w:t>
      </w:r>
      <w:r>
        <w:rPr>
          <w:rFonts w:ascii="Arial" w:cs="Arial" w:eastAsia="Arial" w:hAnsi="Arial"/>
          <w:sz w:val="16"/>
          <w:szCs w:val="16"/>
          <w:color w:val="auto"/>
        </w:rPr>
        <w:t>”), (ii) the Company IT Systems are adequate for, and operate and perform as required in connection with, the operation of the business of the Company and its subsidiaries as currently conducted and (iii) the Company and its subsidiaries have implemented reasonable backup, security and disaster recovery technology consistent with applicable regulatory standards.</w:t>
      </w:r>
    </w:p>
    <w:p>
      <w:pPr>
        <w:spacing w:after="0" w:line="56" w:lineRule="exact"/>
        <w:rPr>
          <w:rFonts w:ascii="Arial" w:cs="Arial" w:eastAsia="Arial" w:hAnsi="Arial"/>
          <w:sz w:val="16"/>
          <w:szCs w:val="16"/>
          <w:color w:val="auto"/>
        </w:rPr>
      </w:pPr>
    </w:p>
    <w:p>
      <w:pPr>
        <w:ind w:left="-20" w:right="60" w:firstLine="436"/>
        <w:spacing w:after="0" w:line="269" w:lineRule="auto"/>
        <w:tabs>
          <w:tab w:leader="none" w:pos="685"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Data Protection</w:t>
      </w:r>
      <w:r>
        <w:rPr>
          <w:rFonts w:ascii="Arial" w:cs="Arial" w:eastAsia="Arial" w:hAnsi="Arial"/>
          <w:sz w:val="17"/>
          <w:szCs w:val="17"/>
          <w:color w:val="auto"/>
        </w:rPr>
        <w:t>. Except as would not, individually or in the aggregate, reasonably be expected to have a Material Adverse Effect, (i)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have (A) operated and currently operate their respective businesses in a manner compliant with all applicable foreign, federal, state and local laws and regulations, all contractual obligations and all Company policies (internal and posted) related to privacy and data security applicable to the Company’s, and its subsidiaries’, collection, use, handling, transfer, transmission, storage, disclosure and/or disposal of the data of their respective customers, employees and other third parties (the “Privacy and Data Security Laws”) and (B) implemented, monitored and have been and are in compliance with, applicable administrative, technical and physical safeguards and policies and procedures designed to ensure compliance with Privacy and Data Security Laws and (ii) except as described in the Time of Sale Information and the Offering Memorandum, there has been no loss or unauthorized access, use, modification or breach of security of customer, employee or third party data maintained by or on behalf of the Company and its subsidiaries, and neither the Company nor any of its subsidiaries has notified, nor has the current intention to notify, any customer, governmental entity or the media of any such event with regard to any material data breach.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197" w:name="page198"/>
    <w:bookmarkEnd w:id="197"/>
    <w:p>
      <w:pPr>
        <w:ind w:right="120" w:firstLine="436"/>
        <w:spacing w:after="0" w:line="263" w:lineRule="auto"/>
        <w:tabs>
          <w:tab w:leader="none" w:pos="785"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Sarbanes-Oxley Act</w:t>
      </w:r>
      <w:r>
        <w:rPr>
          <w:rFonts w:ascii="Arial" w:cs="Arial" w:eastAsia="Arial" w:hAnsi="Arial"/>
          <w:sz w:val="18"/>
          <w:szCs w:val="18"/>
          <w:color w:val="auto"/>
        </w:rPr>
        <w:t>. The Company and its directors or officers, in their capacities as such, have complied in all material respects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provisions of the Sarbanes-Oxley Act of 2002, as amended and the rules and regulations promulgated in connection therewith as currently in effect, including Section 402 related to loans and Sections 302 and 906 related to certifications.</w:t>
      </w:r>
    </w:p>
    <w:p>
      <w:pPr>
        <w:spacing w:after="0" w:line="75" w:lineRule="exact"/>
        <w:rPr>
          <w:rFonts w:ascii="Arial" w:cs="Arial" w:eastAsia="Arial" w:hAnsi="Arial"/>
          <w:sz w:val="18"/>
          <w:szCs w:val="18"/>
          <w:color w:val="auto"/>
        </w:rPr>
      </w:pPr>
    </w:p>
    <w:p>
      <w:pPr>
        <w:ind w:right="800" w:firstLine="436"/>
        <w:spacing w:after="0" w:line="308" w:lineRule="auto"/>
        <w:tabs>
          <w:tab w:leader="none" w:pos="785" w:val="left"/>
        </w:tabs>
        <w:numPr>
          <w:ilvl w:val="0"/>
          <w:numId w:val="196"/>
        </w:numPr>
        <w:rPr>
          <w:rFonts w:ascii="Arial" w:cs="Arial" w:eastAsia="Arial" w:hAnsi="Arial"/>
          <w:sz w:val="17"/>
          <w:szCs w:val="17"/>
          <w:color w:val="auto"/>
        </w:rPr>
      </w:pPr>
      <w:r>
        <w:rPr>
          <w:rFonts w:ascii="Arial" w:cs="Arial" w:eastAsia="Arial" w:hAnsi="Arial"/>
          <w:sz w:val="17"/>
          <w:szCs w:val="17"/>
          <w:i w:val="1"/>
          <w:iCs w:val="1"/>
          <w:color w:val="auto"/>
        </w:rPr>
        <w:t>No Ratings</w:t>
      </w:r>
      <w:r>
        <w:rPr>
          <w:rFonts w:ascii="Arial" w:cs="Arial" w:eastAsia="Arial" w:hAnsi="Arial"/>
          <w:sz w:val="17"/>
          <w:szCs w:val="17"/>
          <w:color w:val="auto"/>
        </w:rPr>
        <w:t>. There are no securities or preferred stock of or guaranteed by the Company or any of its subsidiaries that are rated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“nationally recognized statistical rating organization,” as such term is defined under Section 3(a)(62) under the Exchange Act.</w:t>
      </w:r>
    </w:p>
    <w:p>
      <w:pPr>
        <w:spacing w:after="0" w:line="38" w:lineRule="exact"/>
        <w:rPr>
          <w:rFonts w:ascii="Arial" w:cs="Arial" w:eastAsia="Arial" w:hAnsi="Arial"/>
          <w:sz w:val="17"/>
          <w:szCs w:val="17"/>
          <w:color w:val="auto"/>
        </w:rPr>
      </w:pPr>
    </w:p>
    <w:p>
      <w:pPr>
        <w:ind w:left="1160" w:hanging="173"/>
        <w:spacing w:after="0"/>
        <w:tabs>
          <w:tab w:leader="none" w:pos="116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Initial Purchaser that:</w:t>
      </w:r>
    </w:p>
    <w:p>
      <w:pPr>
        <w:spacing w:after="0" w:line="117" w:lineRule="exact"/>
        <w:rPr>
          <w:sz w:val="20"/>
          <w:szCs w:val="20"/>
          <w:color w:val="auto"/>
        </w:rPr>
      </w:pPr>
    </w:p>
    <w:p>
      <w:pPr>
        <w:ind w:firstLine="436"/>
        <w:spacing w:after="0" w:line="263" w:lineRule="auto"/>
        <w:tabs>
          <w:tab w:leader="none" w:pos="685"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Copies. </w:t>
      </w:r>
      <w:r>
        <w:rPr>
          <w:rFonts w:ascii="Arial" w:cs="Arial" w:eastAsia="Arial" w:hAnsi="Arial"/>
          <w:sz w:val="18"/>
          <w:szCs w:val="18"/>
          <w:color w:val="auto"/>
        </w:rPr>
        <w:t>The Company will deliver to the Initial Purchasers as many copies of the Preliminary Offering Memorandum,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Sale Information, any Issuer Written Communication and the Offering Memorandum (including all amendments and supplements thereto) as the Representatives may reasonably request.</w:t>
      </w:r>
    </w:p>
    <w:p>
      <w:pPr>
        <w:spacing w:after="0" w:line="75" w:lineRule="exact"/>
        <w:rPr>
          <w:rFonts w:ascii="Arial" w:cs="Arial" w:eastAsia="Arial" w:hAnsi="Arial"/>
          <w:sz w:val="18"/>
          <w:szCs w:val="18"/>
          <w:color w:val="auto"/>
        </w:rPr>
      </w:pPr>
    </w:p>
    <w:p>
      <w:pPr>
        <w:ind w:right="40" w:firstLine="436"/>
        <w:spacing w:after="0" w:line="293" w:lineRule="auto"/>
        <w:tabs>
          <w:tab w:leader="none" w:pos="695"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Offering Memorandum, Amendments or Supplements</w:t>
      </w:r>
      <w:r>
        <w:rPr>
          <w:rFonts w:ascii="Arial" w:cs="Arial" w:eastAsia="Arial" w:hAnsi="Arial"/>
          <w:sz w:val="16"/>
          <w:szCs w:val="16"/>
          <w:color w:val="auto"/>
        </w:rPr>
        <w:t>. Before finalizing the Offering Memorandum or making or distributing any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or supplement to any of the Time of Sale Information or the Offering Memorandum or filing with the Commission that will be incorporated by reference therein, the Company will furnish to the Representatives and counsel for the Initial Purchasers a copy of the proposed Offering Memorandum or such amendment or supplement or document to be incorporated by reference therein for review, and, prior to the Closing Date, will not distribute any such proposed Offering Memorandum, amendment or supplement or file any such document with the Commission to which the Representatives reasonably object; provided, however, that the Company shall not be prevented from filing any such document that its counsel has concluded is required by law.</w:t>
      </w:r>
    </w:p>
    <w:p>
      <w:pPr>
        <w:spacing w:after="0" w:line="56" w:lineRule="exact"/>
        <w:rPr>
          <w:rFonts w:ascii="Arial" w:cs="Arial" w:eastAsia="Arial" w:hAnsi="Arial"/>
          <w:sz w:val="16"/>
          <w:szCs w:val="16"/>
          <w:color w:val="auto"/>
        </w:rPr>
      </w:pPr>
    </w:p>
    <w:p>
      <w:pPr>
        <w:ind w:left="680" w:hanging="244"/>
        <w:spacing w:after="0"/>
        <w:tabs>
          <w:tab w:leader="none" w:pos="680"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Additional Written Communications. </w:t>
      </w:r>
      <w:r>
        <w:rPr>
          <w:rFonts w:ascii="Arial" w:cs="Arial" w:eastAsia="Arial" w:hAnsi="Arial"/>
          <w:sz w:val="18"/>
          <w:szCs w:val="18"/>
          <w:color w:val="auto"/>
        </w:rPr>
        <w:t>Before making, preparing, using, authorizing, approving or referring to any Issuer Written</w:t>
      </w:r>
    </w:p>
    <w:p>
      <w:pPr>
        <w:spacing w:after="0" w:line="23" w:lineRule="exact"/>
        <w:rPr>
          <w:rFonts w:ascii="Arial" w:cs="Arial" w:eastAsia="Arial" w:hAnsi="Arial"/>
          <w:sz w:val="18"/>
          <w:szCs w:val="18"/>
          <w:color w:val="auto"/>
        </w:rPr>
      </w:pPr>
    </w:p>
    <w:p>
      <w:pPr>
        <w:ind w:right="180"/>
        <w:spacing w:after="0" w:line="323" w:lineRule="auto"/>
        <w:rPr>
          <w:rFonts w:ascii="Arial" w:cs="Arial" w:eastAsia="Arial" w:hAnsi="Arial"/>
          <w:sz w:val="18"/>
          <w:szCs w:val="18"/>
          <w:color w:val="auto"/>
        </w:rPr>
      </w:pPr>
      <w:r>
        <w:rPr>
          <w:rFonts w:ascii="Arial" w:cs="Arial" w:eastAsia="Arial" w:hAnsi="Arial"/>
          <w:sz w:val="16"/>
          <w:szCs w:val="16"/>
          <w:color w:val="auto"/>
        </w:rPr>
        <w:t>Communication, the Company will furnish to the Representatives and counsel for the Initial Purchasers a copy of such written communication for review and will not make, prepare, use, authorize, approve or refer to any such written communication to which the Representatives reasonably object.</w:t>
      </w:r>
    </w:p>
    <w:p>
      <w:pPr>
        <w:spacing w:after="0" w:line="30" w:lineRule="exact"/>
        <w:rPr>
          <w:rFonts w:ascii="Arial" w:cs="Arial" w:eastAsia="Arial" w:hAnsi="Arial"/>
          <w:sz w:val="18"/>
          <w:szCs w:val="18"/>
          <w:color w:val="auto"/>
        </w:rPr>
      </w:pPr>
    </w:p>
    <w:p>
      <w:pPr>
        <w:ind w:right="80" w:firstLine="436"/>
        <w:spacing w:after="0" w:line="275" w:lineRule="auto"/>
        <w:tabs>
          <w:tab w:leader="none" w:pos="695"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 xml:space="preserve">Notice to the Representatives. </w:t>
      </w:r>
      <w:r>
        <w:rPr>
          <w:rFonts w:ascii="Arial" w:cs="Arial" w:eastAsia="Arial" w:hAnsi="Arial"/>
          <w:sz w:val="17"/>
          <w:szCs w:val="17"/>
          <w:color w:val="auto"/>
        </w:rPr>
        <w:t>During such period after the date hereof and prior to the completion of the offering of all of the Securities,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advise the Representatives promptly, and confirm such advice in writing, (i) of the issuance by any governmental or regulatory authority of any order preventing or suspending the use of any of the Time of Sale Information, any Issuer Written Communication or the Offering Memorandum or the initiation or threatening of any proceeding for that purpose; (ii) of the occurrence or development of any event at any time prior to the completion of the offering of all of the Securities as a result of which any of the Time of Sale Information, any Issuer Written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98" w:name="page199"/>
    <w:bookmarkEnd w:id="198"/>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Communication or the Offering Memorandum as then amended or supplemented would include any untrue statement of a material fact or omit to state a material fact necessary in order to make the statements therein, in the light of the circumstances existing when such Time of Sale Information, Issuer Written Communication or the Offering Memorandum is delivered to a purchaser, not misleading; and (iii)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preventing or suspending the use of any of the Time of Sale Information, any Issuer Written Communication or the Offering Memorandum or suspending any such qualification of the Securities and, if any such order is issued, will obtain as soon as possible the withdrawal thereof.</w:t>
      </w:r>
    </w:p>
    <w:p>
      <w:pPr>
        <w:spacing w:after="0" w:line="69" w:lineRule="exact"/>
        <w:rPr>
          <w:sz w:val="20"/>
          <w:szCs w:val="20"/>
          <w:color w:val="auto"/>
        </w:rPr>
      </w:pPr>
    </w:p>
    <w:p>
      <w:pPr>
        <w:ind w:left="4" w:right="20" w:firstLine="436"/>
        <w:spacing w:after="0" w:line="285" w:lineRule="auto"/>
        <w:tabs>
          <w:tab w:leader="none" w:pos="689"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Ongoing Compliance of the Offering Memorandum and Time of Sale Information</w:t>
      </w:r>
      <w:r>
        <w:rPr>
          <w:rFonts w:ascii="Arial" w:cs="Arial" w:eastAsia="Arial" w:hAnsi="Arial"/>
          <w:sz w:val="16"/>
          <w:szCs w:val="16"/>
          <w:color w:val="auto"/>
        </w:rPr>
        <w:t>. (1) If at any time prior to the completion of the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Securities (i) any event or development shall occur or 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such amendments or supplements to the Offering Memorandum (or any document to be filed with the Commission and incorporated by reference therein) as may be necessary so that the statements in the Offering Memorandum as so amended or supplemented (or including such document to be incorporated by reference therein) will not, in the light of the circumstances existing when the Offering Memorandum is delivered to a purchaser, be misleading or so that the Offering Memorandum will comply with law and (2) if at any time prior to the Closing Date (i) any event or development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any of the Time of Sale Information to comply with law, the Company will immediately notify the Initial Purchasers thereof and forthwith prepare and, subject to paragraph (b) above, furnish to the Initial Purchasers such amendments or supplements to any of the Time of Sale Information (or any document to be filed with the Commission and incorporated by reference therein) as may be necessary so that the statements in any of the Time of Sale Information as so amended or supplemented will not, in light of the circumstances under which they were made, be misleading.</w:t>
      </w:r>
    </w:p>
    <w:p>
      <w:pPr>
        <w:spacing w:after="0" w:line="68" w:lineRule="exact"/>
        <w:rPr>
          <w:rFonts w:ascii="Arial" w:cs="Arial" w:eastAsia="Arial" w:hAnsi="Arial"/>
          <w:sz w:val="16"/>
          <w:szCs w:val="16"/>
          <w:color w:val="auto"/>
        </w:rPr>
      </w:pPr>
    </w:p>
    <w:p>
      <w:pPr>
        <w:ind w:left="4" w:right="80" w:firstLine="436"/>
        <w:spacing w:after="0" w:line="286" w:lineRule="auto"/>
        <w:tabs>
          <w:tab w:leader="none" w:pos="669"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qualify the Securities for offer and sale under the securities or Blue Sky laws of such jurisdictions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Representatives shall reasonably request and will continue such qualifications in effect so long as required for the offering and resale of the Securities; provided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otherwise so subject.</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199" w:name="page200"/>
    <w:bookmarkEnd w:id="199"/>
    <w:p>
      <w:pPr>
        <w:ind w:left="4" w:firstLine="436"/>
        <w:spacing w:after="0" w:line="282" w:lineRule="auto"/>
        <w:tabs>
          <w:tab w:leader="none" w:pos="699"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Lock-Up</w:t>
      </w:r>
      <w:r>
        <w:rPr>
          <w:rFonts w:ascii="Arial" w:cs="Arial" w:eastAsia="Arial" w:hAnsi="Arial"/>
          <w:sz w:val="16"/>
          <w:szCs w:val="16"/>
          <w:color w:val="auto"/>
        </w:rPr>
        <w:t>. During the period beginning from the date hereof and continuing to and including the date 60 days after the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Memorandum (the “Company Lock-up Period”) the Company shall not (i) offer, pledge sell, contract to sell, sell any option or contract to purchase, purchase any option or contract to sell, pledge, grant any option, right or warrant to purchase, lend, make any short sale or otherwise transfer or dispose of, directly or indirectly, or file with or confidentially submit to the Commission a registration statement under the Securities Act relating to, any securities of the Company that are substantially similar to the Securities, or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(other than shares of Common Stock to be sold pursuant to employee stock option plans existing on, or upon the conversion or exchange of convertible or exchangeable securities outstanding as of, the date of this Agreement), without the prior written consent of J.P. Morgan Securities LLC and Goldman Sachs &amp; Co. LLC; provided, however, that the foregoing restrictions shall not apply to shall to (i) the Securities to be sold hereunder and the issuance of Underlying Shares upon the conversion of the Securities, and the entry into, or the issuance by the Company of any Common Stock upon settlement or termination of, the Call Spread Confirmations, (ii) the issuance by the Company of shares of Common Stock, Class B common stock or Class C common stock upon the exercise of an option or warrant, the settlement of restricted stock or restricted stock units or the conversion of a security outstanding on the date of this Agreement and described in the Offering Memorandum, (iii) the issuance by the Company of shares of Common Stock, Class B common stock or Class C common stock or securities convertible into, exchangeable for or that represent that right to receive shares of Common Stock, Class B common stock or Class C common stock, in each case pursuant to the Company’s stock plans that are described in the Offering Memorandum, (iv) the issuance by the Company of shares of Common Stock, Class B common stock or Class C common stock or securities convertible into, exchangeable for or that represent the right to receive shares of Common Stock, Class B common stock or Class C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 (y) the Company’s joint ventures, commercial relationships and other strategic transactions, or (v) the filing of any registration statement on Form S-8 relating to securities granted or to be granted pursuant to (A) the Company’s stock plans that are described in the Offering Memorandum or (B) any assumed employee benefit plan contemplated by clause (iv); provided, that the aggregate number of shares of Common Stock that the Company may sell or issue or agree to sell or issue pursuant to clause (iv) and, with respect to securities to be granted pursuant to any assumed employee benefit plan pursuant to clause</w:t>
      </w:r>
    </w:p>
    <w:p>
      <w:pPr>
        <w:spacing w:after="0" w:line="9" w:lineRule="exact"/>
        <w:rPr>
          <w:rFonts w:ascii="Arial" w:cs="Arial" w:eastAsia="Arial" w:hAnsi="Arial"/>
          <w:sz w:val="16"/>
          <w:szCs w:val="16"/>
          <w:color w:val="auto"/>
        </w:rPr>
      </w:pPr>
    </w:p>
    <w:p>
      <w:pPr>
        <w:ind w:left="264" w:hanging="264"/>
        <w:spacing w:after="0"/>
        <w:tabs>
          <w:tab w:leader="none" w:pos="26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shall not exceed 10% of the total number of shares of Common Stock outstanding immediately following the offering of the Securities on the date of</w:t>
      </w:r>
    </w:p>
    <w:p>
      <w:pPr>
        <w:spacing w:after="0" w:line="16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200" w:name="page201"/>
    <w:bookmarkEnd w:id="20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and provided, further, that in the case of clauses (ii) through (v), the Company shall (a) cause each recipient of such securities to execute and deliver to you, on or prior to the issuance of such securities, a lock-up agreement substantially to the effect set forth in Exhibit A hereto; provided, that in the case of clauses (ii), (iii) and (v)(A), such lock-up agreement shall only be required if the recipient of such securities is a member of the Company’s board of directors or executive officer of the Company and (b) enter stop transfer instructions with the Company’s transfer agent and registrar on such securities with respect to all recipients of such securities, which the Company agrees it will not waive or amend without the prior written consent of J.P. Morgan Securities LLC and Goldman Sachs &amp; Co. LLC.</w:t>
      </w:r>
    </w:p>
    <w:p>
      <w:pPr>
        <w:spacing w:after="0" w:line="70" w:lineRule="exact"/>
        <w:rPr>
          <w:sz w:val="20"/>
          <w:szCs w:val="20"/>
          <w:color w:val="auto"/>
        </w:rPr>
      </w:pPr>
    </w:p>
    <w:p>
      <w:pPr>
        <w:ind w:right="40" w:firstLine="436"/>
        <w:spacing w:after="0" w:line="277"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Securities as described in each of the Time of Sale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Offering Memorandum under the heading “Use of Proceeds”.</w:t>
      </w:r>
    </w:p>
    <w:p>
      <w:pPr>
        <w:spacing w:after="0" w:line="62" w:lineRule="exact"/>
        <w:rPr>
          <w:rFonts w:ascii="Arial" w:cs="Arial" w:eastAsia="Arial" w:hAnsi="Arial"/>
          <w:sz w:val="18"/>
          <w:szCs w:val="18"/>
          <w:color w:val="auto"/>
        </w:rPr>
      </w:pPr>
    </w:p>
    <w:p>
      <w:pPr>
        <w:ind w:right="20" w:firstLine="436"/>
        <w:spacing w:after="0" w:line="286" w:lineRule="auto"/>
        <w:tabs>
          <w:tab w:leader="none" w:pos="655"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No Stabilization</w:t>
      </w:r>
      <w:r>
        <w:rPr>
          <w:rFonts w:ascii="Arial" w:cs="Arial" w:eastAsia="Arial" w:hAnsi="Arial"/>
          <w:sz w:val="17"/>
          <w:szCs w:val="17"/>
          <w:color w:val="auto"/>
        </w:rPr>
        <w:t>. The Company will not take, directly or indirectly, without giving effect to the activities by the Initial Purchasers, many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could reasonably be expected to cause or result in any stabilization or manipulation of the price of the Securities and will not take any action prohibited by Regulation M under the Exchange Act in connection with the distribution of the Securities contemplated hereby.</w:t>
      </w:r>
    </w:p>
    <w:p>
      <w:pPr>
        <w:spacing w:after="0" w:line="57" w:lineRule="exact"/>
        <w:rPr>
          <w:rFonts w:ascii="Arial" w:cs="Arial" w:eastAsia="Arial" w:hAnsi="Arial"/>
          <w:sz w:val="17"/>
          <w:szCs w:val="17"/>
          <w:color w:val="auto"/>
        </w:rPr>
      </w:pPr>
    </w:p>
    <w:p>
      <w:pPr>
        <w:ind w:right="40" w:firstLine="436"/>
        <w:spacing w:after="0" w:line="259"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Underlying Securities</w:t>
      </w:r>
      <w:r>
        <w:rPr>
          <w:rFonts w:ascii="Arial" w:cs="Arial" w:eastAsia="Arial" w:hAnsi="Arial"/>
          <w:sz w:val="18"/>
          <w:szCs w:val="18"/>
          <w:color w:val="auto"/>
        </w:rPr>
        <w:t>. While the Securities remain outstanding, the Company will use its commercially reasonable efforts to reserve and keep</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at all times, free of pre-emptive rights, shares of Common Stock for the purpose of enabling the Company to satisfy all obligations to issue the Underlying Securities upon conversion of the Securities. The Company will use its reasonable best efforts to cause the Underlying Securities to be listed on the Nasdaq Global Select Market (the “Exchange”).</w:t>
      </w:r>
    </w:p>
    <w:p>
      <w:pPr>
        <w:spacing w:after="0" w:line="78" w:lineRule="exact"/>
        <w:rPr>
          <w:rFonts w:ascii="Arial" w:cs="Arial" w:eastAsia="Arial" w:hAnsi="Arial"/>
          <w:sz w:val="18"/>
          <w:szCs w:val="18"/>
          <w:color w:val="auto"/>
        </w:rPr>
      </w:pPr>
    </w:p>
    <w:p>
      <w:pPr>
        <w:ind w:right="20" w:firstLine="436"/>
        <w:spacing w:after="0" w:line="279" w:lineRule="auto"/>
        <w:tabs>
          <w:tab w:leader="none" w:pos="695"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Supplying Information</w:t>
      </w:r>
      <w:r>
        <w:rPr>
          <w:rFonts w:ascii="Arial" w:cs="Arial" w:eastAsia="Arial" w:hAnsi="Arial"/>
          <w:sz w:val="17"/>
          <w:szCs w:val="17"/>
          <w:color w:val="auto"/>
        </w:rPr>
        <w:t>. While the Securities remain outstanding and are “restricted securities” within the meaning of Rule 144(a)(3)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the Company will, during any period in which the Company is not subject to and in compliance with Section 13 or 15(d) of the Exchange Act, furnish to holders of the Securities, prospective purchasers of the Securities designated by such holders and securities analysts, in each case upon request, the information required to be delivered pursuant to Rule 144A(d)(4) under the Securities Act.</w:t>
      </w:r>
    </w:p>
    <w:p>
      <w:pPr>
        <w:spacing w:after="0" w:line="63" w:lineRule="exact"/>
        <w:rPr>
          <w:rFonts w:ascii="Arial" w:cs="Arial" w:eastAsia="Arial" w:hAnsi="Arial"/>
          <w:sz w:val="17"/>
          <w:szCs w:val="17"/>
          <w:color w:val="auto"/>
        </w:rPr>
      </w:pPr>
    </w:p>
    <w:p>
      <w:pPr>
        <w:ind w:right="320" w:firstLine="436"/>
        <w:spacing w:after="0" w:line="277"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Company will use commercially reasonable efforts to assist the Initial Purchasers in arranging for the Securities to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clearance and settlement through DTC.</w:t>
      </w:r>
    </w:p>
    <w:p>
      <w:pPr>
        <w:spacing w:after="0" w:line="62" w:lineRule="exact"/>
        <w:rPr>
          <w:rFonts w:ascii="Arial" w:cs="Arial" w:eastAsia="Arial" w:hAnsi="Arial"/>
          <w:sz w:val="18"/>
          <w:szCs w:val="18"/>
          <w:color w:val="auto"/>
        </w:rPr>
      </w:pPr>
    </w:p>
    <w:p>
      <w:pPr>
        <w:jc w:val="both"/>
        <w:ind w:right="40" w:firstLine="436"/>
        <w:spacing w:after="0" w:line="259" w:lineRule="auto"/>
        <w:tabs>
          <w:tab w:leader="none" w:pos="745"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No Resales by the Company</w:t>
      </w:r>
      <w:r>
        <w:rPr>
          <w:rFonts w:ascii="Arial" w:cs="Arial" w:eastAsia="Arial" w:hAnsi="Arial"/>
          <w:sz w:val="18"/>
          <w:szCs w:val="18"/>
          <w:color w:val="auto"/>
        </w:rPr>
        <w:t>. During the period from the Closing Date until one year after the Closing Date, or the Additional Closing Date,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the Company will not, and will not permit any of its affiliates (as defined in Rule 144 under the Securities Act) to, resell any of the Securities that have been acquired by any of them, except for Securities purchased by the Company or any of its affiliates and resold in a transaction registered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01" w:name="page202"/>
    <w:bookmarkEnd w:id="201"/>
    <w:p>
      <w:pPr>
        <w:ind w:right="200" w:firstLine="436"/>
        <w:spacing w:after="0" w:line="286" w:lineRule="auto"/>
        <w:tabs>
          <w:tab w:leader="none" w:pos="695"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Integration</w:t>
      </w:r>
      <w:r>
        <w:rPr>
          <w:rFonts w:ascii="Arial" w:cs="Arial" w:eastAsia="Arial" w:hAnsi="Arial"/>
          <w:sz w:val="17"/>
          <w:szCs w:val="17"/>
          <w:color w:val="auto"/>
        </w:rPr>
        <w:t>. Neither the Company nor any of its affiliates (as defined in Rule 501(b) of Regulation D) will, directly or through any agent,</w:t>
      </w:r>
      <w:r>
        <w:rPr>
          <w:rFonts w:ascii="Arial" w:cs="Arial" w:eastAsia="Arial" w:hAnsi="Arial"/>
          <w:sz w:val="17"/>
          <w:szCs w:val="17"/>
          <w:i w:val="1"/>
          <w:iCs w:val="1"/>
          <w:color w:val="auto"/>
        </w:rPr>
        <w:t xml:space="preserve"> </w:t>
      </w:r>
      <w:r>
        <w:rPr>
          <w:rFonts w:ascii="Arial" w:cs="Arial" w:eastAsia="Arial" w:hAnsi="Arial"/>
          <w:sz w:val="17"/>
          <w:szCs w:val="17"/>
          <w:color w:val="auto"/>
        </w:rPr>
        <w:t>sell, offer for sale, solicit offers to buy or otherwise negotiate in respect of, any security (as defined in the Securities Act), that is or will be integrated with the sale of the Securities in a manner that would require registration of the Securities under the Securities Act.</w:t>
      </w:r>
    </w:p>
    <w:p>
      <w:pPr>
        <w:spacing w:after="0" w:line="57" w:lineRule="exact"/>
        <w:rPr>
          <w:rFonts w:ascii="Arial" w:cs="Arial" w:eastAsia="Arial" w:hAnsi="Arial"/>
          <w:sz w:val="17"/>
          <w:szCs w:val="17"/>
          <w:color w:val="auto"/>
        </w:rPr>
      </w:pPr>
    </w:p>
    <w:p>
      <w:pPr>
        <w:jc w:val="both"/>
        <w:ind w:right="340" w:firstLine="436"/>
        <w:spacing w:after="0" w:line="259" w:lineRule="auto"/>
        <w:tabs>
          <w:tab w:leader="none" w:pos="695"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No General Solicitation</w:t>
      </w:r>
      <w:r>
        <w:rPr>
          <w:rFonts w:ascii="Arial" w:cs="Arial" w:eastAsia="Arial" w:hAnsi="Arial"/>
          <w:sz w:val="18"/>
          <w:szCs w:val="18"/>
          <w:color w:val="auto"/>
        </w:rPr>
        <w:t>. None of the Company or any of its affiliates or any other person acting on its or their behalf (other than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as to which no covenant is given) will (i) solicit offers for, or offer or sell, the Securities by means of any form of general solicitation or general advertising within the meaning of Rule 502(c) of Regulation D without the prior written consent of the Representatives or in any manner involving a public offering within the meaning of Section 4(a)(2) of the Securities Act.</w:t>
      </w:r>
    </w:p>
    <w:p>
      <w:pPr>
        <w:spacing w:after="0" w:line="79" w:lineRule="exact"/>
        <w:rPr>
          <w:sz w:val="20"/>
          <w:szCs w:val="20"/>
          <w:color w:val="auto"/>
        </w:rPr>
      </w:pPr>
    </w:p>
    <w:p>
      <w:pPr>
        <w:ind w:right="60" w:firstLine="436"/>
        <w:spacing w:after="0" w:line="290" w:lineRule="auto"/>
        <w:tabs>
          <w:tab w:leader="none" w:pos="620"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Certain Agreements of the Initial Purchasers</w:t>
      </w:r>
      <w:r>
        <w:rPr>
          <w:rFonts w:ascii="Arial" w:cs="Arial" w:eastAsia="Arial" w:hAnsi="Arial"/>
          <w:sz w:val="16"/>
          <w:szCs w:val="16"/>
          <w:color w:val="auto"/>
        </w:rPr>
        <w:t>. Each Initial Purchaser hereby represents and agrees that it has not and will not use, authorize use of, refer to, or participate in the planning for use of, any written communication that constitutes an offer to sell or the solicitation of an offer to buy the Securities other than (i) the Preliminary Offering Memorandum and the Offering Memorandum, (ii) a written communication that contains no “issuer information” (as defined in Rule 433(h)(2) under the Securities Act) that was not included (including through incorporation by reference) in the Time of Sale Information or the Offering Memorandum, (iii) any written communication listed on Annex A or prepared pursuant to Section 4(c) above (including any electronic road show) or 4(o) above], (iv) any written communication prepared by such Initial Purchaser and approved by the Company in advance in writing or (v) any written communication relating to or that contains the terms of the Securities and/or other information that was included (including through incorporation by reference) in the Time of Sale Information or the Offering Memorandum.</w:t>
      </w:r>
    </w:p>
    <w:p>
      <w:pPr>
        <w:spacing w:after="0" w:line="57" w:lineRule="exact"/>
        <w:rPr>
          <w:rFonts w:ascii="Arial" w:cs="Arial" w:eastAsia="Arial" w:hAnsi="Arial"/>
          <w:sz w:val="16"/>
          <w:szCs w:val="16"/>
          <w:color w:val="auto"/>
        </w:rPr>
      </w:pPr>
    </w:p>
    <w:p>
      <w:pPr>
        <w:ind w:firstLine="436"/>
        <w:spacing w:after="0" w:line="263" w:lineRule="auto"/>
        <w:tabs>
          <w:tab w:leader="none" w:pos="62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Conditions of Initial Purchasers’ Obligations.</w:t>
      </w:r>
      <w:r>
        <w:rPr>
          <w:rFonts w:ascii="Arial" w:cs="Arial" w:eastAsia="Arial" w:hAnsi="Arial"/>
          <w:sz w:val="18"/>
          <w:szCs w:val="18"/>
          <w:color w:val="auto"/>
        </w:rPr>
        <w:t xml:space="preserve"> The obligation of each Initial Purchaser to purchase the Firm Securities on the Closing Date or the Option Securities on the Additional Closing Date, as the case may be as provided herein is subject to the performance by the Company of its covenants and other obligations hereunder and to the following additional conditions:</w:t>
      </w:r>
    </w:p>
    <w:p>
      <w:pPr>
        <w:spacing w:after="0" w:line="76" w:lineRule="exact"/>
        <w:rPr>
          <w:sz w:val="20"/>
          <w:szCs w:val="20"/>
          <w:color w:val="auto"/>
        </w:rPr>
      </w:pPr>
    </w:p>
    <w:p>
      <w:pPr>
        <w:ind w:right="40" w:firstLine="436"/>
        <w:spacing w:after="0" w:line="259" w:lineRule="auto"/>
        <w:tabs>
          <w:tab w:leader="none" w:pos="685"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right="40" w:firstLine="436"/>
        <w:spacing w:after="0" w:line="255" w:lineRule="auto"/>
        <w:tabs>
          <w:tab w:leader="none" w:pos="695"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No Downgrade. </w:t>
      </w:r>
      <w:r>
        <w:rPr>
          <w:rFonts w:ascii="Arial" w:cs="Arial" w:eastAsia="Arial" w:hAnsi="Arial"/>
          <w:sz w:val="18"/>
          <w:szCs w:val="18"/>
          <w:color w:val="auto"/>
        </w:rPr>
        <w:t>Subsequent to the earlier of (A) the Time of Sale and (B) the execution and delivery of this Agreement, (i) no downgrading</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occurred in the rating accorded any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securities or preferred stock issued or guaranteed by the Company or any of its subsidiaries (other than an announcement with positive implications of a possible upgrading).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02" w:name="page203"/>
    <w:bookmarkEnd w:id="202"/>
    <w:p>
      <w:pPr>
        <w:ind w:firstLine="436"/>
        <w:spacing w:after="0" w:line="275" w:lineRule="auto"/>
        <w:tabs>
          <w:tab w:leader="none" w:pos="685"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Material Adverse Change. </w:t>
      </w:r>
      <w:r>
        <w:rPr>
          <w:rFonts w:ascii="Arial" w:cs="Arial" w:eastAsia="Arial" w:hAnsi="Arial"/>
          <w:sz w:val="17"/>
          <w:szCs w:val="17"/>
          <w:color w:val="auto"/>
        </w:rPr>
        <w:t>No event or condition of a type described in Section 3(g) hereof shall have occurred or shall exist, which event</w:t>
      </w:r>
      <w:r>
        <w:rPr>
          <w:rFonts w:ascii="Arial" w:cs="Arial" w:eastAsia="Arial" w:hAnsi="Arial"/>
          <w:sz w:val="17"/>
          <w:szCs w:val="17"/>
          <w:i w:val="1"/>
          <w:iCs w:val="1"/>
          <w:color w:val="auto"/>
        </w:rPr>
        <w:t xml:space="preserve"> </w:t>
      </w:r>
      <w:r>
        <w:rPr>
          <w:rFonts w:ascii="Arial" w:cs="Arial" w:eastAsia="Arial" w:hAnsi="Arial"/>
          <w:sz w:val="17"/>
          <w:szCs w:val="17"/>
          <w:color w:val="auto"/>
        </w:rPr>
        <w:t>or condition is not described in the Time of Sale Information (excluding any amendment or supplement thereto) and the Offering Memorandum (excluding any amendment or supplement thereto) and the effect of which in the judgment of the Representatives make it impracticable or inadvisable to proceed with the offering, sale or delivery of the Securities on the Closing Date or the Additional Closing Date, as the case may be, on the terms and in the manner contemplated by this Agreement, the Time of Sale Information and the Offering Memorandum.</w:t>
      </w:r>
    </w:p>
    <w:p>
      <w:pPr>
        <w:spacing w:after="0" w:line="68" w:lineRule="exact"/>
        <w:rPr>
          <w:rFonts w:ascii="Arial" w:cs="Arial" w:eastAsia="Arial" w:hAnsi="Arial"/>
          <w:sz w:val="17"/>
          <w:szCs w:val="17"/>
          <w:color w:val="auto"/>
        </w:rPr>
      </w:pPr>
    </w:p>
    <w:p>
      <w:pPr>
        <w:ind w:firstLine="436"/>
        <w:spacing w:after="0" w:line="254" w:lineRule="auto"/>
        <w:tabs>
          <w:tab w:leader="none" w:pos="695"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The Representatives shall have received on and as of the Closing Date, or the Additional Closing Date,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a certificate of the chief financial officer or chief accounting officer of the Company and one additional senior executive officer of the Company who is satisfactory to the Representatives (i) confirming that such officers have carefully reviewed the Time of Sale Information and the Offering Memorandum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such Closing Date and (iii) to the effect set forth in Sections 6(b) and 6(c) above.</w:t>
      </w:r>
    </w:p>
    <w:p>
      <w:pPr>
        <w:spacing w:after="0" w:line="86" w:lineRule="exact"/>
        <w:rPr>
          <w:rFonts w:ascii="Arial" w:cs="Arial" w:eastAsia="Arial" w:hAnsi="Arial"/>
          <w:sz w:val="18"/>
          <w:szCs w:val="18"/>
          <w:color w:val="auto"/>
        </w:rPr>
      </w:pPr>
    </w:p>
    <w:p>
      <w:pPr>
        <w:ind w:right="40" w:firstLine="436"/>
        <w:spacing w:after="0" w:line="272" w:lineRule="auto"/>
        <w:tabs>
          <w:tab w:leader="none" w:pos="685"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(i) On the date of this Agreement and on the Closing Date or the Additional Closing Date, as the case may be, Ernst &amp; Young</w:t>
      </w:r>
      <w:r>
        <w:rPr>
          <w:rFonts w:ascii="Arial" w:cs="Arial" w:eastAsia="Arial" w:hAnsi="Arial"/>
          <w:sz w:val="17"/>
          <w:szCs w:val="17"/>
          <w:i w:val="1"/>
          <w:iCs w:val="1"/>
          <w:color w:val="auto"/>
        </w:rPr>
        <w:t xml:space="preserve"> </w:t>
      </w:r>
      <w:r>
        <w:rPr>
          <w:rFonts w:ascii="Arial" w:cs="Arial" w:eastAsia="Arial" w:hAnsi="Arial"/>
          <w:sz w:val="17"/>
          <w:szCs w:val="17"/>
          <w:color w:val="auto"/>
        </w:rPr>
        <w:t>LLP shall have furnished to the Representatives, at the request of the Company, letters, dated the respective dates of delivery thereof and addressed to the Initial Purchasers, in form and substance reasonably satisfactory to the Representatives, containing statements and information of the type customarily included in accountants’ “comfort letters” to underwriters with respect to the financial statements and certain financial information of the Company contained or incorporated by reference in the Time of Sale Information and the Offering Memorandum; provided, that the letter delivered on the Closing Date or the Additional Closing Date, as the case may be, shall use a “cut-off” date no more than three business days prior to such Closing Date or such Additional Closing Date, as the case may be.</w:t>
      </w:r>
    </w:p>
    <w:p>
      <w:pPr>
        <w:spacing w:after="0" w:line="69" w:lineRule="exact"/>
        <w:rPr>
          <w:sz w:val="20"/>
          <w:szCs w:val="20"/>
          <w:color w:val="auto"/>
        </w:rPr>
      </w:pPr>
    </w:p>
    <w:p>
      <w:pPr>
        <w:ind w:right="100" w:firstLine="436"/>
        <w:spacing w:after="0" w:line="279" w:lineRule="auto"/>
        <w:tabs>
          <w:tab w:leader="none" w:pos="70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On the date of this Agreement and on the Closing Date or the Additional Closing Date, as the case may be, the Company shall have furnished to the Representatives a certificate, dated the respective dates of delivery thereof and addressed to the Initial Purchasers, of its chief financial officer with respect to certain financial data contained in the Time of Sale Information and the Offering Memorandum, providing “management comfort” with respect to such information, in form and substance reasonably satisfactory to the Representatives.</w:t>
      </w:r>
    </w:p>
    <w:p>
      <w:pPr>
        <w:spacing w:after="0" w:line="63" w:lineRule="exact"/>
        <w:rPr>
          <w:sz w:val="20"/>
          <w:szCs w:val="20"/>
          <w:color w:val="auto"/>
        </w:rPr>
      </w:pPr>
    </w:p>
    <w:p>
      <w:pPr>
        <w:ind w:firstLine="436"/>
        <w:spacing w:after="0" w:line="259" w:lineRule="auto"/>
        <w:tabs>
          <w:tab w:leader="none" w:pos="665"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 xml:space="preserve">Opinion and Negative Assurance Statement of Counsel for the Company. </w:t>
      </w:r>
      <w:r>
        <w:rPr>
          <w:rFonts w:ascii="Arial" w:cs="Arial" w:eastAsia="Arial" w:hAnsi="Arial"/>
          <w:sz w:val="18"/>
          <w:szCs w:val="18"/>
          <w:color w:val="auto"/>
        </w:rPr>
        <w:t>Wilson Sonsini Goodrich &amp; Rosati, Professional Corporation,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Company, shall have furnished to the Representatives, at the request of the Company, their written opinion and negative assurance statement, dated the Closing Date or the Additional Closing Date, as the case may be, and addressed to the Initial Purchasers, in form and substance reasonably satisfactory to the Representatives, to the effect set forth in Annex D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03" w:name="page204"/>
    <w:bookmarkEnd w:id="203"/>
    <w:p>
      <w:pPr>
        <w:ind w:right="80" w:firstLine="436"/>
        <w:spacing w:after="0" w:line="259" w:lineRule="auto"/>
        <w:tabs>
          <w:tab w:leader="none" w:pos="69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Opinion and 10b-5 Statement of Counsel for the Initial Purchasers. </w:t>
      </w:r>
      <w:r>
        <w:rPr>
          <w:rFonts w:ascii="Arial" w:cs="Arial" w:eastAsia="Arial" w:hAnsi="Arial"/>
          <w:sz w:val="18"/>
          <w:szCs w:val="18"/>
          <w:color w:val="auto"/>
        </w:rPr>
        <w:t>The Representatives shall have received on and as of the Closing Date or</w:t>
      </w:r>
      <w:r>
        <w:rPr>
          <w:rFonts w:ascii="Arial" w:cs="Arial" w:eastAsia="Arial" w:hAnsi="Arial"/>
          <w:sz w:val="18"/>
          <w:szCs w:val="18"/>
          <w:i w:val="1"/>
          <w:iCs w:val="1"/>
          <w:color w:val="auto"/>
        </w:rPr>
        <w:t xml:space="preserve"> </w:t>
      </w:r>
      <w:r>
        <w:rPr>
          <w:rFonts w:ascii="Arial" w:cs="Arial" w:eastAsia="Arial" w:hAnsi="Arial"/>
          <w:sz w:val="18"/>
          <w:szCs w:val="18"/>
          <w:color w:val="auto"/>
        </w:rPr>
        <w:t>the Additional Closing Date, as the case may be, an opinion and 10b-5 statement of Simpson Thacher &amp; Bartlett LLP, counsel for the Initial Purchasers, with respect to such matters as the Representatives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 adopted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federal, state or foreign governmental or regulatory authority that would, as of the Closing Date or the Additional Closing Date, as the case may be, prevent the issuance or sale of the Securities; and no injunction or order of any federal, state or foreign court shall have been issued that would, as of the Closing Date, prevent the issuance or sale of the Securities.</w:t>
      </w:r>
    </w:p>
    <w:p>
      <w:pPr>
        <w:spacing w:after="0" w:line="78" w:lineRule="exact"/>
        <w:rPr>
          <w:rFonts w:ascii="Arial" w:cs="Arial" w:eastAsia="Arial" w:hAnsi="Arial"/>
          <w:sz w:val="18"/>
          <w:szCs w:val="18"/>
          <w:color w:val="auto"/>
        </w:rPr>
      </w:pPr>
    </w:p>
    <w:p>
      <w:pPr>
        <w:ind w:right="60" w:firstLine="436"/>
        <w:spacing w:after="0" w:line="259"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9" w:lineRule="exact"/>
        <w:rPr>
          <w:sz w:val="20"/>
          <w:szCs w:val="20"/>
          <w:color w:val="auto"/>
        </w:rPr>
      </w:pPr>
    </w:p>
    <w:p>
      <w:pPr>
        <w:ind w:left="700" w:hanging="264"/>
        <w:spacing w:after="0"/>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Securities shall be eligible for clearance and settlement through DTC.</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An application for the listing of the Underlying Securities shall have been submitted to the Exchange.</w:t>
      </w:r>
    </w:p>
    <w:p>
      <w:pPr>
        <w:spacing w:after="0" w:line="117" w:lineRule="exact"/>
        <w:rPr>
          <w:rFonts w:ascii="Arial" w:cs="Arial" w:eastAsia="Arial" w:hAnsi="Arial"/>
          <w:sz w:val="18"/>
          <w:szCs w:val="18"/>
          <w:color w:val="auto"/>
        </w:rPr>
      </w:pPr>
    </w:p>
    <w:p>
      <w:pPr>
        <w:ind w:firstLine="436"/>
        <w:spacing w:after="0" w:line="311" w:lineRule="auto"/>
        <w:tabs>
          <w:tab w:leader="none" w:pos="745" w:val="left"/>
        </w:tabs>
        <w:numPr>
          <w:ilvl w:val="0"/>
          <w:numId w:val="210"/>
        </w:numPr>
        <w:rPr>
          <w:rFonts w:ascii="Arial" w:cs="Arial" w:eastAsia="Arial" w:hAnsi="Arial"/>
          <w:sz w:val="16"/>
          <w:szCs w:val="16"/>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 Exhibit A hereto, between you and the officers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listed on Annex C hereto relating to sales and certain other dispositions of shares of Common Stock or certain other securities, delivered to you on or before the date hereof, shall be full force and effect on the Closing Date or the Additional Closing Date, as the case may be.</w:t>
      </w:r>
    </w:p>
    <w:p>
      <w:pPr>
        <w:spacing w:after="0" w:line="40" w:lineRule="exact"/>
        <w:rPr>
          <w:rFonts w:ascii="Arial" w:cs="Arial" w:eastAsia="Arial" w:hAnsi="Arial"/>
          <w:sz w:val="16"/>
          <w:szCs w:val="16"/>
          <w:color w:val="auto"/>
        </w:rPr>
      </w:pPr>
    </w:p>
    <w:p>
      <w:pPr>
        <w:ind w:right="120" w:firstLine="436"/>
        <w:spacing w:after="0" w:line="277" w:lineRule="auto"/>
        <w:tabs>
          <w:tab w:leader="none" w:pos="695"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04" w:name="page205"/>
    <w:bookmarkEnd w:id="204"/>
    <w:p>
      <w:pPr>
        <w:ind w:left="600" w:hanging="184"/>
        <w:spacing w:after="0"/>
        <w:tabs>
          <w:tab w:leader="none" w:pos="60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7" w:lineRule="auto"/>
        <w:tabs>
          <w:tab w:leader="none" w:pos="665"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Initial Purchasers. </w:t>
      </w:r>
      <w:r>
        <w:rPr>
          <w:rFonts w:ascii="Arial" w:cs="Arial" w:eastAsia="Arial" w:hAnsi="Arial"/>
          <w:sz w:val="16"/>
          <w:szCs w:val="16"/>
          <w:color w:val="auto"/>
        </w:rPr>
        <w:t>The Company agrees to indemnify and hold harmless each Initial Purchaser, its affiliates,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and each person, if any, who controls such Initial Purchaser within the meaning of Section 15 of the Securities Act or Section 20 of the Exchange Act, from and against any and all losses, claims, damages and liabilities (including, without limitation, reasonable and documented out-of-pocket legal fees and other expenses incurred in connection with any suit, action or proceeding or any claim asserted, as such fees and expenses are incurred), joint or several, that arise out of, or are based upon, any untrue statement or alleged untrue statement of a material fact contained in the Preliminary Offering Memorandum, any of the other Time of Sale Information, any Issuer Written Communication, any road show as defined in Rule 433(h) under the Securities Act (a “road show”) or the Offering Memorandum (or any amendment or supplement thereto) or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Representatives expressly for use therein, it being understood and agreed that the only such information furnished by any Initial Purchaser consists of the information described as such in subsection (b) below.</w:t>
      </w:r>
    </w:p>
    <w:p>
      <w:pPr>
        <w:spacing w:after="0" w:line="59" w:lineRule="exact"/>
        <w:rPr>
          <w:rFonts w:ascii="Arial" w:cs="Arial" w:eastAsia="Arial" w:hAnsi="Arial"/>
          <w:sz w:val="16"/>
          <w:szCs w:val="16"/>
          <w:color w:val="auto"/>
        </w:rPr>
      </w:pPr>
    </w:p>
    <w:p>
      <w:pPr>
        <w:ind w:left="-20" w:firstLine="436"/>
        <w:spacing w:after="0" w:line="269" w:lineRule="auto"/>
        <w:tabs>
          <w:tab w:leader="none" w:pos="675"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Initial Purchaser agrees, severally and not jointly, to indemnify and hold harmless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its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Representatives expressly for use in the Preliminary Offering Memorandum, any of the other Time of Sale Information (including any of the other Time of Sale Information that has subsequently been amended), any Issuer Written Communication, any road show or the Offering Memorandum (or any amendment or supplement thereto), it being understood and agreed that the only such information furnished by any Initial Purchaser consists of the following information in the Offering Memorandum furnished on behalf of each Initial Purchaser: the information contained in the sixth paragraph, the first sentence of the eighth paragraph and the twelfth paragraph under the caption “Plan of Distribution.”</w:t>
      </w:r>
    </w:p>
    <w:p>
      <w:pPr>
        <w:spacing w:after="0" w:line="77" w:lineRule="exact"/>
        <w:rPr>
          <w:rFonts w:ascii="Arial" w:cs="Arial" w:eastAsia="Arial" w:hAnsi="Arial"/>
          <w:sz w:val="17"/>
          <w:szCs w:val="17"/>
          <w:color w:val="auto"/>
        </w:rPr>
      </w:pPr>
    </w:p>
    <w:p>
      <w:pPr>
        <w:ind w:left="-20" w:right="20" w:firstLine="436"/>
        <w:spacing w:after="0" w:line="273" w:lineRule="auto"/>
        <w:tabs>
          <w:tab w:leader="none" w:pos="665"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60" w:top="274" w:right="479" w:bottom="1440" w:gutter="0" w:footer="0" w:header="0"/>
        </w:sectPr>
      </w:pPr>
    </w:p>
    <w:bookmarkStart w:id="205" w:name="page206"/>
    <w:bookmarkEnd w:id="20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Initial Purchaser, its affiliates, directors and officers and any control persons of such Initial Purchaser shall be designated in writing by J.P. Morgan Securities LLC and Goldman Sachs &amp; Co. LLC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06" w:name="page207"/>
    <w:bookmarkEnd w:id="206"/>
    <w:p>
      <w:pPr>
        <w:ind w:left="-436" w:firstLine="436"/>
        <w:spacing w:after="0" w:line="286" w:lineRule="auto"/>
        <w:tabs>
          <w:tab w:leader="none" w:pos="259"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Contribution. </w:t>
      </w:r>
      <w:r>
        <w:rPr>
          <w:rFonts w:ascii="Arial" w:cs="Arial" w:eastAsia="Arial" w:hAnsi="Arial"/>
          <w:sz w:val="16"/>
          <w:szCs w:val="16"/>
          <w:color w:val="auto"/>
        </w:rPr>
        <w:t>If the indemnification provided for Sections 7(a) or 7(b) above is unavailable to an Indemnified Person or insufficient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 respective proportions as the net proceeds (before deducting expenses) received by the Company from the sale of the Securities and the total discounts and commissions received by the Initial Purchasers in connection therewith, as provided in this Agreement, bear to the aggregate offering price of the Securities.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w:t>
      </w:r>
    </w:p>
    <w:p>
      <w:pPr>
        <w:spacing w:after="0" w:line="62" w:lineRule="exact"/>
        <w:rPr>
          <w:rFonts w:ascii="Arial" w:cs="Arial" w:eastAsia="Arial" w:hAnsi="Arial"/>
          <w:sz w:val="16"/>
          <w:szCs w:val="16"/>
          <w:color w:val="auto"/>
        </w:rPr>
      </w:pPr>
    </w:p>
    <w:p>
      <w:pPr>
        <w:ind w:left="-436" w:firstLine="436"/>
        <w:spacing w:after="0" w:line="287" w:lineRule="auto"/>
        <w:tabs>
          <w:tab w:leader="none" w:pos="249"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and the Initial Purchasers agree that it would not be just and equitable if contribution pursuant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7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out-of-pocket legal or other expenses incurred by such Indemnified Person in connection with any such action or claim. Notwithstanding the provisions of this Section 7, in no event shall an Initial Purchaser be required to contribute any amount in excess of the amount by which the total discounts and commissions received by such Initial Purchaser with respect to the offering of the Securities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this Section 7 are several in proportion to their respective purchase obligations hereunder and not joint.</w:t>
      </w:r>
    </w:p>
    <w:p>
      <w:pPr>
        <w:spacing w:after="0" w:line="63" w:lineRule="exact"/>
        <w:rPr>
          <w:rFonts w:ascii="Arial" w:cs="Arial" w:eastAsia="Arial" w:hAnsi="Arial"/>
          <w:sz w:val="16"/>
          <w:szCs w:val="16"/>
          <w:color w:val="auto"/>
        </w:rPr>
      </w:pPr>
    </w:p>
    <w:p>
      <w:pPr>
        <w:ind w:left="-436" w:right="200" w:firstLine="436"/>
        <w:spacing w:after="0" w:line="277" w:lineRule="auto"/>
        <w:tabs>
          <w:tab w:leader="none" w:pos="229"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62" w:lineRule="exact"/>
        <w:rPr>
          <w:sz w:val="20"/>
          <w:szCs w:val="20"/>
          <w:color w:val="auto"/>
        </w:rPr>
      </w:pPr>
    </w:p>
    <w:p>
      <w:pPr>
        <w:ind w:left="4984" w:right="3020" w:hanging="4984"/>
        <w:spacing w:after="0" w:line="449" w:lineRule="auto"/>
        <w:tabs>
          <w:tab w:leader="none" w:pos="186"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 26</w:t>
      </w:r>
    </w:p>
    <w:p>
      <w:pPr>
        <w:sectPr>
          <w:pgSz w:w="11900" w:h="16838" w:orient="portrait"/>
          <w:cols w:equalWidth="0" w:num="1">
            <w:col w:w="10524"/>
          </w:cols>
          <w:pgMar w:left="876" w:top="274" w:right="499" w:bottom="1440" w:gutter="0" w:footer="0" w:header="0"/>
        </w:sectPr>
      </w:pPr>
    </w:p>
    <w:bookmarkStart w:id="207" w:name="page208"/>
    <w:bookmarkEnd w:id="207"/>
    <w:p>
      <w:pPr>
        <w:ind w:left="4" w:firstLine="436"/>
        <w:spacing w:after="0" w:line="287" w:lineRule="auto"/>
        <w:tabs>
          <w:tab w:leader="none" w:pos="624"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or, in the case of any Option Securities, prior to the Additional Closing Date (i) trading generally shall have been suspended or materially limited on or by any of The New York Stock Exchange or The Nasdaq Global Market;</w:t>
      </w:r>
    </w:p>
    <w:p>
      <w:pPr>
        <w:spacing w:after="0" w:line="2" w:lineRule="exact"/>
        <w:rPr>
          <w:rFonts w:ascii="Arial" w:cs="Arial" w:eastAsia="Arial" w:hAnsi="Arial"/>
          <w:sz w:val="16"/>
          <w:szCs w:val="16"/>
          <w:color w:val="auto"/>
        </w:rPr>
      </w:pPr>
    </w:p>
    <w:p>
      <w:pPr>
        <w:ind w:left="4" w:right="80" w:hanging="4"/>
        <w:spacing w:after="0" w:line="270" w:lineRule="auto"/>
        <w:tabs>
          <w:tab w:leader="none" w:pos="26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Time of Sale Information and the Offering Memorandum.</w:t>
      </w:r>
    </w:p>
    <w:p>
      <w:pPr>
        <w:spacing w:after="0" w:line="70" w:lineRule="exact"/>
        <w:rPr>
          <w:rFonts w:ascii="Arial" w:cs="Arial" w:eastAsia="Arial" w:hAnsi="Arial"/>
          <w:sz w:val="17"/>
          <w:szCs w:val="17"/>
          <w:color w:val="auto"/>
        </w:rPr>
      </w:pPr>
    </w:p>
    <w:p>
      <w:pPr>
        <w:ind w:left="4" w:firstLine="436"/>
        <w:spacing w:after="0" w:line="287" w:lineRule="auto"/>
        <w:tabs>
          <w:tab w:leader="none" w:pos="714"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Defaulting Initial Purchaser</w:t>
      </w:r>
      <w:r>
        <w:rPr>
          <w:rFonts w:ascii="Arial" w:cs="Arial" w:eastAsia="Arial" w:hAnsi="Arial"/>
          <w:sz w:val="16"/>
          <w:szCs w:val="16"/>
          <w:color w:val="auto"/>
        </w:rPr>
        <w:t>. (a) If, on the Closing Date or the Additional Closing Date, as the case may be, any Initial Purchaser defaults on its obligation to purchase the Securities that it has agreed to purchase hereunder on such date, the non-defaulting Initial Purchasers may in their discretion arrange for the purchase of such Securities by other persons satisfactory to the Company on the terms contained in this Agreement. If, within 36 hours after any such default by any Initial Purchaser, the non-defaulting Initial Purchasers do not arrange for the purchase of such Securities, then the Company shall be entitled to a further period of 36 hours within which to procure other persons satisfactory to the non-defaulting Initial Purchasers to purchase such Securities on such terms. If other persons become obligated or agree to purchase the Securities of a defaulting Initial Purchaser, either the non-defaulting Initial Purchasers or the Company may postpone the Closing Date or the Additional Closing Date, as the case may be, for up to five full business days in order to effect any changes that in the opinion of counsel for the Company or counsel for the Initial Purchasers may be necessary in the Time of Sale Information, the Offering Memorandum or in any other document or arrangement, and the Company agrees to promptly prepare any amendment or supplement to the Time of Sale Information or the Offering Memorandum that effects any such changes. As used in this Agreement, the term “Initial Purchaser” includes, for all purposes of this Agreement unless the context otherwise requires, any person not listed in Schedule 1 hereto that, pursuant to this Section 10, purchases Securities that a defaulting Initial Purchaser agreed but failed to purchase.</w:t>
      </w:r>
    </w:p>
    <w:p>
      <w:pPr>
        <w:spacing w:after="0" w:line="60"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(b) 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on the Closing Date or the Additional Closing Date, as the case may be, does not exceed one-eleventh of the aggregate principal amount of all the Securities to be purchased on such date, then the Company shall have the right to require each non-defaulting Initial Purchaser to purchase the principal amount of Securities that such Initial Purchaser agreed to purchase hereunder on such date plus such Initial Purchaser’s pro rata share (based on the principal amount of Securities that such Initial Purchaser agreed to purchase on such date) of the Securities of such defaulting Initial Purchaser or Initial Purchasers for which such arrangements have not been made.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08" w:name="page209"/>
    <w:bookmarkEnd w:id="208"/>
    <w:p>
      <w:pPr>
        <w:ind w:left="4" w:right="100" w:firstLine="436"/>
        <w:spacing w:after="0" w:line="290" w:lineRule="auto"/>
        <w:tabs>
          <w:tab w:leader="none" w:pos="689"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 unpurchased on the Closing Date or the Additional Closing Date, as the case may be, exceeds one-eleventh of the aggregate principal amount of Securities to be purchased on such date, or if the Company shall not exercise the right described in paragraph (b) above, then this Agreement or, with respect to any Additional Closing Date, the obligations of the Initial Purchasers to purchase Securities on the Additional Closing Date, as the case may be, shall terminate without liability on the part of the non-defaulting Initial Purchasers.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57" w:lineRule="exact"/>
        <w:rPr>
          <w:rFonts w:ascii="Arial" w:cs="Arial" w:eastAsia="Arial" w:hAnsi="Arial"/>
          <w:sz w:val="16"/>
          <w:szCs w:val="16"/>
          <w:color w:val="auto"/>
        </w:rPr>
      </w:pPr>
    </w:p>
    <w:p>
      <w:pPr>
        <w:ind w:left="4" w:right="120" w:firstLine="436"/>
        <w:spacing w:after="0" w:line="277" w:lineRule="auto"/>
        <w:tabs>
          <w:tab w:leader="none" w:pos="69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Initial Purchaser of any liability it may have to the Company or any non-defaulting Initial Purchaser for damages caused by its default.</w:t>
      </w:r>
    </w:p>
    <w:p>
      <w:pPr>
        <w:spacing w:after="0" w:line="62" w:lineRule="exact"/>
        <w:rPr>
          <w:sz w:val="20"/>
          <w:szCs w:val="20"/>
          <w:color w:val="auto"/>
        </w:rPr>
      </w:pPr>
    </w:p>
    <w:p>
      <w:pPr>
        <w:ind w:left="4" w:right="40" w:firstLine="436"/>
        <w:spacing w:after="0" w:line="291" w:lineRule="auto"/>
        <w:tabs>
          <w:tab w:leader="none" w:pos="707"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(a) Whether or not the transactions contemplated by this Agreement are consummated or this Agreement is terminated, the Company will pay or cause to be paid all costs and expenses incident to the performance of its obligations hereunder, including without limitation,</w:t>
      </w:r>
    </w:p>
    <w:p>
      <w:pPr>
        <w:ind w:left="4" w:right="20" w:hanging="4"/>
        <w:spacing w:after="0" w:line="281" w:lineRule="auto"/>
        <w:tabs>
          <w:tab w:leader="none" w:pos="21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costs incident to the authorization, issuance, sale, preparation and delivery of the Securities to the Initial Purchasers and any taxes payable in that connection; (ii) the costs incident to the preparation and printing of the Preliminary Offering Memorandum, any other Time of Sale Information, any Issuer Written Communication and the Offering Memorandum (including any amendments and supplements thereto) and the distribution thereof;</w:t>
      </w:r>
    </w:p>
    <w:p>
      <w:pPr>
        <w:spacing w:after="0" w:line="1" w:lineRule="exact"/>
        <w:rPr>
          <w:rFonts w:ascii="Arial" w:cs="Arial" w:eastAsia="Arial" w:hAnsi="Arial"/>
          <w:sz w:val="16"/>
          <w:szCs w:val="16"/>
          <w:color w:val="auto"/>
        </w:rPr>
      </w:pPr>
    </w:p>
    <w:p>
      <w:pPr>
        <w:ind w:left="4" w:right="20" w:hanging="4"/>
        <w:spacing w:after="0" w:line="281" w:lineRule="auto"/>
        <w:tabs>
          <w:tab w:leader="none" w:pos="31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costs of reproducing and distributing each of the Transaction Documents; (iv) the fees and expenses of the Company’s counsel and independent accountants; (v) the reasonable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Initial Purchasers); provided, however, that the amounts payable by the Company for the fees and expenses of counsel for the Initial Purchasers pursuant to this clause (v) shall not exceed $20,000 in the</w:t>
      </w:r>
    </w:p>
    <w:p>
      <w:pPr>
        <w:spacing w:after="0" w:line="2" w:lineRule="exact"/>
        <w:rPr>
          <w:rFonts w:ascii="Arial" w:cs="Arial" w:eastAsia="Arial" w:hAnsi="Arial"/>
          <w:sz w:val="16"/>
          <w:szCs w:val="16"/>
          <w:color w:val="auto"/>
        </w:rPr>
      </w:pPr>
    </w:p>
    <w:p>
      <w:pPr>
        <w:ind w:left="4" w:right="80"/>
        <w:spacing w:after="0" w:line="273" w:lineRule="auto"/>
        <w:rPr>
          <w:rFonts w:ascii="Arial" w:cs="Arial" w:eastAsia="Arial" w:hAnsi="Arial"/>
          <w:sz w:val="16"/>
          <w:szCs w:val="16"/>
          <w:color w:val="auto"/>
        </w:rPr>
      </w:pPr>
      <w:r>
        <w:rPr>
          <w:rFonts w:ascii="Arial" w:cs="Arial" w:eastAsia="Arial" w:hAnsi="Arial"/>
          <w:sz w:val="17"/>
          <w:szCs w:val="17"/>
          <w:color w:val="auto"/>
        </w:rPr>
        <w:t>aggregate; (vi) any fees charged by the rating agencies for rating the Securities; (vii) the fees and expenses of the Trustee and any paying agent (including related fees and expenses of any counsel to such parties); (viii) all expenses and application fees incurred in connection with the approval of the Securities for book-entry transfer by DTC; (ix) all expenses incurred by the Company in connection with any “road show” presentation to potential investors; and (ix) all expenses and application fees related to the listing of the Underlying Securities on the Exchange.</w:t>
      </w:r>
    </w:p>
    <w:p>
      <w:pPr>
        <w:spacing w:after="0" w:line="68" w:lineRule="exact"/>
        <w:rPr>
          <w:sz w:val="20"/>
          <w:szCs w:val="20"/>
          <w:color w:val="auto"/>
        </w:rPr>
      </w:pPr>
    </w:p>
    <w:p>
      <w:pPr>
        <w:ind w:left="4" w:firstLine="436"/>
        <w:spacing w:after="0" w:line="279" w:lineRule="auto"/>
        <w:tabs>
          <w:tab w:leader="none" w:pos="69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9(ii), (ii) the Company for any reason fails to tender the Securities for delivery to the Initial Purchasers or (iii) the Initial Purchasers decline to purchase the Securities for any reason permitted under this Agreement, the Company agrees to reimburse the Initial Purchasers for all out-of-pocket costs and expenses (including the fees and expenses of their counsel) reasonably incurred by the Initial Purchasers in connection with this Agreement and the offering contemplated hereby.</w:t>
      </w:r>
    </w:p>
    <w:p>
      <w:pPr>
        <w:spacing w:after="0" w:line="10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4"/>
          </w:cols>
          <w:pgMar w:left="436" w:top="274" w:right="519" w:bottom="1440" w:gutter="0" w:footer="0" w:header="0"/>
        </w:sectPr>
      </w:pPr>
    </w:p>
    <w:bookmarkStart w:id="209" w:name="page210"/>
    <w:bookmarkEnd w:id="209"/>
    <w:p>
      <w:pPr>
        <w:ind w:left="-20" w:right="20" w:firstLine="436"/>
        <w:spacing w:after="0" w:line="301" w:lineRule="auto"/>
        <w:tabs>
          <w:tab w:leader="none" w:pos="69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Persons Entitled to Benefit of Agreement</w:t>
      </w:r>
      <w:r>
        <w:rPr>
          <w:rFonts w:ascii="Arial" w:cs="Arial" w:eastAsia="Arial" w:hAnsi="Arial"/>
          <w:sz w:val="16"/>
          <w:szCs w:val="16"/>
          <w:color w:val="auto"/>
        </w:rPr>
        <w:t>.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of Securities from any Initial Purchaser shall be deemed to be a successor merely by reason of such purchase.</w:t>
      </w:r>
    </w:p>
    <w:p>
      <w:pPr>
        <w:spacing w:after="0" w:line="49" w:lineRule="exact"/>
        <w:rPr>
          <w:rFonts w:ascii="Arial" w:cs="Arial" w:eastAsia="Arial" w:hAnsi="Arial"/>
          <w:sz w:val="16"/>
          <w:szCs w:val="16"/>
          <w:color w:val="auto"/>
        </w:rPr>
      </w:pPr>
    </w:p>
    <w:p>
      <w:pPr>
        <w:ind w:left="-20" w:right="140" w:firstLine="436"/>
        <w:spacing w:after="0" w:line="279" w:lineRule="auto"/>
        <w:tabs>
          <w:tab w:leader="none" w:pos="69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and the Initial Purchasers contained in this Agreement or made by or on behalf of the Company or the Initial Purchasers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Initial Purchasers.</w:t>
      </w:r>
    </w:p>
    <w:p>
      <w:pPr>
        <w:spacing w:after="0" w:line="63" w:lineRule="exact"/>
        <w:rPr>
          <w:rFonts w:ascii="Arial" w:cs="Arial" w:eastAsia="Arial" w:hAnsi="Arial"/>
          <w:sz w:val="17"/>
          <w:szCs w:val="17"/>
          <w:color w:val="auto"/>
        </w:rPr>
      </w:pPr>
    </w:p>
    <w:p>
      <w:pPr>
        <w:ind w:left="-20" w:right="80" w:firstLine="436"/>
        <w:spacing w:after="0" w:line="259" w:lineRule="auto"/>
        <w:tabs>
          <w:tab w:leader="none" w:pos="69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78" w:lineRule="exact"/>
        <w:rPr>
          <w:rFonts w:ascii="Arial" w:cs="Arial" w:eastAsia="Arial" w:hAnsi="Arial"/>
          <w:sz w:val="18"/>
          <w:szCs w:val="18"/>
          <w:color w:val="auto"/>
        </w:rPr>
      </w:pPr>
    </w:p>
    <w:p>
      <w:pPr>
        <w:ind w:left="-20" w:right="220" w:firstLine="436"/>
        <w:spacing w:after="0" w:line="259" w:lineRule="auto"/>
        <w:tabs>
          <w:tab w:leader="none" w:pos="69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78" w:lineRule="exact"/>
        <w:rPr>
          <w:rFonts w:ascii="Arial" w:cs="Arial" w:eastAsia="Arial" w:hAnsi="Arial"/>
          <w:sz w:val="18"/>
          <w:szCs w:val="18"/>
          <w:color w:val="auto"/>
        </w:rPr>
      </w:pPr>
    </w:p>
    <w:p>
      <w:pPr>
        <w:ind w:left="-20" w:firstLine="436"/>
        <w:spacing w:after="0" w:line="293" w:lineRule="auto"/>
        <w:tabs>
          <w:tab w:leader="none" w:pos="69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(a)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All notices and other communications hereunder shall be in writing and shall be deemed to have been duly given if mailed or transmitted and confirmed by any standard form of telecommunication. Notices to the Initial Purchasers shall be given to the Representatives c/o J.P. Morgan Securities LLC, 383 Madison Avenue, New York, New York 10179 (fax: (212) 622-8358); Attention: Equity Syndicate Desk; and c/o Goldman Sachs &amp; Co. LLC, 200 West Street, New York, New York 10282-2198, Attention: Registration Department, (telephone: (866) 471-2526), with copies to Kevin Kennedy and Daniel Webb, Simpson Thacher &amp; Bartlett LLP, 2475 Hanover Street, Palo Alto, California 94304 (fax: 650-251-5002). Notices to the Company shall be given to it at 1800 Owens Street, San Francisco, California 94158; Attention: Secretary.</w:t>
      </w:r>
    </w:p>
    <w:p>
      <w:pPr>
        <w:spacing w:after="0" w:line="56" w:lineRule="exact"/>
        <w:rPr>
          <w:sz w:val="20"/>
          <w:szCs w:val="20"/>
          <w:color w:val="auto"/>
        </w:rPr>
      </w:pPr>
    </w:p>
    <w:p>
      <w:pPr>
        <w:ind w:left="-20" w:right="280" w:firstLine="436"/>
        <w:spacing w:after="0" w:line="277" w:lineRule="auto"/>
        <w:tabs>
          <w:tab w:leader="none" w:pos="675"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60" w:top="274" w:right="479" w:bottom="1440" w:gutter="0" w:footer="0" w:header="0"/>
        </w:sectPr>
      </w:pPr>
    </w:p>
    <w:bookmarkStart w:id="210" w:name="page211"/>
    <w:bookmarkEnd w:id="210"/>
    <w:p>
      <w:pPr>
        <w:ind w:firstLine="436"/>
        <w:spacing w:after="0" w:line="296" w:lineRule="auto"/>
        <w:tabs>
          <w:tab w:leader="none" w:pos="685"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Submission to Jurisdiction</w:t>
      </w:r>
      <w:r>
        <w:rPr>
          <w:rFonts w:ascii="Arial" w:cs="Arial" w:eastAsia="Arial" w:hAnsi="Arial"/>
          <w:sz w:val="16"/>
          <w:szCs w:val="16"/>
          <w:color w:val="auto"/>
        </w:rPr>
        <w:t>. The Company hereby submits to the exclusive jurisdiction of the U.S. federal and New York state courts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53"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59" w:lineRule="auto"/>
        <w:tabs>
          <w:tab w:leader="none" w:pos="107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40" w:right="40" w:firstLine="419"/>
        <w:spacing w:after="0" w:line="279" w:lineRule="auto"/>
        <w:tabs>
          <w:tab w:leader="none" w:pos="1128" w:val="left"/>
        </w:tabs>
        <w:numPr>
          <w:ilvl w:val="1"/>
          <w:numId w:val="224"/>
        </w:numPr>
        <w:rPr>
          <w:rFonts w:ascii="Arial" w:cs="Arial" w:eastAsia="Arial" w:hAnsi="Arial"/>
          <w:sz w:val="17"/>
          <w:szCs w:val="17"/>
          <w:color w:val="auto"/>
        </w:rPr>
      </w:pPr>
      <w:r>
        <w:rPr>
          <w:rFonts w:ascii="Arial" w:cs="Arial" w:eastAsia="Arial" w:hAnsi="Arial"/>
          <w:sz w:val="17"/>
          <w:szCs w:val="17"/>
          <w:color w:val="auto"/>
        </w:rPr>
        <w:t>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in this Section 16(g):</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640" w:hanging="212"/>
        <w:spacing w:after="0"/>
        <w:tabs>
          <w:tab w:leader="none" w:pos="1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11" w:name="page212"/>
    <w:bookmarkEnd w:id="211"/>
    <w:p>
      <w:pPr>
        <w:ind w:left="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 Special Resolution Regime” means each of (i) the Federal Deposit Insurance Act and the regulations promulgated thereunder and</w:t>
      </w:r>
    </w:p>
    <w:p>
      <w:pPr>
        <w:spacing w:after="0" w:line="46" w:lineRule="exact"/>
        <w:rPr>
          <w:sz w:val="20"/>
          <w:szCs w:val="20"/>
          <w:color w:val="auto"/>
        </w:rPr>
      </w:pPr>
    </w:p>
    <w:p>
      <w:pPr>
        <w:ind w:left="1220" w:hanging="253"/>
        <w:spacing w:after="0"/>
        <w:tabs>
          <w:tab w:leader="none" w:pos="12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02" w:lineRule="exact"/>
        <w:rPr>
          <w:rFonts w:ascii="Arial" w:cs="Arial" w:eastAsia="Arial" w:hAnsi="Arial"/>
          <w:sz w:val="18"/>
          <w:szCs w:val="18"/>
          <w:color w:val="auto"/>
        </w:rPr>
      </w:pPr>
    </w:p>
    <w:p>
      <w:pPr>
        <w:ind w:left="-20" w:right="160" w:firstLine="436"/>
        <w:spacing w:after="0" w:line="293" w:lineRule="auto"/>
        <w:tabs>
          <w:tab w:leader="none" w:pos="645"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56" w:lineRule="exact"/>
        <w:rPr>
          <w:rFonts w:ascii="Arial" w:cs="Arial" w:eastAsia="Arial" w:hAnsi="Arial"/>
          <w:sz w:val="16"/>
          <w:szCs w:val="16"/>
          <w:color w:val="auto"/>
        </w:rPr>
      </w:pPr>
    </w:p>
    <w:p>
      <w:pPr>
        <w:ind w:left="-20" w:right="760" w:firstLine="436"/>
        <w:spacing w:after="0" w:line="277" w:lineRule="auto"/>
        <w:tabs>
          <w:tab w:leader="none" w:pos="675"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20" w:right="240" w:firstLine="436"/>
        <w:spacing w:after="0" w:line="277" w:lineRule="auto"/>
        <w:tabs>
          <w:tab w:leader="none" w:pos="675"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62" w:lineRule="exact"/>
        <w:rPr>
          <w:rFonts w:ascii="Arial" w:cs="Arial" w:eastAsia="Arial" w:hAnsi="Arial"/>
          <w:sz w:val="18"/>
          <w:szCs w:val="18"/>
          <w:color w:val="auto"/>
        </w:rPr>
      </w:pPr>
    </w:p>
    <w:p>
      <w:pPr>
        <w:ind w:left="-20" w:firstLine="436"/>
        <w:spacing w:after="0" w:line="301" w:lineRule="auto"/>
        <w:tabs>
          <w:tab w:leader="none" w:pos="635"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Xtract Research LLC</w:t>
      </w:r>
      <w:r>
        <w:rPr>
          <w:rFonts w:ascii="Arial" w:cs="Arial" w:eastAsia="Arial" w:hAnsi="Arial"/>
          <w:sz w:val="16"/>
          <w:szCs w:val="16"/>
          <w:color w:val="auto"/>
        </w:rPr>
        <w:t>. The Company hereby agrees that the Initial Purchasers may provide copies of the Preliminary Offering Memorandum</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Final Offering Memorandum relating to the offering of the Securities and any other agreements or documents relating thereto, including, without limitation, trust indentures, to Xtract Research LLC (“Xtract”) following the completion of the offering for inclusion in an online research service sponsored by Xtract, access to which is restricted to “qualified institutional buyers” as defined in Rule 144A under the Securities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60" w:top="274" w:right="459" w:bottom="1440" w:gutter="0" w:footer="0" w:header="0"/>
        </w:sectPr>
      </w:pPr>
    </w:p>
    <w:bookmarkStart w:id="212" w:name="page213"/>
    <w:bookmarkEnd w:id="21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Timothy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Timothy Regan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Bart Volkmer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Legal Officer</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660"/>
          </w:cols>
          <w:pgMar w:left="440" w:top="274" w:right="79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Initial Purchasers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Zach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1"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019"/>
          </w:cols>
          <w:pgMar w:left="440" w:top="274" w:right="1440"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Initial Purchasers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Mike Voris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019"/>
          </w:cols>
          <w:pgMar w:left="440" w:top="274" w:right="1440"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360"/>
              <w:spacing w:after="0"/>
              <w:rPr>
                <w:sz w:val="20"/>
                <w:szCs w:val="20"/>
                <w:color w:val="auto"/>
              </w:rPr>
            </w:pPr>
            <w:r>
              <w:rPr>
                <w:rFonts w:ascii="Arial" w:cs="Arial" w:eastAsia="Arial" w:hAnsi="Arial"/>
                <w:sz w:val="18"/>
                <w:szCs w:val="18"/>
                <w:b w:val="1"/>
                <w:bCs w:val="1"/>
                <w:color w:val="auto"/>
                <w:w w:val="86"/>
              </w:rPr>
              <w:t>Schedule 1</w:t>
            </w:r>
          </w:p>
        </w:tc>
        <w:tc>
          <w:tcPr>
            <w:tcW w:w="0" w:type="dxa"/>
            <w:vAlign w:val="bottom"/>
          </w:tcPr>
          <w:p>
            <w:pPr>
              <w:spacing w:after="0"/>
              <w:rPr>
                <w:sz w:val="1"/>
                <w:szCs w:val="1"/>
                <w:color w:val="auto"/>
              </w:rPr>
            </w:pPr>
          </w:p>
        </w:tc>
      </w:tr>
      <w:tr>
        <w:trPr>
          <w:trHeight w:val="369"/>
        </w:trPr>
        <w:tc>
          <w:tcPr>
            <w:tcW w:w="6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2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Arial" w:cs="Arial" w:eastAsia="Arial" w:hAnsi="Arial"/>
                <w:sz w:val="14"/>
                <w:szCs w:val="14"/>
                <w:color w:val="auto"/>
                <w:w w:val="87"/>
              </w:rPr>
              <w:t>Purchasers</w:t>
            </w:r>
          </w:p>
        </w:tc>
        <w:tc>
          <w:tcPr>
            <w:tcW w:w="7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2026 Notes to be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2028 Notes to be</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7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Purchased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29"/>
        </w:trPr>
        <w:tc>
          <w:tcPr>
            <w:tcW w:w="78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199,165,000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199,165,000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199,165,000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199,165,000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101,215,000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101,215,000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81,625,000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81,625,000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32,650,000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32,650,000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6,530,000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6,530,000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6,530,000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 Davidson &amp; Co.</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6,530,000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6,530,000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6,530,000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6,530,000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6,530,000</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653,000,000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653,000,000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Time of Sale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Pricing Term Sheet containing the terms of the Securities, substantially in the form of Annex B.</w:t>
      </w:r>
    </w:p>
    <w:p>
      <w:pPr>
        <w:sectPr>
          <w:pgSz w:w="11900" w:h="16838" w:orient="portrait"/>
          <w:cols w:equalWidth="0" w:num="1">
            <w:col w:w="10580"/>
          </w:cols>
          <w:pgMar w:left="880" w:top="270" w:right="4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Pricing Term Sheet</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20"/>
          </w:cols>
          <w:pgMar w:left="1440" w:top="270" w:right="4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and Directors to Sign Lock-Up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Andrew Houston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Volkmer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 Mylod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Condoleezza 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 Blair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Peacock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Campbell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Seibel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Jacobs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Regan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Young</w:t>
      </w:r>
    </w:p>
    <w:p>
      <w:pPr>
        <w:sectPr>
          <w:pgSz w:w="11900" w:h="16838" w:orient="portrait"/>
          <w:cols w:equalWidth="0" w:num="1">
            <w:col w:w="11020"/>
          </w:cols>
          <w:pgMar w:left="440" w:top="270" w:right="4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D</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Form of Opinion of Counsel for the Company</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20"/>
          </w:cols>
          <w:pgMar w:left="1440" w:top="270" w:right="4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Form of Lock-Up Agreement</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20"/>
          </w:cols>
          <w:pgMar w:left="1440" w:top="270" w:right="439" w:bottom="1440" w:gutter="0" w:footer="0" w:header="0"/>
        </w:sectPr>
      </w:pPr>
    </w:p>
    <w:bookmarkStart w:id="221" w:name="page222"/>
    <w:bookmarkEnd w:id="221"/>
    <w:p>
      <w:pPr>
        <w:ind w:left="10084"/>
        <w:spacing w:after="0"/>
        <w:rPr>
          <w:sz w:val="20"/>
          <w:szCs w:val="20"/>
          <w:color w:val="auto"/>
        </w:rPr>
      </w:pPr>
      <w:r>
        <w:rPr>
          <w:rFonts w:ascii="Arial" w:cs="Arial" w:eastAsia="Arial" w:hAnsi="Arial"/>
          <w:sz w:val="16"/>
          <w:szCs w:val="16"/>
          <w:b w:val="1"/>
          <w:bCs w:val="1"/>
          <w:color w:val="auto"/>
        </w:rPr>
        <w:t>Exhibit 10.2</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[Dealer 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[Dealer Address]</w:t>
      </w:r>
    </w:p>
    <w:p>
      <w:pPr>
        <w:sectPr>
          <w:pgSz w:w="11900" w:h="16838" w:orient="portrait"/>
          <w:cols w:equalWidth="0" w:num="1">
            <w:col w:w="11024"/>
          </w:cols>
          <w:pgMar w:left="436" w:top="121" w:right="439" w:bottom="1440" w:gutter="0" w:footer="0" w:header="0"/>
        </w:sectPr>
      </w:pPr>
    </w:p>
    <w:p>
      <w:pPr>
        <w:spacing w:after="0" w:line="211" w:lineRule="exact"/>
        <w:rPr>
          <w:sz w:val="20"/>
          <w:szCs w:val="20"/>
          <w:color w:val="auto"/>
        </w:rPr>
      </w:pPr>
    </w:p>
    <w:p>
      <w:pPr>
        <w:ind w:left="972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153" w:lineRule="exact"/>
        <w:rPr>
          <w:sz w:val="20"/>
          <w:szCs w:val="20"/>
          <w:color w:val="auto"/>
        </w:rPr>
      </w:pPr>
    </w:p>
    <w:p>
      <w:pPr>
        <w:sectPr>
          <w:pgSz w:w="11900" w:h="16838" w:orient="portrait"/>
          <w:cols w:equalWidth="0" w:num="2">
            <w:col w:w="9784" w:space="720"/>
            <w:col w:w="52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 Francisco, California 94158</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(415) 857-6800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[___________]</w:t>
      </w:r>
    </w:p>
    <w:p>
      <w:pPr>
        <w:spacing w:after="0" w:line="116" w:lineRule="exact"/>
        <w:rPr>
          <w:sz w:val="20"/>
          <w:szCs w:val="20"/>
          <w:color w:val="auto"/>
        </w:rPr>
      </w:pPr>
    </w:p>
    <w:p>
      <w:pPr>
        <w:sectPr>
          <w:pgSz w:w="11900" w:h="16838" w:orient="portrait"/>
          <w:cols w:equalWidth="0" w:num="2">
            <w:col w:w="244" w:space="180"/>
            <w:col w:w="1060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[Base][Additional] Call Option Transaction</w:t>
      </w:r>
    </w:p>
    <w:p>
      <w:pPr>
        <w:spacing w:after="0" w:line="136" w:lineRule="exact"/>
        <w:rPr>
          <w:sz w:val="20"/>
          <w:szCs w:val="20"/>
          <w:color w:val="auto"/>
        </w:rPr>
      </w:pPr>
    </w:p>
    <w:p>
      <w:pPr>
        <w:sectPr>
          <w:pgSz w:w="11900" w:h="16838" w:orient="portrait"/>
          <w:cols w:equalWidth="0" w:num="2">
            <w:col w:w="244" w:space="180"/>
            <w:col w:w="10600"/>
          </w:cols>
          <w:pgMar w:left="436" w:top="121" w:right="439" w:bottom="1440" w:gutter="0" w:footer="0" w:header="0"/>
          <w:type w:val="continuous"/>
        </w:sectPr>
      </w:pPr>
    </w:p>
    <w:p>
      <w:pPr>
        <w:ind w:left="4" w:right="240" w:firstLine="440"/>
        <w:spacing w:after="0" w:line="298" w:lineRule="auto"/>
        <w:rPr>
          <w:sz w:val="20"/>
          <w:szCs w:val="20"/>
          <w:color w:val="auto"/>
        </w:rPr>
      </w:pPr>
      <w:r>
        <w:rPr>
          <w:rFonts w:ascii="Arial" w:cs="Arial" w:eastAsia="Arial" w:hAnsi="Arial"/>
          <w:sz w:val="16"/>
          <w:szCs w:val="16"/>
          <w:color w:val="auto"/>
        </w:rPr>
        <w:t>The purpose of this letter agreement (this “</w:t>
      </w:r>
      <w:r>
        <w:rPr>
          <w:rFonts w:ascii="Arial" w:cs="Arial" w:eastAsia="Arial" w:hAnsi="Arial"/>
          <w:sz w:val="16"/>
          <w:szCs w:val="16"/>
          <w:b w:val="1"/>
          <w:bCs w:val="1"/>
          <w:color w:val="auto"/>
        </w:rPr>
        <w:t>Confirmation</w:t>
      </w:r>
      <w:r>
        <w:rPr>
          <w:rFonts w:ascii="Arial" w:cs="Arial" w:eastAsia="Arial" w:hAnsi="Arial"/>
          <w:sz w:val="16"/>
          <w:szCs w:val="16"/>
          <w:color w:val="auto"/>
        </w:rPr>
        <w:t>”) is to confirm the terms and conditions of the call option transaction entered into between [___] (“</w:t>
      </w:r>
      <w:r>
        <w:rPr>
          <w:rFonts w:ascii="Arial" w:cs="Arial" w:eastAsia="Arial" w:hAnsi="Arial"/>
          <w:sz w:val="16"/>
          <w:szCs w:val="16"/>
          <w:b w:val="1"/>
          <w:bCs w:val="1"/>
          <w:color w:val="auto"/>
        </w:rPr>
        <w:t>Dealer</w:t>
      </w:r>
      <w:r>
        <w:rPr>
          <w:rFonts w:ascii="Arial" w:cs="Arial" w:eastAsia="Arial" w:hAnsi="Arial"/>
          <w:sz w:val="16"/>
          <w:szCs w:val="16"/>
          <w:color w:val="auto"/>
        </w:rPr>
        <w:t>”) and Dropbox, Inc. (“</w:t>
      </w:r>
      <w:r>
        <w:rPr>
          <w:rFonts w:ascii="Arial" w:cs="Arial" w:eastAsia="Arial" w:hAnsi="Arial"/>
          <w:sz w:val="16"/>
          <w:szCs w:val="16"/>
          <w:b w:val="1"/>
          <w:bCs w:val="1"/>
          <w:color w:val="auto"/>
        </w:rPr>
        <w:t>Counterparty</w:t>
      </w:r>
      <w:r>
        <w:rPr>
          <w:rFonts w:ascii="Arial" w:cs="Arial" w:eastAsia="Arial" w:hAnsi="Arial"/>
          <w:sz w:val="16"/>
          <w:szCs w:val="16"/>
          <w:color w:val="auto"/>
        </w:rPr>
        <w:t>”) as of the Trade Date specified below (the “</w:t>
      </w:r>
      <w:r>
        <w:rPr>
          <w:rFonts w:ascii="Arial" w:cs="Arial" w:eastAsia="Arial" w:hAnsi="Arial"/>
          <w:sz w:val="16"/>
          <w:szCs w:val="16"/>
          <w:b w:val="1"/>
          <w:bCs w:val="1"/>
          <w:color w:val="auto"/>
        </w:rPr>
        <w:t>Transaction</w:t>
      </w:r>
      <w:r>
        <w:rPr>
          <w:rFonts w:ascii="Arial" w:cs="Arial" w:eastAsia="Arial" w:hAnsi="Arial"/>
          <w:sz w:val="16"/>
          <w:szCs w:val="16"/>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54"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The definitions and provisions contained in the 2002 ISDA Equity Derivatives Definitions (the “</w:t>
      </w:r>
      <w:r>
        <w:rPr>
          <w:rFonts w:ascii="Arial" w:cs="Arial" w:eastAsia="Arial" w:hAnsi="Arial"/>
          <w:sz w:val="16"/>
          <w:szCs w:val="16"/>
          <w:b w:val="1"/>
          <w:bCs w:val="1"/>
          <w:color w:val="auto"/>
        </w:rPr>
        <w:t>Equity Definitions</w:t>
      </w:r>
      <w:r>
        <w:rPr>
          <w:rFonts w:ascii="Arial" w:cs="Arial" w:eastAsia="Arial" w:hAnsi="Arial"/>
          <w:sz w:val="16"/>
          <w:szCs w:val="16"/>
          <w:color w:val="auto"/>
        </w:rPr>
        <w:t>”), as published by the International Swaps and Derivatives Association, Inc. (“</w:t>
      </w:r>
      <w:r>
        <w:rPr>
          <w:rFonts w:ascii="Arial" w:cs="Arial" w:eastAsia="Arial" w:hAnsi="Arial"/>
          <w:sz w:val="16"/>
          <w:szCs w:val="16"/>
          <w:b w:val="1"/>
          <w:bCs w:val="1"/>
          <w:color w:val="auto"/>
        </w:rPr>
        <w:t>ISDA</w:t>
      </w:r>
      <w:r>
        <w:rPr>
          <w:rFonts w:ascii="Arial" w:cs="Arial" w:eastAsia="Arial" w:hAnsi="Arial"/>
          <w:sz w:val="16"/>
          <w:szCs w:val="16"/>
          <w:color w:val="auto"/>
        </w:rPr>
        <w:t>”) are incorporated into this Confirmation. In the event of any inconsistency between the Equity Definitions and this Confirmation, this Confirmation shall govern. Certain terms used herein are based on terms that are defined in the Offering Memorandum dated [•], 2021 (the “</w:t>
      </w:r>
      <w:r>
        <w:rPr>
          <w:rFonts w:ascii="Arial" w:cs="Arial" w:eastAsia="Arial" w:hAnsi="Arial"/>
          <w:sz w:val="16"/>
          <w:szCs w:val="16"/>
          <w:b w:val="1"/>
          <w:bCs w:val="1"/>
          <w:color w:val="auto"/>
        </w:rPr>
        <w:t>Offering Memorandum</w:t>
      </w:r>
      <w:r>
        <w:rPr>
          <w:rFonts w:ascii="Arial" w:cs="Arial" w:eastAsia="Arial" w:hAnsi="Arial"/>
          <w:sz w:val="16"/>
          <w:szCs w:val="16"/>
          <w:color w:val="auto"/>
        </w:rPr>
        <w:t>”) relating to the Convertible Senior Notes due 2026 (as originally issued by Counterparty, the “</w:t>
      </w:r>
      <w:r>
        <w:rPr>
          <w:rFonts w:ascii="Arial" w:cs="Arial" w:eastAsia="Arial" w:hAnsi="Arial"/>
          <w:sz w:val="16"/>
          <w:szCs w:val="16"/>
          <w:b w:val="1"/>
          <w:bCs w:val="1"/>
          <w:color w:val="auto"/>
        </w:rPr>
        <w:t>Convertible Notes</w:t>
      </w:r>
      <w:r>
        <w:rPr>
          <w:rFonts w:ascii="Arial" w:cs="Arial" w:eastAsia="Arial" w:hAnsi="Arial"/>
          <w:sz w:val="16"/>
          <w:szCs w:val="16"/>
          <w:color w:val="auto"/>
        </w:rPr>
        <w:t>” and each USD 1,000 principal amount of Convertible Notes, a “</w:t>
      </w:r>
      <w:r>
        <w:rPr>
          <w:rFonts w:ascii="Arial" w:cs="Arial" w:eastAsia="Arial" w:hAnsi="Arial"/>
          <w:sz w:val="16"/>
          <w:szCs w:val="16"/>
          <w:b w:val="1"/>
          <w:bCs w:val="1"/>
          <w:color w:val="auto"/>
        </w:rPr>
        <w:t>Convertible Note</w:t>
      </w:r>
      <w:r>
        <w:rPr>
          <w:rFonts w:ascii="Arial" w:cs="Arial" w:eastAsia="Arial" w:hAnsi="Arial"/>
          <w:sz w:val="16"/>
          <w:szCs w:val="16"/>
          <w:color w:val="auto"/>
        </w:rPr>
        <w:t>”) issued by Counterparty in an aggregate initial principal amount of USD [•] (as increased by [up to]</w:t>
      </w:r>
      <w:r>
        <w:rPr>
          <w:rFonts w:ascii="Arial" w:cs="Arial" w:eastAsia="Arial" w:hAnsi="Arial"/>
          <w:sz w:val="13"/>
          <w:szCs w:val="13"/>
          <w:color w:val="auto"/>
        </w:rPr>
        <w:t>1</w:t>
      </w:r>
      <w:r>
        <w:rPr>
          <w:rFonts w:ascii="Arial" w:cs="Arial" w:eastAsia="Arial" w:hAnsi="Arial"/>
          <w:sz w:val="16"/>
          <w:szCs w:val="16"/>
          <w:color w:val="auto"/>
        </w:rPr>
        <w:t xml:space="preserve"> an aggregate principal amount of USD [•] [if and to the extent that]</w:t>
      </w:r>
      <w:r>
        <w:rPr>
          <w:rFonts w:ascii="Arial" w:cs="Arial" w:eastAsia="Arial" w:hAnsi="Arial"/>
          <w:sz w:val="13"/>
          <w:szCs w:val="13"/>
          <w:color w:val="auto"/>
        </w:rPr>
        <w:t>2</w:t>
      </w:r>
      <w:r>
        <w:rPr>
          <w:rFonts w:ascii="Arial" w:cs="Arial" w:eastAsia="Arial" w:hAnsi="Arial"/>
          <w:sz w:val="16"/>
          <w:szCs w:val="16"/>
          <w:color w:val="auto"/>
        </w:rPr>
        <w:t>[pursuant to the exercise by]</w:t>
      </w:r>
      <w:r>
        <w:rPr>
          <w:rFonts w:ascii="Arial" w:cs="Arial" w:eastAsia="Arial" w:hAnsi="Arial"/>
          <w:sz w:val="13"/>
          <w:szCs w:val="13"/>
          <w:color w:val="auto"/>
        </w:rPr>
        <w:t>3</w:t>
      </w:r>
      <w:r>
        <w:rPr>
          <w:rFonts w:ascii="Arial" w:cs="Arial" w:eastAsia="Arial" w:hAnsi="Arial"/>
          <w:sz w:val="16"/>
          <w:szCs w:val="16"/>
          <w:color w:val="auto"/>
        </w:rPr>
        <w:t xml:space="preserve"> the Initial Purchasers (as defined herein) [exercise]</w:t>
      </w:r>
      <w:r>
        <w:rPr>
          <w:rFonts w:ascii="Arial" w:cs="Arial" w:eastAsia="Arial" w:hAnsi="Arial"/>
          <w:sz w:val="13"/>
          <w:szCs w:val="13"/>
          <w:color w:val="auto"/>
        </w:rPr>
        <w:t>4</w:t>
      </w:r>
      <w:r>
        <w:rPr>
          <w:rFonts w:ascii="Arial" w:cs="Arial" w:eastAsia="Arial" w:hAnsi="Arial"/>
          <w:sz w:val="16"/>
          <w:szCs w:val="16"/>
          <w:color w:val="auto"/>
        </w:rPr>
        <w:t>[of]</w:t>
      </w:r>
      <w:r>
        <w:rPr>
          <w:rFonts w:ascii="Arial" w:cs="Arial" w:eastAsia="Arial" w:hAnsi="Arial"/>
          <w:sz w:val="13"/>
          <w:szCs w:val="13"/>
          <w:color w:val="auto"/>
        </w:rPr>
        <w:t>5</w:t>
      </w:r>
      <w:r>
        <w:rPr>
          <w:rFonts w:ascii="Arial" w:cs="Arial" w:eastAsia="Arial" w:hAnsi="Arial"/>
          <w:sz w:val="16"/>
          <w:szCs w:val="16"/>
          <w:color w:val="auto"/>
        </w:rPr>
        <w:t xml:space="preserve"> their over-allotment option to purchase additional Convertible Notes pursuant to the Purchase Agreement (as defined herein)) pursuant to an Indenture [to be]</w:t>
      </w:r>
      <w:r>
        <w:rPr>
          <w:rFonts w:ascii="Arial" w:cs="Arial" w:eastAsia="Arial" w:hAnsi="Arial"/>
          <w:sz w:val="13"/>
          <w:szCs w:val="13"/>
          <w:color w:val="auto"/>
        </w:rPr>
        <w:t>6</w:t>
      </w:r>
      <w:r>
        <w:rPr>
          <w:rFonts w:ascii="Arial" w:cs="Arial" w:eastAsia="Arial" w:hAnsi="Arial"/>
          <w:sz w:val="16"/>
          <w:szCs w:val="16"/>
          <w:color w:val="auto"/>
        </w:rPr>
        <w:t xml:space="preserve"> dated [•], 2021 between Counterparty and U.S. Bank National Association, as trustee (“</w:t>
      </w:r>
      <w:r>
        <w:rPr>
          <w:rFonts w:ascii="Arial" w:cs="Arial" w:eastAsia="Arial" w:hAnsi="Arial"/>
          <w:sz w:val="16"/>
          <w:szCs w:val="16"/>
          <w:b w:val="1"/>
          <w:bCs w:val="1"/>
          <w:color w:val="auto"/>
        </w:rPr>
        <w:t>Trustee</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and Counterparty as of the date of this Confirmation, and if any such section numbers are changed in the Indenture as executed, the parties will amend this Confirmation in good faith to preserve the intent of the parties]</w:t>
      </w:r>
      <w:r>
        <w:rPr>
          <w:rFonts w:ascii="Arial" w:cs="Arial" w:eastAsia="Arial" w:hAnsi="Arial"/>
          <w:sz w:val="13"/>
          <w:szCs w:val="13"/>
          <w:color w:val="auto"/>
        </w:rPr>
        <w:t>7</w:t>
      </w:r>
      <w:r>
        <w:rPr>
          <w:rFonts w:ascii="Arial" w:cs="Arial" w:eastAsia="Arial" w:hAnsi="Arial"/>
          <w:sz w:val="16"/>
          <w:szCs w:val="16"/>
          <w:color w:val="auto"/>
        </w:rPr>
        <w:t>[Indenture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1" w:lineRule="exact"/>
        <w:rPr>
          <w:sz w:val="20"/>
          <w:szCs w:val="20"/>
          <w:color w:val="auto"/>
        </w:rPr>
      </w:pPr>
    </w:p>
    <w:p>
      <w:pPr>
        <w:ind w:left="424" w:hanging="424"/>
        <w:spacing w:after="0"/>
        <w:tabs>
          <w:tab w:leader="none" w:pos="424" w:val="left"/>
        </w:tabs>
        <w:numPr>
          <w:ilvl w:val="0"/>
          <w:numId w:val="228"/>
        </w:numPr>
        <w:rPr>
          <w:rFonts w:ascii="Arial" w:cs="Arial" w:eastAsia="Arial" w:hAnsi="Arial"/>
          <w:sz w:val="15"/>
          <w:szCs w:val="15"/>
          <w:color w:val="auto"/>
        </w:rPr>
      </w:pPr>
      <w:r>
        <w:rPr>
          <w:rFonts w:ascii="Arial" w:cs="Arial" w:eastAsia="Arial" w:hAnsi="Arial"/>
          <w:sz w:val="18"/>
          <w:szCs w:val="18"/>
          <w:color w:val="auto"/>
        </w:rPr>
        <w:t>Include in the Base Call Option Confirmation.</w:t>
      </w:r>
    </w:p>
    <w:p>
      <w:pPr>
        <w:spacing w:after="0" w:line="22" w:lineRule="exact"/>
        <w:rPr>
          <w:sz w:val="20"/>
          <w:szCs w:val="20"/>
          <w:color w:val="auto"/>
        </w:rPr>
      </w:pPr>
    </w:p>
    <w:p>
      <w:pPr>
        <w:ind w:left="424" w:hanging="424"/>
        <w:spacing w:after="0"/>
        <w:tabs>
          <w:tab w:leader="none" w:pos="424" w:val="left"/>
        </w:tabs>
        <w:numPr>
          <w:ilvl w:val="0"/>
          <w:numId w:val="229"/>
        </w:numPr>
        <w:rPr>
          <w:rFonts w:ascii="Arial" w:cs="Arial" w:eastAsia="Arial" w:hAnsi="Arial"/>
          <w:sz w:val="15"/>
          <w:szCs w:val="15"/>
          <w:color w:val="auto"/>
        </w:rPr>
      </w:pPr>
      <w:r>
        <w:rPr>
          <w:rFonts w:ascii="Arial" w:cs="Arial" w:eastAsia="Arial" w:hAnsi="Arial"/>
          <w:sz w:val="18"/>
          <w:szCs w:val="18"/>
          <w:color w:val="auto"/>
        </w:rPr>
        <w:t>Include in the Base Call Option Confirmation.</w:t>
      </w:r>
    </w:p>
    <w:p>
      <w:pPr>
        <w:spacing w:after="0" w:line="9" w:lineRule="exact"/>
        <w:rPr>
          <w:sz w:val="20"/>
          <w:szCs w:val="20"/>
          <w:color w:val="auto"/>
        </w:rPr>
      </w:pPr>
    </w:p>
    <w:p>
      <w:pPr>
        <w:ind w:left="424" w:hanging="424"/>
        <w:spacing w:after="0"/>
        <w:tabs>
          <w:tab w:leader="none" w:pos="424" w:val="left"/>
        </w:tabs>
        <w:numPr>
          <w:ilvl w:val="0"/>
          <w:numId w:val="230"/>
        </w:numPr>
        <w:rPr>
          <w:rFonts w:ascii="Arial" w:cs="Arial" w:eastAsia="Arial" w:hAnsi="Arial"/>
          <w:sz w:val="15"/>
          <w:szCs w:val="15"/>
          <w:color w:val="auto"/>
        </w:rPr>
      </w:pPr>
      <w:r>
        <w:rPr>
          <w:rFonts w:ascii="Arial" w:cs="Arial" w:eastAsia="Arial" w:hAnsi="Arial"/>
          <w:sz w:val="18"/>
          <w:szCs w:val="18"/>
          <w:color w:val="auto"/>
        </w:rPr>
        <w:t>Include in the Additional Call Option Confirmation.</w:t>
      </w:r>
    </w:p>
    <w:p>
      <w:pPr>
        <w:spacing w:after="0" w:line="9" w:lineRule="exact"/>
        <w:rPr>
          <w:sz w:val="20"/>
          <w:szCs w:val="20"/>
          <w:color w:val="auto"/>
        </w:rPr>
      </w:pPr>
    </w:p>
    <w:p>
      <w:pPr>
        <w:ind w:left="424" w:hanging="424"/>
        <w:spacing w:after="0"/>
        <w:tabs>
          <w:tab w:leader="none" w:pos="424" w:val="left"/>
        </w:tabs>
        <w:numPr>
          <w:ilvl w:val="0"/>
          <w:numId w:val="231"/>
        </w:numPr>
        <w:rPr>
          <w:rFonts w:ascii="Arial" w:cs="Arial" w:eastAsia="Arial" w:hAnsi="Arial"/>
          <w:sz w:val="15"/>
          <w:szCs w:val="15"/>
          <w:color w:val="auto"/>
        </w:rPr>
      </w:pPr>
      <w:r>
        <w:rPr>
          <w:rFonts w:ascii="Arial" w:cs="Arial" w:eastAsia="Arial" w:hAnsi="Arial"/>
          <w:sz w:val="18"/>
          <w:szCs w:val="18"/>
          <w:color w:val="auto"/>
        </w:rPr>
        <w:t>Include in the Base Call Option Confirmation.</w:t>
      </w:r>
    </w:p>
    <w:p>
      <w:pPr>
        <w:spacing w:after="0" w:line="9"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5"/>
          <w:szCs w:val="15"/>
          <w:color w:val="auto"/>
        </w:rPr>
      </w:pPr>
      <w:r>
        <w:rPr>
          <w:rFonts w:ascii="Arial" w:cs="Arial" w:eastAsia="Arial" w:hAnsi="Arial"/>
          <w:sz w:val="18"/>
          <w:szCs w:val="18"/>
          <w:color w:val="auto"/>
        </w:rPr>
        <w:t>Include in the Additional Call Option Confirmation.</w:t>
      </w:r>
    </w:p>
    <w:p>
      <w:pPr>
        <w:spacing w:after="0" w:line="9" w:lineRule="exact"/>
        <w:rPr>
          <w:sz w:val="20"/>
          <w:szCs w:val="20"/>
          <w:color w:val="auto"/>
        </w:rPr>
      </w:pPr>
    </w:p>
    <w:p>
      <w:pPr>
        <w:ind w:left="424" w:hanging="424"/>
        <w:spacing w:after="0"/>
        <w:tabs>
          <w:tab w:leader="none" w:pos="424" w:val="left"/>
        </w:tabs>
        <w:numPr>
          <w:ilvl w:val="0"/>
          <w:numId w:val="233"/>
        </w:numPr>
        <w:rPr>
          <w:rFonts w:ascii="Arial" w:cs="Arial" w:eastAsia="Arial" w:hAnsi="Arial"/>
          <w:sz w:val="15"/>
          <w:szCs w:val="15"/>
          <w:color w:val="auto"/>
        </w:rPr>
      </w:pPr>
      <w:r>
        <w:rPr>
          <w:rFonts w:ascii="Arial" w:cs="Arial" w:eastAsia="Arial" w:hAnsi="Arial"/>
          <w:sz w:val="18"/>
          <w:szCs w:val="18"/>
          <w:color w:val="auto"/>
        </w:rPr>
        <w:t>Insert if Indenture is not completed at the time of the Confirmation.</w:t>
      </w:r>
    </w:p>
    <w:p>
      <w:pPr>
        <w:spacing w:after="0" w:line="9" w:lineRule="exact"/>
        <w:rPr>
          <w:sz w:val="20"/>
          <w:szCs w:val="20"/>
          <w:color w:val="auto"/>
        </w:rPr>
      </w:pPr>
    </w:p>
    <w:p>
      <w:pPr>
        <w:ind w:left="424" w:hanging="424"/>
        <w:spacing w:after="0"/>
        <w:tabs>
          <w:tab w:leader="none" w:pos="424" w:val="left"/>
        </w:tabs>
        <w:numPr>
          <w:ilvl w:val="0"/>
          <w:numId w:val="234"/>
        </w:numPr>
        <w:rPr>
          <w:rFonts w:ascii="Arial" w:cs="Arial" w:eastAsia="Arial" w:hAnsi="Arial"/>
          <w:sz w:val="13"/>
          <w:szCs w:val="13"/>
          <w:color w:val="auto"/>
        </w:rPr>
      </w:pPr>
      <w:r>
        <w:rPr>
          <w:rFonts w:ascii="Arial" w:cs="Arial" w:eastAsia="Arial" w:hAnsi="Arial"/>
          <w:sz w:val="16"/>
          <w:szCs w:val="16"/>
          <w:color w:val="auto"/>
        </w:rPr>
        <w:t>Include in the Base Call Option Confirmation. Include in the Additional Call Option Confirmation if it is executed before closing of the base deal.</w:t>
      </w:r>
    </w:p>
    <w:p>
      <w:pPr>
        <w:sectPr>
          <w:pgSz w:w="11900" w:h="16838" w:orient="portrait"/>
          <w:cols w:equalWidth="0" w:num="1">
            <w:col w:w="11024"/>
          </w:cols>
          <w:pgMar w:left="436" w:top="121" w:right="439" w:bottom="1440" w:gutter="0" w:footer="0" w:header="0"/>
          <w:type w:val="continuous"/>
        </w:sectPr>
      </w:pPr>
    </w:p>
    <w:bookmarkStart w:id="222" w:name="page223"/>
    <w:bookmarkEnd w:id="222"/>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executed]</w:t>
      </w:r>
      <w:r>
        <w:rPr>
          <w:rFonts w:ascii="Arial" w:cs="Arial" w:eastAsia="Arial" w:hAnsi="Arial"/>
          <w:sz w:val="14"/>
          <w:szCs w:val="14"/>
          <w:color w:val="auto"/>
        </w:rPr>
        <w:t>8</w:t>
      </w:r>
      <w:r>
        <w:rPr>
          <w:rFonts w:ascii="Arial" w:cs="Arial" w:eastAsia="Arial" w:hAnsi="Arial"/>
          <w:sz w:val="17"/>
          <w:szCs w:val="17"/>
          <w:color w:val="auto"/>
        </w:rPr>
        <w:t>. Subject to the foregoing, references to the Indenture herein are references to the Indenture as in effect on the date of its execution, and if the Indenture is amended or supplemented following such date, any such amendment or supplement (other than any amendment or supplement (x) pursuant to Section 10.01(k) of the Indenture that, as reasonably determined by the Calculation Agent acting in good faith and in a commercially reasonable manner, conforms the Indenture to the description of the Convertible Notes in the Offering Memorandum or (y) pursuant to Section 13.07 of the Indenture, subject, in the case of this clause (y), to the second paragraph under “Method of Adjustment” in Section 3) will be disregarded for purposes of this Confirmation unless the parties agree otherwise in writing.</w:t>
      </w:r>
    </w:p>
    <w:p>
      <w:pPr>
        <w:spacing w:after="0" w:line="178"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11" w:lineRule="exact"/>
        <w:rPr>
          <w:sz w:val="20"/>
          <w:szCs w:val="20"/>
          <w:color w:val="auto"/>
        </w:rPr>
      </w:pPr>
    </w:p>
    <w:p>
      <w:pPr>
        <w:ind w:left="424" w:hanging="424"/>
        <w:spacing w:after="0" w:line="284" w:lineRule="auto"/>
        <w:tabs>
          <w:tab w:leader="none" w:pos="42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supplement, form a part of, and be subject to an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in the form of the 2002 ISDA Master Agreement as if Dealer and Counterparty had executed an agreement in such form on the date hereof (but without any Schedule except for (i) the election of US Dollars (“</w:t>
      </w:r>
      <w:r>
        <w:rPr>
          <w:rFonts w:ascii="Arial" w:cs="Arial" w:eastAsia="Arial" w:hAnsi="Arial"/>
          <w:sz w:val="16"/>
          <w:szCs w:val="16"/>
          <w:b w:val="1"/>
          <w:bCs w:val="1"/>
          <w:color w:val="auto"/>
        </w:rPr>
        <w:t>USD</w:t>
      </w:r>
      <w:r>
        <w:rPr>
          <w:rFonts w:ascii="Arial" w:cs="Arial" w:eastAsia="Arial" w:hAnsi="Arial"/>
          <w:sz w:val="16"/>
          <w:szCs w:val="16"/>
          <w:color w:val="auto"/>
        </w:rPr>
        <w:t>”) as the Termination Currency[, (ii) the election of an executed guarantee of [_________] (“</w:t>
      </w:r>
      <w:r>
        <w:rPr>
          <w:rFonts w:ascii="Arial" w:cs="Arial" w:eastAsia="Arial" w:hAnsi="Arial"/>
          <w:sz w:val="16"/>
          <w:szCs w:val="16"/>
          <w:b w:val="1"/>
          <w:bCs w:val="1"/>
          <w:color w:val="auto"/>
        </w:rPr>
        <w:t>Guarantor</w:t>
      </w:r>
      <w:r>
        <w:rPr>
          <w:rFonts w:ascii="Arial" w:cs="Arial" w:eastAsia="Arial" w:hAnsi="Arial"/>
          <w:sz w:val="16"/>
          <w:szCs w:val="16"/>
          <w:color w:val="auto"/>
        </w:rPr>
        <w:t>”) dated as of the Trade Date in substantially the form attached hereto as Annex A as a Credit Support Document, (iii) the designation of Guarantor as Credit Support Provider in relation to Dealer]</w:t>
      </w:r>
      <w:r>
        <w:rPr>
          <w:rFonts w:ascii="Arial" w:cs="Arial" w:eastAsia="Arial" w:hAnsi="Arial"/>
          <w:sz w:val="13"/>
          <w:szCs w:val="13"/>
          <w:color w:val="auto"/>
        </w:rPr>
        <w:t>9</w:t>
      </w:r>
      <w:r>
        <w:rPr>
          <w:rFonts w:ascii="Arial" w:cs="Arial" w:eastAsia="Arial" w:hAnsi="Arial"/>
          <w:sz w:val="16"/>
          <w:szCs w:val="16"/>
          <w:color w:val="auto"/>
        </w:rPr>
        <w:t xml:space="preserve"> and (iv) (a) the election that the “Cross Default” provisions of Section 5(a)(vi) of the Agreement shall apply to Dealer with a “Threshold Amount” of three percent of the shareholders’ equity of [</w:t>
      </w:r>
      <w:r>
        <w:rPr>
          <w:rFonts w:ascii="Arial" w:cs="Arial" w:eastAsia="Arial" w:hAnsi="Arial"/>
          <w:sz w:val="16"/>
          <w:szCs w:val="16"/>
          <w:i w:val="1"/>
          <w:iCs w:val="1"/>
          <w:color w:val="auto"/>
        </w:rPr>
        <w:t>Name of</w:t>
      </w:r>
      <w:r>
        <w:rPr>
          <w:rFonts w:ascii="Arial" w:cs="Arial" w:eastAsia="Arial" w:hAnsi="Arial"/>
          <w:sz w:val="16"/>
          <w:szCs w:val="16"/>
          <w:color w:val="auto"/>
        </w:rPr>
        <w:t xml:space="preserve"> </w:t>
      </w:r>
      <w:r>
        <w:rPr>
          <w:rFonts w:ascii="Arial" w:cs="Arial" w:eastAsia="Arial" w:hAnsi="Arial"/>
          <w:sz w:val="16"/>
          <w:szCs w:val="16"/>
          <w:i w:val="1"/>
          <w:iCs w:val="1"/>
          <w:color w:val="auto"/>
        </w:rPr>
        <w:t>Dealer’s Parent</w:t>
      </w:r>
      <w:r>
        <w:rPr>
          <w:rFonts w:ascii="Arial" w:cs="Arial" w:eastAsia="Arial" w:hAnsi="Arial"/>
          <w:sz w:val="16"/>
          <w:szCs w:val="16"/>
          <w:color w:val="auto"/>
        </w:rPr>
        <w:t>], (b) the phrase “or becoming capable at such time of being declared” shall be deleted from clause (1) of such Section 5(a)(vi), (c)</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(c) the term “Specified Indebtedness” shall have the meaning specified in Section 14 of the Agreement, except that such term shall not include obligations in respect of deposits received in the ordinary course of Dealer’s banking business]</w:t>
      </w:r>
      <w:r>
        <w:rPr>
          <w:rFonts w:ascii="Arial" w:cs="Arial" w:eastAsia="Arial" w:hAnsi="Arial"/>
          <w:sz w:val="13"/>
          <w:szCs w:val="13"/>
          <w:color w:val="auto"/>
        </w:rPr>
        <w:t>10</w:t>
      </w:r>
      <w:r>
        <w:rPr>
          <w:rFonts w:ascii="Arial" w:cs="Arial" w:eastAsia="Arial" w:hAnsi="Arial"/>
          <w:sz w:val="16"/>
          <w:szCs w:val="16"/>
          <w:color w:val="auto"/>
        </w:rPr>
        <w:t>. In the event of any inconsistency between provisions of the Agreement and this Confirmation, this Confirmation will prevail for the purpose of the Transaction to which this Confirmation relates. For the avoidance of doubt, except to the extent of an express conflict, the application of any provision of this Confirmation, the Agreement or the Equity Definitions shall not be construed to exclude or limit the application of any other provision of this Confirmation, the Agreement or the Equity Definitions. 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236"/>
        </w:numPr>
        <w:rPr>
          <w:rFonts w:ascii="Arial" w:cs="Arial" w:eastAsia="Arial" w:hAnsi="Arial"/>
          <w:sz w:val="13"/>
          <w:szCs w:val="13"/>
          <w:color w:val="auto"/>
        </w:rPr>
      </w:pPr>
      <w:r>
        <w:rPr>
          <w:rFonts w:ascii="Arial" w:cs="Arial" w:eastAsia="Arial" w:hAnsi="Arial"/>
          <w:sz w:val="16"/>
          <w:szCs w:val="16"/>
          <w:color w:val="auto"/>
        </w:rPr>
        <w:t>Include in the Additional Call Option Confirmation, but only if the Additional Call Option Confirmation is executed after closing of the base deal.</w:t>
      </w:r>
    </w:p>
    <w:p>
      <w:pPr>
        <w:spacing w:after="0" w:line="45" w:lineRule="exact"/>
        <w:rPr>
          <w:sz w:val="20"/>
          <w:szCs w:val="20"/>
          <w:color w:val="auto"/>
        </w:rPr>
      </w:pPr>
    </w:p>
    <w:p>
      <w:pPr>
        <w:ind w:left="424" w:hanging="424"/>
        <w:spacing w:after="0"/>
        <w:tabs>
          <w:tab w:leader="none" w:pos="424" w:val="left"/>
        </w:tabs>
        <w:numPr>
          <w:ilvl w:val="0"/>
          <w:numId w:val="237"/>
        </w:numPr>
        <w:rPr>
          <w:rFonts w:ascii="Arial" w:cs="Arial" w:eastAsia="Arial" w:hAnsi="Arial"/>
          <w:sz w:val="15"/>
          <w:szCs w:val="15"/>
          <w:color w:val="auto"/>
        </w:rPr>
      </w:pPr>
      <w:r>
        <w:rPr>
          <w:rFonts w:ascii="Arial" w:cs="Arial" w:eastAsia="Arial" w:hAnsi="Arial"/>
          <w:sz w:val="18"/>
          <w:szCs w:val="18"/>
          <w:color w:val="auto"/>
        </w:rPr>
        <w:t>Requested if Dealer is not the highest rated entity in group, typically from the parent.</w:t>
      </w:r>
    </w:p>
    <w:p>
      <w:pPr>
        <w:spacing w:after="0" w:line="9"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5"/>
          <w:szCs w:val="15"/>
          <w:color w:val="auto"/>
        </w:rPr>
      </w:pPr>
      <w:r>
        <w:rPr>
          <w:rFonts w:ascii="Arial" w:cs="Arial" w:eastAsia="Arial" w:hAnsi="Arial"/>
          <w:sz w:val="18"/>
          <w:szCs w:val="18"/>
          <w:color w:val="auto"/>
        </w:rPr>
        <w:t>Include if applicable.</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23" w:name="page224"/>
    <w:bookmarkEnd w:id="22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 The terms of the particular Transaction to which this Confirmation relates are as follows:</w:t>
      </w:r>
    </w:p>
    <w:p>
      <w:pPr>
        <w:spacing w:after="0" w:line="235" w:lineRule="exact"/>
        <w:rPr>
          <w:sz w:val="20"/>
          <w:szCs w:val="20"/>
          <w:color w:val="auto"/>
        </w:rPr>
      </w:pPr>
    </w:p>
    <w:tbl>
      <w:tblPr>
        <w:tblLayout w:type="fixed"/>
        <w:tblInd w:w="364"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p>
        </w:tc>
        <w:tc>
          <w:tcPr>
            <w:tcW w:w="204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4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Trade Date:</w:t>
            </w:r>
          </w:p>
        </w:tc>
        <w:tc>
          <w:tcPr>
            <w:tcW w:w="2040" w:type="dxa"/>
            <w:vAlign w:val="bottom"/>
          </w:tcPr>
          <w:p>
            <w:pPr>
              <w:ind w:left="1560"/>
              <w:spacing w:after="0"/>
              <w:rPr>
                <w:sz w:val="20"/>
                <w:szCs w:val="20"/>
                <w:color w:val="auto"/>
              </w:rPr>
            </w:pPr>
            <w:r>
              <w:rPr>
                <w:rFonts w:ascii="Arial" w:cs="Arial" w:eastAsia="Arial" w:hAnsi="Arial"/>
                <w:sz w:val="18"/>
                <w:szCs w:val="18"/>
                <w:color w:val="auto"/>
              </w:rPr>
              <w:t>[</w:t>
            </w:r>
          </w:p>
        </w:tc>
        <w:tc>
          <w:tcPr>
            <w:tcW w:w="4860" w:type="dxa"/>
            <w:vAlign w:val="bottom"/>
          </w:tcPr>
          <w:p>
            <w:pPr>
              <w:spacing w:after="0"/>
              <w:rPr>
                <w:sz w:val="20"/>
                <w:szCs w:val="20"/>
                <w:color w:val="auto"/>
              </w:rPr>
            </w:pPr>
            <w:r>
              <w:rPr>
                <w:rFonts w:ascii="Arial" w:cs="Arial" w:eastAsia="Arial" w:hAnsi="Arial"/>
                <w:sz w:val="18"/>
                <w:szCs w:val="18"/>
                <w:color w:val="auto"/>
              </w:rPr>
              <w:t>], 2021</w:t>
            </w:r>
          </w:p>
        </w:tc>
      </w:tr>
      <w:tr>
        <w:trPr>
          <w:trHeight w:val="31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Effective Date:</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The closing date of the [initial]</w:t>
            </w:r>
            <w:r>
              <w:rPr>
                <w:rFonts w:ascii="Arial" w:cs="Arial" w:eastAsia="Arial" w:hAnsi="Arial"/>
                <w:sz w:val="15"/>
                <w:szCs w:val="15"/>
                <w:color w:val="auto"/>
              </w:rPr>
              <w:t>11</w:t>
            </w:r>
            <w:r>
              <w:rPr>
                <w:rFonts w:ascii="Arial" w:cs="Arial" w:eastAsia="Arial" w:hAnsi="Arial"/>
                <w:sz w:val="18"/>
                <w:szCs w:val="18"/>
                <w:color w:val="auto"/>
              </w:rPr>
              <w:t xml:space="preserve"> issuance of the Convertible Notes</w:t>
            </w:r>
          </w:p>
        </w:tc>
      </w:tr>
      <w:tr>
        <w:trPr>
          <w:trHeight w:val="216"/>
        </w:trPr>
        <w:tc>
          <w:tcPr>
            <w:tcW w:w="1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4"/>
              </w:rPr>
              <w:t>[issued pursuant to the option to purchase additional Convertible Notes</w:t>
            </w:r>
          </w:p>
        </w:tc>
      </w:tr>
      <w:tr>
        <w:trPr>
          <w:trHeight w:val="230"/>
        </w:trPr>
        <w:tc>
          <w:tcPr>
            <w:tcW w:w="1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exercised on the date hereof]</w:t>
            </w:r>
            <w:r>
              <w:rPr>
                <w:rFonts w:ascii="Arial" w:cs="Arial" w:eastAsia="Arial" w:hAnsi="Arial"/>
                <w:sz w:val="15"/>
                <w:szCs w:val="15"/>
                <w:color w:val="auto"/>
              </w:rPr>
              <w:t>12</w:t>
            </w:r>
          </w:p>
        </w:tc>
      </w:tr>
      <w:tr>
        <w:trPr>
          <w:trHeight w:val="31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Option Style:</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9"/>
              </w:rPr>
              <w:t>“Modified American”, as described under “Procedures for Exercise”</w:t>
            </w:r>
          </w:p>
        </w:tc>
      </w:tr>
      <w:tr>
        <w:trPr>
          <w:trHeight w:val="230"/>
        </w:trPr>
        <w:tc>
          <w:tcPr>
            <w:tcW w:w="1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40" w:type="dxa"/>
            <w:vAlign w:val="bottom"/>
          </w:tcPr>
          <w:p>
            <w:pPr>
              <w:ind w:left="1560"/>
              <w:spacing w:after="0"/>
              <w:rPr>
                <w:sz w:val="20"/>
                <w:szCs w:val="20"/>
                <w:color w:val="auto"/>
              </w:rPr>
            </w:pPr>
            <w:r>
              <w:rPr>
                <w:rFonts w:ascii="Arial" w:cs="Arial" w:eastAsia="Arial" w:hAnsi="Arial"/>
                <w:sz w:val="18"/>
                <w:szCs w:val="18"/>
                <w:color w:val="auto"/>
                <w:w w:val="97"/>
              </w:rPr>
              <w:t>below</w:t>
            </w:r>
          </w:p>
        </w:tc>
        <w:tc>
          <w:tcPr>
            <w:tcW w:w="4860" w:type="dxa"/>
            <w:vAlign w:val="bottom"/>
          </w:tcPr>
          <w:p>
            <w:pPr>
              <w:spacing w:after="0"/>
              <w:rPr>
                <w:sz w:val="20"/>
                <w:szCs w:val="20"/>
                <w:color w:val="auto"/>
              </w:rPr>
            </w:pP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Option Type:</w:t>
            </w:r>
          </w:p>
        </w:tc>
        <w:tc>
          <w:tcPr>
            <w:tcW w:w="2040" w:type="dxa"/>
            <w:vAlign w:val="bottom"/>
          </w:tcPr>
          <w:p>
            <w:pPr>
              <w:ind w:left="1560"/>
              <w:spacing w:after="0"/>
              <w:rPr>
                <w:sz w:val="20"/>
                <w:szCs w:val="20"/>
                <w:color w:val="auto"/>
              </w:rPr>
            </w:pPr>
            <w:r>
              <w:rPr>
                <w:rFonts w:ascii="Arial" w:cs="Arial" w:eastAsia="Arial" w:hAnsi="Arial"/>
                <w:sz w:val="18"/>
                <w:szCs w:val="18"/>
                <w:color w:val="auto"/>
              </w:rPr>
              <w:t>Call</w:t>
            </w:r>
          </w:p>
        </w:tc>
        <w:tc>
          <w:tcPr>
            <w:tcW w:w="4860" w:type="dxa"/>
            <w:vAlign w:val="bottom"/>
          </w:tcPr>
          <w:p>
            <w:pPr>
              <w:spacing w:after="0"/>
              <w:rPr>
                <w:sz w:val="24"/>
                <w:szCs w:val="24"/>
                <w:color w:val="auto"/>
              </w:rPr>
            </w:pP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Buyer:</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Counterparty</w:t>
            </w: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Seller:</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Dealer</w:t>
            </w:r>
          </w:p>
        </w:tc>
      </w:tr>
      <w:tr>
        <w:trPr>
          <w:trHeight w:val="31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Shares:</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1"/>
              </w:rPr>
              <w:t>The Class A Common Stock of Counterparty, par value USD 0.00001 per</w:t>
            </w:r>
          </w:p>
        </w:tc>
      </w:tr>
      <w:tr>
        <w:trPr>
          <w:trHeight w:val="230"/>
        </w:trPr>
        <w:tc>
          <w:tcPr>
            <w:tcW w:w="1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share (Exchange symbol “DBX”).</w:t>
            </w:r>
          </w:p>
        </w:tc>
      </w:tr>
      <w:tr>
        <w:trPr>
          <w:trHeight w:val="31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Number of Options:</w:t>
            </w:r>
          </w:p>
        </w:tc>
        <w:tc>
          <w:tcPr>
            <w:tcW w:w="2040" w:type="dxa"/>
            <w:vAlign w:val="bottom"/>
          </w:tcPr>
          <w:p>
            <w:pPr>
              <w:ind w:left="1560"/>
              <w:spacing w:after="0"/>
              <w:rPr>
                <w:sz w:val="20"/>
                <w:szCs w:val="20"/>
                <w:color w:val="auto"/>
              </w:rPr>
            </w:pPr>
            <w:r>
              <w:rPr>
                <w:rFonts w:ascii="Arial" w:cs="Arial" w:eastAsia="Arial" w:hAnsi="Arial"/>
                <w:sz w:val="18"/>
                <w:szCs w:val="18"/>
                <w:color w:val="auto"/>
              </w:rPr>
              <w:t>[</w:t>
            </w:r>
          </w:p>
        </w:tc>
        <w:tc>
          <w:tcPr>
            <w:tcW w:w="4860" w:type="dxa"/>
            <w:vAlign w:val="bottom"/>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13</w:t>
            </w:r>
            <w:r>
              <w:rPr>
                <w:rFonts w:ascii="Arial" w:cs="Arial" w:eastAsia="Arial" w:hAnsi="Arial"/>
                <w:sz w:val="18"/>
                <w:szCs w:val="18"/>
                <w:color w:val="auto"/>
                <w:w w:val="92"/>
              </w:rPr>
              <w:t>. For the avoidance of doubt, the Number of Options shall be</w:t>
            </w:r>
          </w:p>
        </w:tc>
      </w:tr>
      <w:tr>
        <w:trPr>
          <w:trHeight w:val="216"/>
        </w:trPr>
        <w:tc>
          <w:tcPr>
            <w:tcW w:w="1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reduced by any Options (or fractions of an Option) exercised by</w:t>
            </w:r>
          </w:p>
        </w:tc>
      </w:tr>
      <w:tr>
        <w:trPr>
          <w:trHeight w:val="216"/>
        </w:trPr>
        <w:tc>
          <w:tcPr>
            <w:tcW w:w="1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7"/>
              </w:rPr>
              <w:t>Counterparty or that are terminated pursuant to Section 9(i)(ii) of this</w:t>
            </w:r>
          </w:p>
        </w:tc>
      </w:tr>
      <w:tr>
        <w:trPr>
          <w:trHeight w:val="216"/>
        </w:trPr>
        <w:tc>
          <w:tcPr>
            <w:tcW w:w="1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2"/>
              </w:rPr>
              <w:t>Confirmation (but not, for the avoidance of doubt, by Options terminated</w:t>
            </w:r>
          </w:p>
        </w:tc>
      </w:tr>
      <w:tr>
        <w:trPr>
          <w:trHeight w:val="216"/>
        </w:trPr>
        <w:tc>
          <w:tcPr>
            <w:tcW w:w="1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9"/>
              </w:rPr>
              <w:t>by Counterparty pursuant to the same section set forth in any other</w:t>
            </w:r>
          </w:p>
        </w:tc>
      </w:tr>
      <w:tr>
        <w:trPr>
          <w:trHeight w:val="216"/>
        </w:trPr>
        <w:tc>
          <w:tcPr>
            <w:tcW w:w="1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1"/>
              </w:rPr>
              <w:t>confirmation between Counterparty and a dealer that is not Dealer). In no</w:t>
            </w:r>
          </w:p>
        </w:tc>
      </w:tr>
      <w:tr>
        <w:trPr>
          <w:trHeight w:val="230"/>
        </w:trPr>
        <w:tc>
          <w:tcPr>
            <w:tcW w:w="1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event will the Number of Options be less than zero.</w:t>
            </w: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Applicable Percentage:</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   ]%.</w:t>
            </w:r>
          </w:p>
        </w:tc>
      </w:tr>
      <w:tr>
        <w:trPr>
          <w:trHeight w:val="31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Option Entitlement:</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A number equal to the product of the Applicable Percentage and [</w:t>
            </w:r>
          </w:p>
        </w:tc>
      </w:tr>
      <w:tr>
        <w:trPr>
          <w:trHeight w:val="230"/>
        </w:trPr>
        <w:tc>
          <w:tcPr>
            <w:tcW w:w="1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40" w:type="dxa"/>
            <w:vAlign w:val="bottom"/>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14</w:t>
            </w:r>
            <w:r>
              <w:rPr>
                <w:rFonts w:ascii="Arial" w:cs="Arial" w:eastAsia="Arial" w:hAnsi="Arial"/>
                <w:sz w:val="18"/>
                <w:szCs w:val="18"/>
                <w:color w:val="auto"/>
              </w:rPr>
              <w:t>.</w:t>
            </w:r>
          </w:p>
        </w:tc>
        <w:tc>
          <w:tcPr>
            <w:tcW w:w="4860" w:type="dxa"/>
            <w:vAlign w:val="bottom"/>
          </w:tcPr>
          <w:p>
            <w:pPr>
              <w:spacing w:after="0"/>
              <w:rPr>
                <w:sz w:val="20"/>
                <w:szCs w:val="20"/>
                <w:color w:val="auto"/>
              </w:rPr>
            </w:pP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Strike Price:</w:t>
            </w:r>
          </w:p>
        </w:tc>
        <w:tc>
          <w:tcPr>
            <w:tcW w:w="2040" w:type="dxa"/>
            <w:vAlign w:val="bottom"/>
          </w:tcPr>
          <w:p>
            <w:pPr>
              <w:ind w:left="1560"/>
              <w:spacing w:after="0"/>
              <w:rPr>
                <w:sz w:val="20"/>
                <w:szCs w:val="20"/>
                <w:color w:val="auto"/>
              </w:rPr>
            </w:pPr>
            <w:r>
              <w:rPr>
                <w:rFonts w:ascii="Arial" w:cs="Arial" w:eastAsia="Arial" w:hAnsi="Arial"/>
                <w:sz w:val="18"/>
                <w:szCs w:val="18"/>
                <w:color w:val="auto"/>
              </w:rPr>
              <w:t>[</w:t>
            </w:r>
          </w:p>
        </w:tc>
        <w:tc>
          <w:tcPr>
            <w:tcW w:w="48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15</w:t>
            </w: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Premium:</w:t>
            </w:r>
          </w:p>
        </w:tc>
        <w:tc>
          <w:tcPr>
            <w:tcW w:w="2040" w:type="dxa"/>
            <w:vAlign w:val="bottom"/>
          </w:tcPr>
          <w:p>
            <w:pPr>
              <w:ind w:left="1560"/>
              <w:spacing w:after="0"/>
              <w:rPr>
                <w:sz w:val="20"/>
                <w:szCs w:val="20"/>
                <w:color w:val="auto"/>
              </w:rPr>
            </w:pPr>
            <w:r>
              <w:rPr>
                <w:rFonts w:ascii="Arial" w:cs="Arial" w:eastAsia="Arial" w:hAnsi="Arial"/>
                <w:sz w:val="18"/>
                <w:szCs w:val="18"/>
                <w:color w:val="auto"/>
                <w:w w:val="95"/>
              </w:rPr>
              <w:t>USD [</w:t>
            </w:r>
          </w:p>
        </w:tc>
        <w:tc>
          <w:tcPr>
            <w:tcW w:w="486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Premium Payment Date:</w:t>
            </w:r>
          </w:p>
        </w:tc>
        <w:tc>
          <w:tcPr>
            <w:tcW w:w="2040" w:type="dxa"/>
            <w:vAlign w:val="bottom"/>
          </w:tcPr>
          <w:p>
            <w:pPr>
              <w:ind w:left="1560"/>
              <w:spacing w:after="0"/>
              <w:rPr>
                <w:sz w:val="20"/>
                <w:szCs w:val="20"/>
                <w:color w:val="auto"/>
              </w:rPr>
            </w:pPr>
            <w:r>
              <w:rPr>
                <w:rFonts w:ascii="Arial" w:cs="Arial" w:eastAsia="Arial" w:hAnsi="Arial"/>
                <w:sz w:val="18"/>
                <w:szCs w:val="18"/>
                <w:color w:val="auto"/>
              </w:rPr>
              <w:t>[</w:t>
            </w:r>
          </w:p>
        </w:tc>
        <w:tc>
          <w:tcPr>
            <w:tcW w:w="4860" w:type="dxa"/>
            <w:vAlign w:val="bottom"/>
          </w:tcPr>
          <w:p>
            <w:pPr>
              <w:spacing w:after="0"/>
              <w:rPr>
                <w:sz w:val="20"/>
                <w:szCs w:val="20"/>
                <w:color w:val="auto"/>
              </w:rPr>
            </w:pPr>
            <w:r>
              <w:rPr>
                <w:rFonts w:ascii="Arial" w:cs="Arial" w:eastAsia="Arial" w:hAnsi="Arial"/>
                <w:sz w:val="18"/>
                <w:szCs w:val="18"/>
                <w:color w:val="auto"/>
              </w:rPr>
              <w:t>], 2021</w:t>
            </w:r>
          </w:p>
        </w:tc>
      </w:tr>
      <w:tr>
        <w:trPr>
          <w:trHeight w:val="324"/>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Exchange:</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The NASDAQ Stock Market</w:t>
            </w:r>
          </w:p>
        </w:tc>
      </w:tr>
      <w:tr>
        <w:trPr>
          <w:trHeight w:val="31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Related Exchange(s):</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3"/>
              </w:rPr>
              <w:t xml:space="preserve">All Exchanges;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Section 1.26 of the Equity Definitions shall</w:t>
            </w:r>
          </w:p>
        </w:tc>
      </w:tr>
      <w:tr>
        <w:trPr>
          <w:trHeight w:val="216"/>
        </w:trPr>
        <w:tc>
          <w:tcPr>
            <w:tcW w:w="1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0"/>
              </w:rPr>
              <w:t>be amended to add the words “United States” before the word “exchange”</w:t>
            </w:r>
          </w:p>
        </w:tc>
      </w:tr>
      <w:tr>
        <w:trPr>
          <w:trHeight w:val="230"/>
        </w:trPr>
        <w:tc>
          <w:tcPr>
            <w:tcW w:w="1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in the tenth line of such section.</w:t>
            </w:r>
          </w:p>
        </w:tc>
      </w:tr>
      <w:tr>
        <w:trPr>
          <w:trHeight w:val="31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Excluded Provisions:</w:t>
            </w: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w w:val="98"/>
              </w:rPr>
              <w:t>Section 13.04(h) and Section 13.03 of the Indenture. Procedures for</w:t>
            </w:r>
          </w:p>
        </w:tc>
      </w:tr>
      <w:tr>
        <w:trPr>
          <w:trHeight w:val="230"/>
        </w:trPr>
        <w:tc>
          <w:tcPr>
            <w:tcW w:w="10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2"/>
          </w:tcPr>
          <w:p>
            <w:pPr>
              <w:ind w:left="1560"/>
              <w:spacing w:after="0"/>
              <w:rPr>
                <w:sz w:val="20"/>
                <w:szCs w:val="20"/>
                <w:color w:val="auto"/>
              </w:rPr>
            </w:pPr>
            <w:r>
              <w:rPr>
                <w:rFonts w:ascii="Arial" w:cs="Arial" w:eastAsia="Arial" w:hAnsi="Arial"/>
                <w:sz w:val="18"/>
                <w:szCs w:val="18"/>
                <w:color w:val="auto"/>
              </w:rPr>
              <w:t>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39"/>
        </w:numPr>
        <w:rPr>
          <w:rFonts w:ascii="Arial" w:cs="Arial" w:eastAsia="Arial" w:hAnsi="Arial"/>
          <w:sz w:val="15"/>
          <w:szCs w:val="15"/>
          <w:color w:val="auto"/>
        </w:rPr>
      </w:pPr>
      <w:r>
        <w:rPr>
          <w:rFonts w:ascii="Arial" w:cs="Arial" w:eastAsia="Arial" w:hAnsi="Arial"/>
          <w:sz w:val="18"/>
          <w:szCs w:val="18"/>
          <w:color w:val="auto"/>
        </w:rPr>
        <w:t>Include for base bond hedge.</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239"/>
        </w:numPr>
        <w:rPr>
          <w:rFonts w:ascii="Arial" w:cs="Arial" w:eastAsia="Arial" w:hAnsi="Arial"/>
          <w:sz w:val="15"/>
          <w:szCs w:val="15"/>
          <w:color w:val="auto"/>
        </w:rPr>
      </w:pPr>
      <w:r>
        <w:rPr>
          <w:rFonts w:ascii="Arial" w:cs="Arial" w:eastAsia="Arial" w:hAnsi="Arial"/>
          <w:sz w:val="18"/>
          <w:szCs w:val="18"/>
          <w:color w:val="auto"/>
        </w:rPr>
        <w:t>Include for additional bond hedge.</w:t>
      </w:r>
    </w:p>
    <w:p>
      <w:pPr>
        <w:spacing w:after="0" w:line="9" w:lineRule="exact"/>
        <w:rPr>
          <w:rFonts w:ascii="Arial" w:cs="Arial" w:eastAsia="Arial" w:hAnsi="Arial"/>
          <w:sz w:val="15"/>
          <w:szCs w:val="15"/>
          <w:color w:val="auto"/>
        </w:rPr>
      </w:pPr>
    </w:p>
    <w:p>
      <w:pPr>
        <w:ind w:left="424" w:hanging="424"/>
        <w:spacing w:after="0" w:line="250" w:lineRule="auto"/>
        <w:tabs>
          <w:tab w:leader="none" w:pos="424" w:val="left"/>
        </w:tabs>
        <w:numPr>
          <w:ilvl w:val="0"/>
          <w:numId w:val="239"/>
        </w:numPr>
        <w:rPr>
          <w:rFonts w:ascii="Arial" w:cs="Arial" w:eastAsia="Arial" w:hAnsi="Arial"/>
          <w:sz w:val="15"/>
          <w:szCs w:val="15"/>
          <w:color w:val="auto"/>
        </w:rPr>
      </w:pPr>
      <w:r>
        <w:rPr>
          <w:rFonts w:ascii="Arial" w:cs="Arial" w:eastAsia="Arial" w:hAnsi="Arial"/>
          <w:sz w:val="18"/>
          <w:szCs w:val="18"/>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239"/>
        </w:numPr>
        <w:rPr>
          <w:rFonts w:ascii="Arial" w:cs="Arial" w:eastAsia="Arial" w:hAnsi="Arial"/>
          <w:sz w:val="15"/>
          <w:szCs w:val="15"/>
          <w:color w:val="auto"/>
        </w:rPr>
      </w:pPr>
      <w:r>
        <w:rPr>
          <w:rFonts w:ascii="Arial" w:cs="Arial" w:eastAsia="Arial" w:hAnsi="Arial"/>
          <w:sz w:val="18"/>
          <w:szCs w:val="18"/>
          <w:color w:val="auto"/>
        </w:rPr>
        <w:t>Insert the initial Conversion Rate for the Convertible Notes.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239"/>
        </w:numPr>
        <w:rPr>
          <w:rFonts w:ascii="Arial" w:cs="Arial" w:eastAsia="Arial" w:hAnsi="Arial"/>
          <w:sz w:val="15"/>
          <w:szCs w:val="15"/>
          <w:color w:val="auto"/>
        </w:rPr>
      </w:pPr>
      <w:r>
        <w:rPr>
          <w:rFonts w:ascii="Arial" w:cs="Arial" w:eastAsia="Arial" w:hAnsi="Arial"/>
          <w:sz w:val="18"/>
          <w:szCs w:val="18"/>
          <w:color w:val="auto"/>
        </w:rPr>
        <w:t>Insert the initial Conversion Price for the Convertible Notes.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24" w:name="page225"/>
    <w:bookmarkEnd w:id="224"/>
    <w:p>
      <w:pPr>
        <w:ind w:left="364"/>
        <w:spacing w:after="0"/>
        <w:rPr>
          <w:sz w:val="20"/>
          <w:szCs w:val="20"/>
          <w:color w:val="auto"/>
        </w:rPr>
      </w:pPr>
      <w:r>
        <w:rPr>
          <w:rFonts w:ascii="Arial" w:cs="Arial" w:eastAsia="Arial" w:hAnsi="Arial"/>
          <w:sz w:val="18"/>
          <w:szCs w:val="18"/>
          <w:i w:val="1"/>
          <w:iCs w:val="1"/>
          <w:u w:val="single" w:color="auto"/>
          <w:color w:val="auto"/>
        </w:rPr>
        <w:t>Procedures for Exercise</w:t>
      </w:r>
      <w:r>
        <w:rPr>
          <w:rFonts w:ascii="Arial" w:cs="Arial" w:eastAsia="Arial" w:hAnsi="Arial"/>
          <w:sz w:val="18"/>
          <w:szCs w:val="18"/>
          <w:i w:val="1"/>
          <w:iCs w:val="1"/>
          <w:color w:val="auto"/>
        </w:rPr>
        <w:t>.</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Number of Relevant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Free Convertibility Date: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Expiration Time: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Multiple Exercise: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Automatic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1609090</wp:posOffset>
            </wp:positionV>
            <wp:extent cx="7715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4" w:hanging="424"/>
        <w:spacing w:after="0"/>
        <w:tabs>
          <w:tab w:leader="none" w:pos="424" w:val="left"/>
        </w:tabs>
        <w:numPr>
          <w:ilvl w:val="0"/>
          <w:numId w:val="240"/>
        </w:numPr>
        <w:rPr>
          <w:rFonts w:ascii="Arial" w:cs="Arial" w:eastAsia="Arial" w:hAnsi="Arial"/>
          <w:sz w:val="14"/>
          <w:szCs w:val="14"/>
          <w:color w:val="auto"/>
        </w:rPr>
      </w:pPr>
      <w:r>
        <w:rPr>
          <w:rFonts w:ascii="Arial" w:cs="Arial" w:eastAsia="Arial" w:hAnsi="Arial"/>
          <w:sz w:val="17"/>
          <w:szCs w:val="17"/>
          <w:color w:val="auto"/>
        </w:rPr>
        <w:t>Include for Additional Call Option Confirmation only.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With respect to any conversion of a Convertible Note, the date on which the Holder (as such term is defined in the Indenture) of such Convertible Note satisfies all of the requirements for conversion thereof as set forth in Section 13.02(b) of the Indenture (such Convertible Notes, the “</w:t>
      </w:r>
      <w:r>
        <w:rPr>
          <w:rFonts w:ascii="Arial" w:cs="Arial" w:eastAsia="Arial" w:hAnsi="Arial"/>
          <w:sz w:val="16"/>
          <w:szCs w:val="16"/>
          <w:b w:val="1"/>
          <w:bCs w:val="1"/>
          <w:color w:val="auto"/>
        </w:rPr>
        <w:t>Relevant</w:t>
      </w:r>
      <w:r>
        <w:rPr>
          <w:rFonts w:ascii="Arial" w:cs="Arial" w:eastAsia="Arial" w:hAnsi="Arial"/>
          <w:sz w:val="16"/>
          <w:szCs w:val="16"/>
          <w:color w:val="auto"/>
        </w:rPr>
        <w:t xml:space="preserve"> </w:t>
      </w:r>
      <w:r>
        <w:rPr>
          <w:rFonts w:ascii="Arial" w:cs="Arial" w:eastAsia="Arial" w:hAnsi="Arial"/>
          <w:sz w:val="16"/>
          <w:szCs w:val="16"/>
          <w:b w:val="1"/>
          <w:bCs w:val="1"/>
          <w:color w:val="auto"/>
        </w:rPr>
        <w:t>Convertible Notes</w:t>
      </w:r>
      <w:r>
        <w:rPr>
          <w:rFonts w:ascii="Arial" w:cs="Arial" w:eastAsia="Arial" w:hAnsi="Arial"/>
          <w:sz w:val="16"/>
          <w:szCs w:val="16"/>
          <w:color w:val="auto"/>
        </w:rPr>
        <w:t>” for such Conversion Date);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if</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Counterparty has not delivered to Dealer a related Notice of Exercise, then in no event shall a Conversion Date be deemed to occur hereunder (and no Option shall be exercised or deemed to be exercised hereunder) with respect to any surrender of a Convertible Note for conversion in respect of which Counterparty has elected to designate a financial institution for exchange in lieu of conversion of such Convertible Note pursuant to Section 13.13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-1966595</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40" w:lineRule="exact"/>
        <w:rPr>
          <w:sz w:val="20"/>
          <w:szCs w:val="20"/>
          <w:color w:val="auto"/>
        </w:rPr>
      </w:pPr>
    </w:p>
    <w:p>
      <w:pPr>
        <w:ind w:left="160" w:right="60"/>
        <w:spacing w:after="0" w:line="271" w:lineRule="auto"/>
        <w:rPr>
          <w:sz w:val="20"/>
          <w:szCs w:val="20"/>
          <w:color w:val="auto"/>
        </w:rPr>
      </w:pPr>
      <w:r>
        <w:rPr>
          <w:rFonts w:ascii="Arial" w:cs="Arial" w:eastAsia="Arial" w:hAnsi="Arial"/>
          <w:sz w:val="17"/>
          <w:szCs w:val="17"/>
          <w:color w:val="auto"/>
        </w:rPr>
        <w:t>With respect to any conversion of a Convertible Note, (x) the Number of Options, multiplied by (y) the principal amount of Relevant Convertible Notes, divided by (z) the principal amount of Convertible Notes outstanding (excluding Convertible Notes that have been converted prior to the conversion of the Relevant Convertible Notes but for which settlement has not yet occurred) prior to giving effect to such conversion. For the avoidance of doubt, the Number of Relevant Options may include a fraction of an Option.</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1, 2026</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Valuation Time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1, 2026, subject to earlier exercise.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Applicable, as described under “Automatic Exercise” below.</w:t>
      </w:r>
    </w:p>
    <w:p>
      <w:pPr>
        <w:spacing w:after="0" w:line="117"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Notwithstanding Section 3.4 of the Equity Definitions, on each Conversion Date in respect of which a Notice of Conversion that is effective as to Counterparty has been delivered by the relevant converting Holder, a number of Options equal to [(i)] the Number of Relevant Options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Number of Relevant Options that are or are deemed to be automatically exercised on such Conversion Date under the</w:t>
      </w:r>
    </w:p>
    <w:p>
      <w:pPr>
        <w:spacing w:after="0" w:line="4"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Base Call Option Transaction Confirmation letter agreement dated [ ], 2021 between Dealer and Counterparty (the “</w:t>
      </w:r>
      <w:r>
        <w:rPr>
          <w:rFonts w:ascii="Arial" w:cs="Arial" w:eastAsia="Arial" w:hAnsi="Arial"/>
          <w:sz w:val="16"/>
          <w:szCs w:val="16"/>
          <w:b w:val="1"/>
          <w:bCs w:val="1"/>
          <w:color w:val="auto"/>
        </w:rPr>
        <w:t>Base Call Option</w:t>
      </w:r>
      <w:r>
        <w:rPr>
          <w:rFonts w:ascii="Arial" w:cs="Arial" w:eastAsia="Arial" w:hAnsi="Arial"/>
          <w:sz w:val="16"/>
          <w:szCs w:val="16"/>
          <w:color w:val="auto"/>
        </w:rPr>
        <w:t xml:space="preserve"> </w:t>
      </w:r>
      <w:r>
        <w:rPr>
          <w:rFonts w:ascii="Arial" w:cs="Arial" w:eastAsia="Arial" w:hAnsi="Arial"/>
          <w:sz w:val="16"/>
          <w:szCs w:val="16"/>
          <w:b w:val="1"/>
          <w:bCs w:val="1"/>
          <w:color w:val="auto"/>
        </w:rPr>
        <w:t>Confirmation</w:t>
      </w:r>
      <w:r>
        <w:rPr>
          <w:rFonts w:ascii="Arial" w:cs="Arial" w:eastAsia="Arial" w:hAnsi="Arial"/>
          <w:sz w:val="16"/>
          <w:szCs w:val="16"/>
          <w:color w:val="auto"/>
        </w:rPr>
        <w:t>”),]</w:t>
      </w:r>
      <w:r>
        <w:rPr>
          <w:rFonts w:ascii="Arial" w:cs="Arial" w:eastAsia="Arial" w:hAnsi="Arial"/>
          <w:sz w:val="13"/>
          <w:szCs w:val="13"/>
          <w:color w:val="auto"/>
        </w:rPr>
        <w:t>16</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be automatically exercised;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Options shall be exercised or deemed exercised only if</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Counterparty or the Trustee (or other agent authorized by Counterparty and previously identified to Dealer by Counterparty in writing) on behalf</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4744" w:space="720"/>
            <w:col w:w="5540"/>
          </w:cols>
          <w:pgMar w:left="436" w:top="274" w:right="459" w:bottom="1440" w:gutter="0" w:footer="0" w:header="0"/>
        </w:sectPr>
      </w:pPr>
    </w:p>
    <w:bookmarkStart w:id="225" w:name="page226"/>
    <w:bookmarkEnd w:id="225"/>
    <w:p>
      <w:pPr>
        <w:ind w:left="49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Counterparty has provided a Notice of Exercise to Dealer in accordance with “Notice of Exercise” below. If the Trustee (or any other such agent) on behalf of Counterparty provides any Notice of Exercise to Dealer, Dealer shall be entitled to rely on the accuracy of such Notice of Exercise without any independent investigation, and the contents of such notice shall be binding on Counterparty.</w:t>
      </w:r>
    </w:p>
    <w:p>
      <w:pPr>
        <w:spacing w:after="0" w:line="84" w:lineRule="exact"/>
        <w:rPr>
          <w:sz w:val="20"/>
          <w:szCs w:val="20"/>
          <w:color w:val="auto"/>
        </w:rPr>
      </w:pPr>
    </w:p>
    <w:p>
      <w:pPr>
        <w:jc w:val="both"/>
        <w:ind w:left="4900" w:right="180"/>
        <w:spacing w:after="0" w:line="263" w:lineRule="auto"/>
        <w:rPr>
          <w:sz w:val="20"/>
          <w:szCs w:val="20"/>
          <w:color w:val="auto"/>
        </w:rPr>
      </w:pPr>
      <w:r>
        <w:rPr>
          <w:rFonts w:ascii="Arial" w:cs="Arial" w:eastAsia="Arial" w:hAnsi="Arial"/>
          <w:sz w:val="18"/>
          <w:szCs w:val="18"/>
          <w:color w:val="auto"/>
        </w:rPr>
        <w:t>Notwithstanding the foregoing, in no event shall the number of Options that are exercised or deemed exercised hereunder exceed the Number of Options.</w:t>
      </w:r>
    </w:p>
    <w:p>
      <w:pPr>
        <w:sectPr>
          <w:pgSz w:w="11900" w:h="16838" w:orient="portrait"/>
          <w:cols w:equalWidth="0" w:num="1">
            <w:col w:w="10280"/>
          </w:cols>
          <w:pgMar w:left="1160" w:top="274" w:right="45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Notice of Exercise: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Notwithstanding anything to the contrary in the Equity Definitions or under “Automatic Exercise” above, in order to exercise any Options, Counterparty or the Trustee (or other agent authorized by Counterparty and previously identified to Dealer by Counterparty in writing) on behalf of Counterparty must notify Dealer in writing before 5:00 p.m. (New York City time) on the Scheduled Valid Day immediately preceding the scheduled first day of the Settlement Averaging Period for the Options being exercised (the “</w:t>
      </w:r>
      <w:r>
        <w:rPr>
          <w:rFonts w:ascii="Arial" w:cs="Arial" w:eastAsia="Arial" w:hAnsi="Arial"/>
          <w:sz w:val="16"/>
          <w:szCs w:val="16"/>
          <w:b w:val="1"/>
          <w:bCs w:val="1"/>
          <w:color w:val="auto"/>
        </w:rPr>
        <w:t>Exercise Notice Deadline</w:t>
      </w:r>
      <w:r>
        <w:rPr>
          <w:rFonts w:ascii="Arial" w:cs="Arial" w:eastAsia="Arial" w:hAnsi="Arial"/>
          <w:sz w:val="16"/>
          <w:szCs w:val="16"/>
          <w:color w:val="auto"/>
        </w:rPr>
        <w:t>”) of (i) the Number of Relevant Options and the aggregate principal amount of Convertible Notes outstanding on such date immediately prior to such conversion (upon which Dealer shall be entitled to rely on the accuracy of such amount without any independent investigation), (ii) the scheduled first day of the Settlement Averaging Period and the scheduled Settlement Date, (iii) the Relevant Settlement Method for such Options, and (iv) if the Relevant Settlement Method for such Options is Combination Settlement, the percentage of the consideration due upon conversion per Convertible Note in excess of the principal amount thereof that Counterparty has elected to pay to Holders (as such term is defined in the Indenture) of the Relevant Convertible Notes in cash (the “</w:t>
      </w:r>
      <w:r>
        <w:rPr>
          <w:rFonts w:ascii="Arial" w:cs="Arial" w:eastAsia="Arial" w:hAnsi="Arial"/>
          <w:sz w:val="16"/>
          <w:szCs w:val="16"/>
          <w:b w:val="1"/>
          <w:bCs w:val="1"/>
          <w:color w:val="auto"/>
        </w:rPr>
        <w:t>Cash Percentage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such notice (and the related exercise of Options) shall be effective if given after the Exercise Notice Deadline, but prior to 4:00 p.m. (New York City time) on the fifth Scheduled Valid Day following the Exercise Notice Deadline;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respect of any Options relating to Relevant Convertible Notes with a Conversion Date occurring on or after the Free Convertibility Date, (A) such notice may be given on or prior to the second Scheduled Valid Day immediately preceding the Expiration Date and need only specify the information required in clause (i) above, and (B) if the Relevant Settlement Method for such Options is not Net Share Settlement, Dealer shall have received a separate notice (the “</w:t>
      </w:r>
      <w:r>
        <w:rPr>
          <w:rFonts w:ascii="Arial" w:cs="Arial" w:eastAsia="Arial" w:hAnsi="Arial"/>
          <w:sz w:val="16"/>
          <w:szCs w:val="16"/>
          <w:b w:val="1"/>
          <w:bCs w:val="1"/>
          <w:color w:val="auto"/>
        </w:rPr>
        <w:t>Notice of Final 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Method</w:t>
      </w:r>
      <w:r>
        <w:rPr>
          <w:rFonts w:ascii="Arial" w:cs="Arial" w:eastAsia="Arial" w:hAnsi="Arial"/>
          <w:sz w:val="16"/>
          <w:szCs w:val="16"/>
          <w:color w:val="auto"/>
        </w:rPr>
        <w:t>”) in respect of all such Convertible Notes before 5:00 p.m.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 City time) on the Free Convertibility Date specifying the information required in clauses (iii) and, if applicable, (iv) above. If the Trustee (or any other such</w:t>
      </w:r>
    </w:p>
    <w:p>
      <w:pPr>
        <w:spacing w:after="0" w:line="200" w:lineRule="exact"/>
        <w:rPr>
          <w:sz w:val="20"/>
          <w:szCs w:val="20"/>
          <w:color w:val="auto"/>
        </w:rPr>
      </w:pPr>
    </w:p>
    <w:p>
      <w:pPr>
        <w:sectPr>
          <w:pgSz w:w="11900" w:h="16838" w:orient="portrait"/>
          <w:cols w:equalWidth="0" w:num="2">
            <w:col w:w="4180" w:space="720"/>
            <w:col w:w="5380"/>
          </w:cols>
          <w:pgMar w:left="1160" w:top="274" w:right="459" w:bottom="1440" w:gutter="0" w:footer="0" w:header="0"/>
          <w:type w:val="continuous"/>
        </w:sectPr>
      </w:pPr>
    </w:p>
    <w:p>
      <w:pPr>
        <w:spacing w:after="0" w:line="133"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80"/>
          </w:cols>
          <w:pgMar w:left="1160" w:top="274" w:right="459" w:bottom="1440" w:gutter="0" w:footer="0" w:header="0"/>
          <w:type w:val="continuous"/>
        </w:sectPr>
      </w:pPr>
    </w:p>
    <w:bookmarkStart w:id="226" w:name="page227"/>
    <w:bookmarkEnd w:id="226"/>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3"/>
              </w:rPr>
              <w:t>agent) on behalf of Counterparty provides such notice to Dealer, Dealer</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5"/>
              </w:rPr>
              <w:t>shall be entitled to rely on the accuracy of any such notice without any</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89"/>
              </w:rPr>
              <w:t>independent investigation, and the contents of such notice shall be binding</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2"/>
              </w:rPr>
              <w:t>on Counterparty. For the avoidance of doubt, if Counterparty fails to give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3"/>
              </w:rPr>
              <w:t>notice as required above when due (such failure to provide notice when</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7"/>
              </w:rPr>
              <w:t>due shall exclude, for these purposes, any notices delivered after the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4"/>
              </w:rPr>
              <w:t>Exercise Notice Deadline but prior to 4:00 p.m. (New York City time) on</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4"/>
              </w:rPr>
              <w:t>the fifth scheduled Valid Day following the Exercise Notice Deadline) in</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1"/>
              </w:rPr>
              <w:t>respect of any exercise of Options hereunder, Dealer’s obligation to make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2"/>
              </w:rPr>
              <w:t>any payment or delivery in respect of such exercise shall be permanently</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extinguished, and late notice shall not cure such failure.</w:t>
            </w:r>
          </w:p>
        </w:tc>
      </w:tr>
      <w:tr>
        <w:trPr>
          <w:trHeight w:val="310"/>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Valuation Time:</w:t>
            </w:r>
          </w:p>
        </w:tc>
        <w:tc>
          <w:tcPr>
            <w:tcW w:w="6960" w:type="dxa"/>
            <w:vAlign w:val="bottom"/>
          </w:tcPr>
          <w:p>
            <w:pPr>
              <w:ind w:left="1600"/>
              <w:spacing w:after="0"/>
              <w:rPr>
                <w:sz w:val="20"/>
                <w:szCs w:val="20"/>
                <w:color w:val="auto"/>
              </w:rPr>
            </w:pPr>
            <w:r>
              <w:rPr>
                <w:rFonts w:ascii="Arial" w:cs="Arial" w:eastAsia="Arial" w:hAnsi="Arial"/>
                <w:sz w:val="18"/>
                <w:szCs w:val="18"/>
                <w:color w:val="auto"/>
                <w:w w:val="95"/>
              </w:rPr>
              <w:t>At the close of trading of the regular trading session on the Exchange;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i w:val="1"/>
                <w:iCs w:val="1"/>
                <w:color w:val="auto"/>
                <w:w w:val="92"/>
              </w:rPr>
              <w:t xml:space="preserve">provided </w:t>
            </w:r>
            <w:r>
              <w:rPr>
                <w:rFonts w:ascii="Arial" w:cs="Arial" w:eastAsia="Arial" w:hAnsi="Arial"/>
                <w:sz w:val="18"/>
                <w:szCs w:val="18"/>
                <w:color w:val="auto"/>
                <w:w w:val="92"/>
              </w:rPr>
              <w:t>that if the principal trading session is extended past the close of</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0"/>
              </w:rPr>
              <w:t>the regular trading session for such Exchange, the Calculation Agent shall</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3"/>
              </w:rPr>
              <w:t>determine the Valuation Time in its commercially reasonable discretion.</w:t>
            </w:r>
          </w:p>
        </w:tc>
      </w:tr>
      <w:tr>
        <w:trPr>
          <w:trHeight w:val="310"/>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Market Disruption Event:</w:t>
            </w:r>
          </w:p>
        </w:tc>
        <w:tc>
          <w:tcPr>
            <w:tcW w:w="6960" w:type="dxa"/>
            <w:vAlign w:val="bottom"/>
          </w:tcPr>
          <w:p>
            <w:pPr>
              <w:ind w:left="1600"/>
              <w:spacing w:after="0"/>
              <w:rPr>
                <w:sz w:val="20"/>
                <w:szCs w:val="20"/>
                <w:color w:val="auto"/>
              </w:rPr>
            </w:pPr>
            <w:r>
              <w:rPr>
                <w:rFonts w:ascii="Arial" w:cs="Arial" w:eastAsia="Arial" w:hAnsi="Arial"/>
                <w:sz w:val="18"/>
                <w:szCs w:val="18"/>
                <w:color w:val="auto"/>
                <w:w w:val="94"/>
              </w:rPr>
              <w:t>Section 6.3(a) of the Equity Definitions is hereby replaced in its entirety</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by the following:</w:t>
            </w:r>
          </w:p>
        </w:tc>
      </w:tr>
      <w:tr>
        <w:trPr>
          <w:trHeight w:val="310"/>
        </w:trPr>
        <w:tc>
          <w:tcPr>
            <w:tcW w:w="1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“‘Market Disruption Event’ means (i) a failure by the primary United</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5"/>
              </w:rPr>
              <w:t>States national or regional securities exchange or market on which the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7"/>
              </w:rPr>
              <w:t>Shares are listed or admitted for trading to open for trading during its</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6"/>
              </w:rPr>
              <w:t>regular trading session or (ii) the occurrence or existence prior to 1:00</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2"/>
              </w:rPr>
              <w:t>p.m. (New York City time) on any Scheduled Valid Day for the Shares for</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5"/>
              </w:rPr>
              <w:t>more than one half-hour period in the aggregate during regular trading</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5"/>
              </w:rPr>
              <w:t>hours of any suspension or limitation imposed on trading (by reason of</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0"/>
              </w:rPr>
              <w:t>movements in price exceeding limits permitted by such stock exchange or</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0"/>
              </w:rPr>
              <w:t>otherwise) in the Shares or in any options contracts or futures contracts on</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any Related Exchange relating to the Shares.”</w:t>
            </w:r>
          </w:p>
        </w:tc>
      </w:tr>
      <w:tr>
        <w:trPr>
          <w:trHeight w:val="284"/>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Settlement Terms</w:t>
            </w:r>
            <w:r>
              <w:rPr>
                <w:rFonts w:ascii="Arial" w:cs="Arial" w:eastAsia="Arial" w:hAnsi="Arial"/>
                <w:sz w:val="18"/>
                <w:szCs w:val="18"/>
                <w:color w:val="auto"/>
              </w:rPr>
              <w:t>.</w:t>
            </w:r>
          </w:p>
        </w:tc>
        <w:tc>
          <w:tcPr>
            <w:tcW w:w="696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330"/>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Settlement Method:</w:t>
            </w:r>
          </w:p>
        </w:tc>
        <w:tc>
          <w:tcPr>
            <w:tcW w:w="6960" w:type="dxa"/>
            <w:vAlign w:val="bottom"/>
          </w:tcPr>
          <w:p>
            <w:pPr>
              <w:ind w:left="1600"/>
              <w:spacing w:after="0"/>
              <w:rPr>
                <w:sz w:val="20"/>
                <w:szCs w:val="20"/>
                <w:color w:val="auto"/>
              </w:rPr>
            </w:pPr>
            <w:r>
              <w:rPr>
                <w:rFonts w:ascii="Arial" w:cs="Arial" w:eastAsia="Arial" w:hAnsi="Arial"/>
                <w:sz w:val="18"/>
                <w:szCs w:val="18"/>
                <w:color w:val="auto"/>
                <w:w w:val="99"/>
              </w:rPr>
              <w:t xml:space="preserve">For any Option, Net Share Settlement;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 the Relevant</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9"/>
              </w:rPr>
              <w:t>Settlement Method set forth below for such Option is not Net Share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6"/>
              </w:rPr>
              <w:t>Settlement, then the Settlement Method for such Option shall be such</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1"/>
              </w:rPr>
              <w:t>Relevant Settlement Method, but only if Counterparty or Trustee (or other</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4"/>
              </w:rPr>
              <w:t>agent authorized by Counterparty and previously identified to Dealer by</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Counterparty in writing) shall have notified Dealer of the Relevant</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1"/>
              </w:rPr>
              <w:t>Settlement Method in the Notice of Exercise or Notice of Final Settlement</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3"/>
              </w:rPr>
              <w:t>Method, as applicable, for such Option. If the Trustee (or any other such</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0"/>
              </w:rPr>
              <w:t>agent) on behalf of Counterparty provides any such notice, Dealer shall be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w w:val="95"/>
              </w:rPr>
              <w:t>entitled to rely on the accuracy of such notice without any independent</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investigation, and the contents of such notice shall be binding on</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Counterparty. Counterparty acknowledges its</w:t>
            </w:r>
          </w:p>
        </w:tc>
      </w:tr>
      <w:tr>
        <w:trPr>
          <w:trHeight w:val="365"/>
        </w:trPr>
        <w:tc>
          <w:tcPr>
            <w:tcW w:w="1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960" w:type="dxa"/>
            <w:vAlign w:val="bottom"/>
          </w:tcPr>
          <w:p>
            <w:pPr>
              <w:ind w:left="1440"/>
              <w:spacing w:after="0"/>
              <w:rPr>
                <w:sz w:val="20"/>
                <w:szCs w:val="20"/>
                <w:color w:val="auto"/>
              </w:rPr>
            </w:pPr>
            <w:r>
              <w:rPr>
                <w:rFonts w:ascii="Arial" w:cs="Arial" w:eastAsia="Arial" w:hAnsi="Arial"/>
                <w:sz w:val="18"/>
                <w:szCs w:val="18"/>
                <w:color w:val="auto"/>
              </w:rPr>
              <w:t>6</w:t>
            </w:r>
          </w:p>
        </w:tc>
      </w:tr>
    </w:tbl>
    <w:p>
      <w:pPr>
        <w:ind w:left="1440"/>
        <w:spacing w:after="0"/>
        <w:rPr>
          <w:sz w:val="20"/>
          <w:szCs w:val="20"/>
          <w:color w:val="auto"/>
        </w:rPr>
        <w:sectPr>
          <w:pgSz w:w="11900" w:h="16838" w:orient="portrait"/>
          <w:cols w:equalWidth="0" w:num="1">
            <w:col w:w="10620"/>
          </w:cols>
          <w:pgMar w:left="80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Relevant Settlement Method:</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responsibilities under applicable securities laws, and in particular Section 9 and Section 10(b) of the Exchange Act (as defined below) and the rules and regulations thereunder, in respect of any election of a settlement method with respect to the Relevant Convertible Notes. In respect of any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-788035</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300" w:space="720"/>
            <w:col w:w="5260"/>
          </w:cols>
          <w:pgMar w:left="1160" w:top="274" w:right="459" w:bottom="1440" w:gutter="0" w:footer="0" w:header="0"/>
        </w:sectPr>
      </w:pPr>
    </w:p>
    <w:p>
      <w:pPr>
        <w:ind w:left="5360" w:right="20" w:hanging="359"/>
        <w:spacing w:after="0" w:line="272" w:lineRule="auto"/>
        <w:tabs>
          <w:tab w:leader="none" w:pos="53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if Counterparty has not elected to settle all or any portion of its conversion obligations in respect of the Relevant Convertible Note in excess of its principal amount in cash either by specifying a Cash Percentage of 0% or not timely specifying a Cash Percentage, in each case, pursuant to Section [13.02(a)(iii)] of the Indenture, then the Relevant Settlement Method for such Option shall be Net Share Settlement;</w:t>
      </w:r>
    </w:p>
    <w:p>
      <w:pPr>
        <w:spacing w:after="0" w:line="69" w:lineRule="exact"/>
        <w:rPr>
          <w:sz w:val="20"/>
          <w:szCs w:val="20"/>
          <w:color w:val="auto"/>
        </w:rPr>
      </w:pPr>
    </w:p>
    <w:p>
      <w:pPr>
        <w:ind w:left="5380" w:right="80" w:hanging="359"/>
        <w:spacing w:after="0" w:line="293" w:lineRule="auto"/>
        <w:rPr>
          <w:sz w:val="20"/>
          <w:szCs w:val="20"/>
          <w:color w:val="auto"/>
        </w:rPr>
      </w:pPr>
      <w:r>
        <w:rPr>
          <w:rFonts w:ascii="Arial" w:cs="Arial" w:eastAsia="Arial" w:hAnsi="Arial"/>
          <w:sz w:val="16"/>
          <w:szCs w:val="16"/>
          <w:color w:val="auto"/>
        </w:rPr>
        <w:t>(ii) if Counterparty has elected to settle its conversion obligations in respect of the Relevant Convertible Note in excess of its principal amount in a combination of cash and Shares by specifying a Cash Percentage less than 100% but greater than 0% pursuant to Section [13.02(a)(iii)] of the Indenture, then the Relevant Settlement Method for such Option shall be Combination Settlement; and</w:t>
      </w:r>
    </w:p>
    <w:p>
      <w:pPr>
        <w:spacing w:after="0" w:line="56" w:lineRule="exact"/>
        <w:rPr>
          <w:sz w:val="20"/>
          <w:szCs w:val="20"/>
          <w:color w:val="auto"/>
        </w:rPr>
      </w:pPr>
    </w:p>
    <w:p>
      <w:pPr>
        <w:ind w:left="5380" w:right="60" w:hanging="359"/>
        <w:spacing w:after="0" w:line="293" w:lineRule="auto"/>
        <w:rPr>
          <w:sz w:val="20"/>
          <w:szCs w:val="20"/>
          <w:color w:val="auto"/>
        </w:rPr>
      </w:pPr>
      <w:r>
        <w:rPr>
          <w:rFonts w:ascii="Arial" w:cs="Arial" w:eastAsia="Arial" w:hAnsi="Arial"/>
          <w:sz w:val="16"/>
          <w:szCs w:val="16"/>
          <w:color w:val="auto"/>
        </w:rPr>
        <w:t>(iii) if Counterparty has elected to settle its conversion obligations in respect of the Relevant Convertible Note in excess of its principal amount entirely in cash by specifying a Cash Percentage of 100% pursuant to Section [13.02(a)(iii)] of the Indenture (such settlement method, “</w:t>
      </w:r>
      <w:r>
        <w:rPr>
          <w:rFonts w:ascii="Arial" w:cs="Arial" w:eastAsia="Arial" w:hAnsi="Arial"/>
          <w:sz w:val="16"/>
          <w:szCs w:val="16"/>
          <w:b w:val="1"/>
          <w:bCs w:val="1"/>
          <w:color w:val="auto"/>
        </w:rPr>
        <w:t>Settlement in Cash”),</w:t>
      </w:r>
      <w:r>
        <w:rPr>
          <w:rFonts w:ascii="Arial" w:cs="Arial" w:eastAsia="Arial" w:hAnsi="Arial"/>
          <w:sz w:val="16"/>
          <w:szCs w:val="16"/>
          <w:color w:val="auto"/>
        </w:rPr>
        <w:t xml:space="preserve"> then the Relevant Settlement Method for such Option shall be Cash Settlement.</w:t>
      </w:r>
    </w:p>
    <w:p>
      <w:pPr>
        <w:sectPr>
          <w:pgSz w:w="11900" w:h="16838" w:orient="portrait"/>
          <w:cols w:equalWidth="0" w:num="1">
            <w:col w:w="10280"/>
          </w:cols>
          <w:pgMar w:left="1160" w:top="274" w:right="45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Net Share Settlement: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Net Share Settlement is applicable to any Option exercised or deemed exercised hereunder, Dealer will deliver to Counterparty, on the relevant Settlement Date for each such Option, a number of Shares (the “</w:t>
      </w:r>
      <w:r>
        <w:rPr>
          <w:rFonts w:ascii="Arial" w:cs="Arial" w:eastAsia="Arial" w:hAnsi="Arial"/>
          <w:sz w:val="16"/>
          <w:szCs w:val="16"/>
          <w:b w:val="1"/>
          <w:b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color w:val="auto"/>
        </w:rPr>
        <w:t>Share Settlement Amount</w:t>
      </w:r>
      <w:r>
        <w:rPr>
          <w:rFonts w:ascii="Arial" w:cs="Arial" w:eastAsia="Arial" w:hAnsi="Arial"/>
          <w:sz w:val="16"/>
          <w:szCs w:val="16"/>
          <w:color w:val="auto"/>
        </w:rPr>
        <w:t>”) equal to the sum, for each Valid Day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during the Settlement Averaging Period for each such Option, of (i) (a) the Daily Option Value for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Relevant Price on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number of Valid Days in the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Net Share Settlement Amount for any Option exceed a number of Shares equal to the Applicable Limit for such Option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Applicable Limit Price on the Settlement Date for such Option.</w:t>
      </w:r>
    </w:p>
    <w:p>
      <w:pPr>
        <w:spacing w:after="0" w:line="64"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5020"/>
        <w:spacing w:after="0" w:line="311" w:lineRule="auto"/>
        <w:rPr>
          <w:sz w:val="20"/>
          <w:szCs w:val="20"/>
          <w:color w:val="auto"/>
        </w:rPr>
      </w:pPr>
      <w:r>
        <w:rPr>
          <w:rFonts w:ascii="Arial" w:cs="Arial" w:eastAsia="Arial" w:hAnsi="Arial"/>
          <w:sz w:val="16"/>
          <w:szCs w:val="16"/>
          <w:color w:val="auto"/>
        </w:rPr>
        <w:t>Dealer will pay cash in lieu of delivering any fractional Shares to be delivered with respect to any Net Share Settlement Amount valued at the Relevant Price for the last Valid Day of the Settlement Averaging Period.</w:t>
      </w:r>
    </w:p>
    <w:p>
      <w:pPr>
        <w:spacing w:after="0" w:line="8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80"/>
          </w:cols>
          <w:pgMar w:left="1160" w:top="274" w:right="459"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16"/>
          <w:szCs w:val="16"/>
          <w:color w:val="auto"/>
        </w:rPr>
        <w:t>Combination Settlement: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-652145</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4300" w:space="720"/>
            <w:col w:w="5260"/>
          </w:cols>
          <w:pgMar w:left="1160" w:top="274" w:right="459" w:bottom="1440" w:gutter="0" w:footer="0" w:header="0"/>
        </w:sectPr>
      </w:pPr>
    </w:p>
    <w:p>
      <w:pPr>
        <w:ind w:left="5360" w:hanging="359"/>
        <w:spacing w:after="0" w:line="253" w:lineRule="auto"/>
        <w:tabs>
          <w:tab w:leader="none" w:pos="5340" w:val="left"/>
        </w:tabs>
        <w:rPr>
          <w:sz w:val="20"/>
          <w:szCs w:val="20"/>
          <w:color w:val="auto"/>
        </w:rPr>
      </w:pPr>
      <w:r>
        <w:rPr>
          <w:rFonts w:ascii="Arial" w:cs="Arial" w:eastAsia="Arial" w:hAnsi="Arial"/>
          <w:sz w:val="18"/>
          <w:szCs w:val="18"/>
          <w:color w:val="auto"/>
        </w:rPr>
        <w:t>(i)</w:t>
        <w:tab/>
        <w:t>cash (the “</w:t>
      </w:r>
      <w:r>
        <w:rPr>
          <w:rFonts w:ascii="Arial" w:cs="Arial" w:eastAsia="Arial" w:hAnsi="Arial"/>
          <w:sz w:val="18"/>
          <w:szCs w:val="18"/>
          <w:b w:val="1"/>
          <w:bCs w:val="1"/>
          <w:color w:val="auto"/>
        </w:rPr>
        <w:t>Combination Settlement Cash Amount</w:t>
      </w:r>
      <w:r>
        <w:rPr>
          <w:rFonts w:ascii="Arial" w:cs="Arial" w:eastAsia="Arial" w:hAnsi="Arial"/>
          <w:sz w:val="18"/>
          <w:szCs w:val="18"/>
          <w:color w:val="auto"/>
        </w:rPr>
        <w:t>”) equal to the sum, for each Valid Day during the Settlement Averaging Period for such Option, of (A) an amount (the “</w:t>
      </w:r>
      <w:r>
        <w:rPr>
          <w:rFonts w:ascii="Arial" w:cs="Arial" w:eastAsia="Arial" w:hAnsi="Arial"/>
          <w:sz w:val="18"/>
          <w:szCs w:val="18"/>
          <w:b w:val="1"/>
          <w:bCs w:val="1"/>
          <w:color w:val="auto"/>
        </w:rPr>
        <w:t>Daily Combination</w:t>
      </w:r>
      <w:r>
        <w:rPr>
          <w:rFonts w:ascii="Arial" w:cs="Arial" w:eastAsia="Arial" w:hAnsi="Arial"/>
          <w:sz w:val="18"/>
          <w:szCs w:val="18"/>
          <w:color w:val="auto"/>
        </w:rPr>
        <w:t xml:space="preserve"> </w:t>
      </w:r>
      <w:r>
        <w:rPr>
          <w:rFonts w:ascii="Arial" w:cs="Arial" w:eastAsia="Arial" w:hAnsi="Arial"/>
          <w:sz w:val="18"/>
          <w:szCs w:val="18"/>
          <w:b w:val="1"/>
          <w:bCs w:val="1"/>
          <w:color w:val="auto"/>
        </w:rPr>
        <w:t>Settlement Cash Amount</w:t>
      </w:r>
      <w:r>
        <w:rPr>
          <w:rFonts w:ascii="Arial" w:cs="Arial" w:eastAsia="Arial" w:hAnsi="Arial"/>
          <w:sz w:val="18"/>
          <w:szCs w:val="18"/>
          <w:color w:val="auto"/>
        </w:rPr>
        <w:t>”) equal to the product of (1)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Percentage and (2) the Daily Option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number of Valid Days in the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in clause (A) above results in zero or a negative number for any Valid Day, the Daily Combination Settlement Cash Amount for such Valid Day shall be deemed to be zero; and</w:t>
      </w:r>
    </w:p>
    <w:p>
      <w:pPr>
        <w:spacing w:after="0" w:line="8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(ii)  Shares (the “</w:t>
      </w:r>
      <w:r>
        <w:rPr>
          <w:rFonts w:ascii="Arial" w:cs="Arial" w:eastAsia="Arial" w:hAnsi="Arial"/>
          <w:sz w:val="17"/>
          <w:szCs w:val="17"/>
          <w:b w:val="1"/>
          <w:bCs w:val="1"/>
          <w:color w:val="auto"/>
        </w:rPr>
        <w:t>Combination Settlement Share Amount</w:t>
      </w:r>
      <w:r>
        <w:rPr>
          <w:rFonts w:ascii="Arial" w:cs="Arial" w:eastAsia="Arial" w:hAnsi="Arial"/>
          <w:sz w:val="17"/>
          <w:szCs w:val="17"/>
          <w:color w:val="auto"/>
        </w:rPr>
        <w:t>”) equal to</w:t>
      </w:r>
    </w:p>
    <w:p>
      <w:pPr>
        <w:spacing w:after="0" w:line="3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the sum, for each Valid Day during the Settlement Averaging Period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for such Option, of a number of Shares for such Valid Day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Combination Settlement Share Amount</w:t>
      </w:r>
      <w:r>
        <w:rPr>
          <w:rFonts w:ascii="Arial" w:cs="Arial" w:eastAsia="Arial" w:hAnsi="Arial"/>
          <w:sz w:val="16"/>
          <w:szCs w:val="16"/>
          <w:color w:val="auto"/>
        </w:rPr>
        <w:t>”) equal to (A) (1)</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xml:space="preserve">the Daily Option Value on such Valid Day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Daily</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 xml:space="preserve">Combination Settlement Cash Amount for such Valid Day, </w:t>
      </w:r>
      <w:r>
        <w:rPr>
          <w:rFonts w:ascii="Arial" w:cs="Arial" w:eastAsia="Arial" w:hAnsi="Arial"/>
          <w:sz w:val="16"/>
          <w:szCs w:val="16"/>
          <w:i w:val="1"/>
          <w:iCs w:val="1"/>
          <w:color w:val="auto"/>
        </w:rPr>
        <w:t>divided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i w:val="1"/>
          <w:iCs w:val="1"/>
          <w:color w:val="auto"/>
        </w:rPr>
        <w:t xml:space="preserve">by </w:t>
      </w:r>
      <w:r>
        <w:rPr>
          <w:rFonts w:ascii="Arial" w:cs="Arial" w:eastAsia="Arial" w:hAnsi="Arial"/>
          <w:sz w:val="17"/>
          <w:szCs w:val="17"/>
          <w:color w:val="auto"/>
        </w:rPr>
        <w:t>(2) the Relevant Price on such Valid Day,</w:t>
      </w:r>
      <w:r>
        <w:rPr>
          <w:rFonts w:ascii="Arial" w:cs="Arial" w:eastAsia="Arial" w:hAnsi="Arial"/>
          <w:sz w:val="17"/>
          <w:szCs w:val="17"/>
          <w:i w:val="1"/>
          <w:iCs w:val="1"/>
          <w:color w:val="auto"/>
        </w:rPr>
        <w:t xml:space="preserve"> divided by </w:t>
      </w:r>
      <w:r>
        <w:rPr>
          <w:rFonts w:ascii="Arial" w:cs="Arial" w:eastAsia="Arial" w:hAnsi="Arial"/>
          <w:sz w:val="17"/>
          <w:szCs w:val="17"/>
          <w:color w:val="auto"/>
        </w:rPr>
        <w:t>(B)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 xml:space="preserve">number of Valid Days in the Settlement Averaging Period; </w:t>
      </w:r>
      <w:r>
        <w:rPr>
          <w:rFonts w:ascii="Arial" w:cs="Arial" w:eastAsia="Arial" w:hAnsi="Arial"/>
          <w:sz w:val="16"/>
          <w:szCs w:val="16"/>
          <w:i w:val="1"/>
          <w:iCs w:val="1"/>
          <w:color w:val="auto"/>
        </w:rPr>
        <w:t>provided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that if the calculation in sub-clause (A)(1) above results in zero or a</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negative number for any Valid Day, the Daily Combination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Settlement Share Amount for such Valid Day shall be deemed to be</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zero;</w:t>
      </w:r>
    </w:p>
    <w:p>
      <w:pPr>
        <w:spacing w:after="0" w:line="103" w:lineRule="exact"/>
        <w:rPr>
          <w:sz w:val="20"/>
          <w:szCs w:val="20"/>
          <w:color w:val="auto"/>
        </w:rPr>
      </w:pPr>
    </w:p>
    <w:p>
      <w:pPr>
        <w:ind w:left="5020" w:right="20"/>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event shall the sum of (x) the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Cash Amount for any Option and (y) the Combination Settlement Share Amount for such Option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Applicable Limit Price on the Settlement Date for such Option, exceed the Applicable Limit for such Option. If any reduction is made to the delivery obligation hereunder as a result of the foregoing, such reduction shall first be made to any Combination Settlement Share Amount.</w:t>
      </w:r>
    </w:p>
    <w:p>
      <w:pPr>
        <w:spacing w:after="0" w:line="58" w:lineRule="exact"/>
        <w:rPr>
          <w:sz w:val="20"/>
          <w:szCs w:val="20"/>
          <w:color w:val="auto"/>
        </w:rPr>
      </w:pPr>
    </w:p>
    <w:p>
      <w:pPr>
        <w:ind w:left="5020"/>
        <w:spacing w:after="0" w:line="311" w:lineRule="auto"/>
        <w:rPr>
          <w:sz w:val="20"/>
          <w:szCs w:val="20"/>
          <w:color w:val="auto"/>
        </w:rPr>
      </w:pPr>
      <w:r>
        <w:rPr>
          <w:rFonts w:ascii="Arial" w:cs="Arial" w:eastAsia="Arial" w:hAnsi="Arial"/>
          <w:sz w:val="16"/>
          <w:szCs w:val="16"/>
          <w:color w:val="auto"/>
        </w:rPr>
        <w:t>Dealer will deliver cash in lieu of any fractional Shares to be delivered with respect to any Combination Settlement Share Amount valued at the Relevant Price for the last Valid Day of the Settlement Averaging Period.</w:t>
      </w:r>
    </w:p>
    <w:p>
      <w:pPr>
        <w:sectPr>
          <w:pgSz w:w="11900" w:h="16838" w:orient="portrait"/>
          <w:cols w:equalWidth="0" w:num="1">
            <w:col w:w="10280"/>
          </w:cols>
          <w:pgMar w:left="1160" w:top="274" w:right="4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Cash Settlement: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Cash Settlement is applicable to any Option exercised or deemed exercised hereunder, in lieu of Section 8.1 of the Equity Definitions, Dealer will pay to Counterparty, on the relevant Settlement Date for each such Option, an amount of cash (the “</w:t>
      </w:r>
      <w:r>
        <w:rPr>
          <w:rFonts w:ascii="Arial" w:cs="Arial" w:eastAsia="Arial" w:hAnsi="Arial"/>
          <w:sz w:val="17"/>
          <w:szCs w:val="17"/>
          <w:b w:val="1"/>
          <w:bCs w:val="1"/>
          <w:color w:val="auto"/>
        </w:rPr>
        <w:t>Cash Settlement Amount</w:t>
      </w:r>
      <w:r>
        <w:rPr>
          <w:rFonts w:ascii="Arial" w:cs="Arial" w:eastAsia="Arial" w:hAnsi="Arial"/>
          <w:sz w:val="17"/>
          <w:szCs w:val="17"/>
          <w:color w:val="auto"/>
        </w:rPr>
        <w:t>”) equal to the sum, for each Valid Day during the Settlement</w:t>
      </w:r>
    </w:p>
    <w:p>
      <w:pPr>
        <w:spacing w:after="0" w:line="109"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80"/>
          </w:cols>
          <w:pgMar w:left="1160" w:top="274" w:right="459" w:bottom="1440" w:gutter="0" w:footer="0" w:header="0"/>
          <w:type w:val="continuous"/>
        </w:sectPr>
      </w:pPr>
    </w:p>
    <w:bookmarkStart w:id="229" w:name="page230"/>
    <w:bookmarkEnd w:id="229"/>
    <w:p>
      <w:pPr>
        <w:ind w:left="5020"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Averaging Period for such Option, of (i) the Daily Option Value for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number of Valid Days in the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Cash Settlement Amount for any Option exceed the Applicable Limit for such Option.</w:t>
      </w:r>
    </w:p>
    <w:p>
      <w:pPr>
        <w:sectPr>
          <w:pgSz w:w="11900" w:h="16838" w:orient="portrait"/>
          <w:cols w:equalWidth="0" w:num="1">
            <w:col w:w="10280"/>
          </w:cols>
          <w:pgMar w:left="1160" w:top="274" w:right="45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Daily Option Value: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For any Valid Day, an amount equal to (i) the Option Entitlement on such Valid Day,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(a) the Relevant Price on such Valid Day less (b) the Strike Price on such Valid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7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Make-Whole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Notwithstanding anything to the contrary herein, in respect of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exercise of Options relating to a conversion of Convertible Notes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 Make-Whole Fundamental Change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 or a Notice of Redemption (as defined in the Indenture),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each case, for which additional Shares (the “</w:t>
      </w:r>
      <w:r>
        <w:rPr>
          <w:rFonts w:ascii="Arial" w:cs="Arial" w:eastAsia="Arial" w:hAnsi="Arial"/>
          <w:sz w:val="16"/>
          <w:szCs w:val="16"/>
          <w:b w:val="1"/>
          <w:bCs w:val="1"/>
          <w:color w:val="auto"/>
        </w:rPr>
        <w:t>Additional Shares</w:t>
      </w:r>
      <w:r>
        <w:rPr>
          <w:rFonts w:ascii="Arial" w:cs="Arial" w:eastAsia="Arial" w:hAnsi="Arial"/>
          <w:sz w:val="16"/>
          <w:szCs w:val="16"/>
          <w:color w:val="auto"/>
        </w:rPr>
        <w:t>”)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to the “Conversion Rate” (as defined in the Indenture)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determined pursuant to Section 13.03 of the Indenture, the Daily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shall be calculated as if the Option Entitlement included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Applicable Percentage of the number of such Additional Shares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determined with reference to the adjustment set forth in such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13.03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sum of (i) the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 the number of Shares (if any) deliverable by Dealer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Counterparty per exercised Option and (b) the Applicable Limit Price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Date and (ii) the amount of cash (if any) payable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Dealer to Counterparty per exercised Option would otherwise exceed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per Option, as determined by the Calculation Agent, that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payable by Dealer under Section 6 of the Agreement if (x)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relevant Conversion Date were an Early Termination Date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Additional Termination Event with respect to which the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 the sole Affected Transaction and Counterparty was the sole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Affected Party and (y) Section 13.03 of the Indenture were deleted,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Daily Option Value shall be proportionately reduced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eliminate such excess, with such reduction first being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any Shares deliverable hereunder.</w:t>
      </w:r>
    </w:p>
    <w:p>
      <w:pPr>
        <w:spacing w:after="0" w:line="103"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Applicable Limit:</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 xml:space="preserve">For any Option, an amount of cash equal to the Applicable Percentage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the excess of (i) the sum of (A) the amount of cash, if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payable to the Holder of the Relevant Convertible Note upon conversion of such Convertible Note and (B) the number of Shares, if any, deliverable to the Holder of the Relevant Convertible Note upon conversion of such Convertible Note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Applicable Limit Price on the Settlement Date for such Option, over (ii) USD 1,000.</w:t>
      </w:r>
    </w:p>
    <w:p>
      <w:pPr>
        <w:spacing w:after="0" w:line="99"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280"/>
          </w:cols>
          <w:pgMar w:left="1160" w:top="274" w:right="45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17"/>
          <w:szCs w:val="17"/>
          <w:color w:val="auto"/>
        </w:rPr>
        <w:t>Applicable Limit Price:</w:t>
      </w:r>
    </w:p>
    <w:p>
      <w:pPr>
        <w:spacing w:after="0" w:line="20" w:lineRule="exact"/>
        <w:rPr>
          <w:sz w:val="20"/>
          <w:szCs w:val="20"/>
          <w:color w:val="auto"/>
        </w:rPr>
      </w:pPr>
      <w:r>
        <w:rPr>
          <w:sz w:val="20"/>
          <w:szCs w:val="20"/>
          <w:color w:val="auto"/>
        </w:rPr>
        <w:br w:type="column"/>
      </w:r>
    </w:p>
    <w:p>
      <w:pPr>
        <w:ind w:right="220"/>
        <w:spacing w:after="0" w:line="308" w:lineRule="auto"/>
        <w:rPr>
          <w:sz w:val="20"/>
          <w:szCs w:val="20"/>
          <w:color w:val="auto"/>
        </w:rPr>
      </w:pPr>
      <w:r>
        <w:rPr>
          <w:rFonts w:ascii="Arial" w:cs="Arial" w:eastAsia="Arial" w:hAnsi="Arial"/>
          <w:sz w:val="17"/>
          <w:szCs w:val="17"/>
          <w:color w:val="auto"/>
        </w:rPr>
        <w:t>On any day, the opening price as displayed under the heading “Op” on Bloomberg page DBX &lt;equity&gt;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-403225</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300" w:space="720"/>
            <w:col w:w="5280"/>
          </w:cols>
          <w:pgMar w:left="1160" w:top="274" w:right="439" w:bottom="1440" w:gutter="0" w:footer="0" w:header="0"/>
        </w:sectPr>
      </w:pPr>
    </w:p>
    <w:p>
      <w:pPr>
        <w:spacing w:after="0"/>
        <w:rPr>
          <w:sz w:val="20"/>
          <w:szCs w:val="20"/>
          <w:color w:val="auto"/>
        </w:rPr>
      </w:pPr>
      <w:r>
        <w:rPr>
          <w:rFonts w:ascii="Arial" w:cs="Arial" w:eastAsia="Arial" w:hAnsi="Arial"/>
          <w:sz w:val="17"/>
          <w:szCs w:val="17"/>
          <w:color w:val="auto"/>
        </w:rPr>
        <w:t>Valid Day:</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A day on which (i) there is no Market Disruption Event and (ii) trading in the Shares generally occurs on the Exchange or, if the Shares are not then listed on the Exchange, on the principal other United States national or regional securities exchange on which the Shares are then listed or, if the Shares are not then listed on a United States national or regional securities exchange, on the principal other United States market on which the Shares are then listed or admitted for trading. If the Shares are not so listed or admitted for trading, “Valid Day” means a Business Day.</w:t>
      </w:r>
    </w:p>
    <w:p>
      <w:pPr>
        <w:spacing w:after="0" w:line="57"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Scheduled Valid Day:</w:t>
      </w:r>
    </w:p>
    <w:p>
      <w:pPr>
        <w:spacing w:after="0" w:line="20" w:lineRule="exact"/>
        <w:rPr>
          <w:sz w:val="20"/>
          <w:szCs w:val="20"/>
          <w:color w:val="auto"/>
        </w:rPr>
      </w:pPr>
      <w:r>
        <w:rPr>
          <w:sz w:val="20"/>
          <w:szCs w:val="20"/>
          <w:color w:val="auto"/>
        </w:rPr>
        <w:br w:type="column"/>
      </w:r>
    </w:p>
    <w:p>
      <w:pPr>
        <w:ind w:right="120"/>
        <w:spacing w:after="0" w:line="301" w:lineRule="auto"/>
        <w:rPr>
          <w:sz w:val="20"/>
          <w:szCs w:val="20"/>
          <w:color w:val="auto"/>
        </w:rPr>
      </w:pPr>
      <w:r>
        <w:rPr>
          <w:rFonts w:ascii="Arial" w:cs="Arial" w:eastAsia="Arial" w:hAnsi="Arial"/>
          <w:sz w:val="16"/>
          <w:szCs w:val="16"/>
          <w:color w:val="auto"/>
        </w:rPr>
        <w:t>A day that is scheduled to be a Valid Day on the principal United States national or regional securities exchange or market on which the Shares are listed or admitted for trading. If the Shares are not so listed or admitted for trading, “Scheduled Valid Day” means a Business Day.</w:t>
      </w:r>
    </w:p>
    <w:p>
      <w:pPr>
        <w:spacing w:after="0" w:line="49"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Business Day:</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Any day other than a Saturday, a Sunday or a day on which the Federal Reserve Bank of New York is authorized or required by law or executive order to close or be closed.</w:t>
      </w:r>
    </w:p>
    <w:p>
      <w:pPr>
        <w:spacing w:after="0" w:line="76"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Relevant Price:</w:t>
      </w:r>
    </w:p>
    <w:p>
      <w:pPr>
        <w:spacing w:after="0" w:line="20" w:lineRule="exact"/>
        <w:rPr>
          <w:sz w:val="20"/>
          <w:szCs w:val="20"/>
          <w:color w:val="auto"/>
        </w:rPr>
      </w:pPr>
      <w:r>
        <w:rPr>
          <w:sz w:val="20"/>
          <w:szCs w:val="20"/>
          <w:color w:val="auto"/>
        </w:rPr>
        <w:br w:type="column"/>
      </w:r>
    </w:p>
    <w:p>
      <w:pPr>
        <w:ind w:right="100"/>
        <w:spacing w:after="0" w:line="287" w:lineRule="auto"/>
        <w:rPr>
          <w:sz w:val="20"/>
          <w:szCs w:val="20"/>
          <w:color w:val="auto"/>
        </w:rPr>
      </w:pPr>
      <w:r>
        <w:rPr>
          <w:rFonts w:ascii="Arial" w:cs="Arial" w:eastAsia="Arial" w:hAnsi="Arial"/>
          <w:sz w:val="16"/>
          <w:szCs w:val="16"/>
          <w:color w:val="auto"/>
        </w:rPr>
        <w:t>On any Valid Day, the per Share volume-weighted average price as displayed under the heading “Bloomberg VWAP” on Bloomberg page DBX &lt;equity&gt; AQR (or any successor thereto) in respect of the period from the scheduled opening time of the Exchange to the Scheduled Closing Time of the Exchange on such Valid Day (or if such volume-weighted average price is unavailable at such time, the market value of one Share on such Valid Day, as determined by the Calculation Agent in good faith and in a commercially reasonable manner using, if practicable, a volume-weighted average method). The Relevant Price will be determined without regard to after hours trading or any other trading outside of the regular trading session trading hours.</w:t>
      </w:r>
    </w:p>
    <w:p>
      <w:pPr>
        <w:spacing w:after="0" w:line="64"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Averaging Period:</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For any Option, and regardless of the Settlement Method applicable to such Option:</w:t>
      </w:r>
    </w:p>
    <w:p>
      <w:pPr>
        <w:spacing w:after="0" w:line="62"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ind w:left="5360" w:right="60" w:hanging="359"/>
        <w:spacing w:after="0" w:line="259" w:lineRule="auto"/>
        <w:tabs>
          <w:tab w:leader="none" w:pos="5340" w:val="left"/>
        </w:tabs>
        <w:rPr>
          <w:sz w:val="20"/>
          <w:szCs w:val="20"/>
          <w:color w:val="auto"/>
        </w:rPr>
      </w:pPr>
      <w:r>
        <w:rPr>
          <w:rFonts w:ascii="Arial" w:cs="Arial" w:eastAsia="Arial" w:hAnsi="Arial"/>
          <w:sz w:val="18"/>
          <w:szCs w:val="18"/>
          <w:color w:val="auto"/>
        </w:rPr>
        <w:t>(i)</w:t>
        <w:tab/>
        <w:t>subject to clause (ii) below, if the related Conversion Date occurs prior to the Free Convertibility Date, the 25 consecutive Valid Days commencing on, and including, the second Valid Day following such Conversion Date;</w:t>
      </w:r>
    </w:p>
    <w:p>
      <w:pPr>
        <w:spacing w:after="0" w:line="79" w:lineRule="exact"/>
        <w:rPr>
          <w:sz w:val="20"/>
          <w:szCs w:val="20"/>
          <w:color w:val="auto"/>
        </w:rPr>
      </w:pPr>
    </w:p>
    <w:p>
      <w:pPr>
        <w:ind w:left="5380" w:hanging="359"/>
        <w:spacing w:after="0" w:line="255" w:lineRule="auto"/>
        <w:rPr>
          <w:sz w:val="20"/>
          <w:szCs w:val="20"/>
          <w:color w:val="auto"/>
        </w:rPr>
      </w:pPr>
      <w:r>
        <w:rPr>
          <w:rFonts w:ascii="Arial" w:cs="Arial" w:eastAsia="Arial" w:hAnsi="Arial"/>
          <w:sz w:val="18"/>
          <w:szCs w:val="18"/>
          <w:color w:val="auto"/>
        </w:rPr>
        <w:t>(ii) if the related Conversion Date occurs on or after the date of a Notice of Redemption (as defined in the Indenture) and prior to the relevant Redemption Date (as defined in the Indenture), the 25 consecutive Valid Days beginning on and including, the 26th Scheduled Valid Day immediately preceding such Redemption Date;</w:t>
      </w:r>
    </w:p>
    <w:p>
      <w:pPr>
        <w:spacing w:after="0" w:line="1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00"/>
          </w:cols>
          <w:pgMar w:left="1160" w:top="274" w:right="439" w:bottom="1440" w:gutter="0" w:footer="0" w:header="0"/>
          <w:type w:val="continuous"/>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Date:</w:t>
      </w:r>
    </w:p>
    <w:p>
      <w:pPr>
        <w:spacing w:after="0" w:line="33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Currency:</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24" w:right="680" w:hanging="724"/>
        <w:spacing w:after="0" w:line="425" w:lineRule="auto"/>
        <w:tabs>
          <w:tab w:leader="none" w:pos="355"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Additional Terms applicable to the Transaction. </w:t>
      </w:r>
      <w:r>
        <w:rPr>
          <w:rFonts w:ascii="Arial" w:cs="Arial" w:eastAsia="Arial" w:hAnsi="Arial"/>
          <w:sz w:val="16"/>
          <w:szCs w:val="16"/>
          <w:color w:val="auto"/>
        </w:rPr>
        <w:t>Adjustments applicable to the Transaction:</w:t>
      </w:r>
    </w:p>
    <w:p>
      <w:pPr>
        <w:ind w:left="1084"/>
        <w:spacing w:after="0"/>
        <w:rPr>
          <w:rFonts w:ascii="Arial" w:cs="Arial" w:eastAsia="Arial" w:hAnsi="Arial"/>
          <w:sz w:val="16"/>
          <w:szCs w:val="16"/>
          <w:b w:val="1"/>
          <w:bCs w:val="1"/>
          <w:color w:val="auto"/>
        </w:rPr>
      </w:pPr>
      <w:r>
        <w:rPr>
          <w:rFonts w:ascii="Arial" w:cs="Arial" w:eastAsia="Arial" w:hAnsi="Arial"/>
          <w:sz w:val="18"/>
          <w:szCs w:val="18"/>
          <w:color w:val="auto"/>
        </w:rPr>
        <w:t>Potential Adjustment Events:</w:t>
      </w:r>
    </w:p>
    <w:p>
      <w:pPr>
        <w:spacing w:after="0" w:line="20" w:lineRule="exact"/>
        <w:rPr>
          <w:sz w:val="20"/>
          <w:szCs w:val="20"/>
          <w:color w:val="auto"/>
        </w:rPr>
      </w:pPr>
      <w:r>
        <w:rPr>
          <w:sz w:val="20"/>
          <w:szCs w:val="20"/>
          <w:color w:val="auto"/>
        </w:rPr>
        <w:br w:type="column"/>
      </w:r>
    </w:p>
    <w:p>
      <w:pPr>
        <w:ind w:left="680" w:hanging="367"/>
        <w:spacing w:after="0" w:line="279" w:lineRule="auto"/>
        <w:tabs>
          <w:tab w:leader="none" w:pos="66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subject to clause (ii) above, if the related Conversion Date occurs on or following the Free Convertibility Date, the 25 consecutive Valid Days commencing on, and including, the 26th Scheduled Valid Day immediately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-661670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3" w:lineRule="exact"/>
        <w:rPr>
          <w:sz w:val="20"/>
          <w:szCs w:val="20"/>
          <w:color w:val="auto"/>
        </w:rPr>
      </w:pPr>
    </w:p>
    <w:p>
      <w:pPr>
        <w:jc w:val="both"/>
        <w:ind w:left="320" w:right="320"/>
        <w:spacing w:after="0" w:line="342" w:lineRule="auto"/>
        <w:rPr>
          <w:sz w:val="20"/>
          <w:szCs w:val="20"/>
          <w:color w:val="auto"/>
        </w:rPr>
      </w:pPr>
      <w:r>
        <w:rPr>
          <w:rFonts w:ascii="Arial" w:cs="Arial" w:eastAsia="Arial" w:hAnsi="Arial"/>
          <w:sz w:val="16"/>
          <w:szCs w:val="16"/>
          <w:color w:val="auto"/>
        </w:rPr>
        <w:t>For any Option, the second Business Day immediately following the final Valid Day of the Settlement Averaging Period for such Option.</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ind w:left="320" w:right="80"/>
        <w:spacing w:after="0" w:line="293" w:lineRule="auto"/>
        <w:rPr>
          <w:sz w:val="20"/>
          <w:szCs w:val="20"/>
          <w:color w:val="auto"/>
        </w:rPr>
      </w:pPr>
      <w:r>
        <w:rPr>
          <w:rFonts w:ascii="Arial" w:cs="Arial" w:eastAsia="Arial" w:hAnsi="Arial"/>
          <w:sz w:val="16"/>
          <w:szCs w:val="16"/>
          <w:color w:val="auto"/>
        </w:rPr>
        <w:t>To the extent Dealer is obligated to deliver Shares hereunder, 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56" w:lineRule="exact"/>
        <w:rPr>
          <w:sz w:val="20"/>
          <w:szCs w:val="20"/>
          <w:color w:val="auto"/>
        </w:rPr>
      </w:pPr>
    </w:p>
    <w:p>
      <w:pPr>
        <w:ind w:left="320" w:right="40"/>
        <w:spacing w:after="0" w:line="286" w:lineRule="auto"/>
        <w:rPr>
          <w:sz w:val="20"/>
          <w:szCs w:val="20"/>
          <w:color w:val="auto"/>
        </w:rPr>
      </w:pPr>
      <w:r>
        <w:rPr>
          <w:rFonts w:ascii="Arial" w:cs="Arial" w:eastAsia="Arial" w:hAnsi="Arial"/>
          <w:sz w:val="16"/>
          <w:szCs w:val="16"/>
          <w:color w:val="auto"/>
        </w:rPr>
        <w:t>Notwithstanding anything to the contrary in Equity Definitions (including, but not limited to, Section 9.11 thereof), the parties acknowledge that (i) any Shares delivered to Counterparty shall, upon delivery, be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With respect to any such certificated Shares (as described in clause (ii) above), the Representation and Agreement contained in Section 9.11 of the Equity Definitions shall be modified by deleting the remainder of the provision after the word “encumbrance” in the fourth line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line="272" w:lineRule="auto"/>
        <w:rPr>
          <w:sz w:val="20"/>
          <w:szCs w:val="20"/>
          <w:color w:val="auto"/>
        </w:rPr>
      </w:pPr>
      <w:r>
        <w:rPr>
          <w:rFonts w:ascii="Arial" w:cs="Arial" w:eastAsia="Arial" w:hAnsi="Arial"/>
          <w:sz w:val="17"/>
          <w:szCs w:val="17"/>
          <w:color w:val="auto"/>
        </w:rPr>
        <w:t>Notwithstanding Section 11.2(e) of the Equity Definitions, a “Potential Adjustment Event” means an occurrence of any event or condition, as set forth in any Dilution Adjustment Provision, that would result in an adjustment under the Indenture (as determined by the Calculation Agent by reference to the Dilution Adjustment Provisions) to the “Conversion Rate” or the composition of a “unit of Reference Property” or to any “Last Reported Sale Price”, “Daily VWAP,” “Daily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4704" w:space="720"/>
            <w:col w:w="5580"/>
          </w:cols>
          <w:pgMar w:left="436" w:top="274" w:right="459" w:bottom="1440" w:gutter="0" w:footer="0" w:header="0"/>
        </w:sectPr>
      </w:pPr>
    </w:p>
    <w:bookmarkStart w:id="232" w:name="page233"/>
    <w:bookmarkEnd w:id="232"/>
    <w:p>
      <w:pPr>
        <w:ind w:left="502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Conversion Value” or “Daily Net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fourth sentence of Section 13.04(c) of the Indenture or the fourth sentence of Section 13.04(d) of the Indenture).</w:t>
      </w:r>
    </w:p>
    <w:p>
      <w:pPr>
        <w:sectPr>
          <w:pgSz w:w="11900" w:h="16838" w:orient="portrait"/>
          <w:cols w:equalWidth="0" w:num="1">
            <w:col w:w="10280"/>
          </w:cols>
          <w:pgMar w:left="1160" w:top="274" w:right="45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Calculation Agent Adjustment, which means that, notwithstanding Section 11.2(c) of the Equity Definitions (and, for the avoidance of doubt, in lieu of any adjustments pursuant to such Section), upon any Potential Adjustment Event, the Calculation Agent shall make a corresponding adjustment in respect of any adjustment to the Convertible Notes under the Indenture to any one or more of the Strike Price, Number of Options, Option Entitlement, the composition of the Shares and any other variable relevant to the exercise, settlement or payment for the Transaction, in a commercially reasonable manner, as determined by reference to the Dilution Adjustment Provisions, to the extent an adjustment is required under the Indenture.</w:t>
      </w:r>
    </w:p>
    <w:p>
      <w:pPr>
        <w:spacing w:after="0" w:line="64"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502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ind w:left="5360" w:hanging="359"/>
        <w:spacing w:after="0" w:line="267" w:lineRule="auto"/>
        <w:tabs>
          <w:tab w:leader="none" w:pos="53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 xml:space="preserve">if the Calculation Agent acting in good faith and in a commercially reasonable manner disagrees with any adjustment pursuant to the terms of the Indenture that is the basis of any adjustment hereunder and that involves an exercise of discretion by Counterparty or its board of directors (including, without limitation, pursuant to Section 13.05 of the Indenture, Section 13.07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composition of the Shares, Strike Price, Number of Options, Option Entitlement and any other variable relevant to the exercise, settlement or payment for the Transaction in a commercially reasonable manner;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if any Potential Adjustment Event occurs during the Settlement Averaging Period but no adjustment is made</w:t>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80"/>
          </w:cols>
          <w:pgMar w:left="1160" w:top="274" w:right="459" w:bottom="1440" w:gutter="0" w:footer="0" w:header="0"/>
          <w:type w:val="continuous"/>
        </w:sectPr>
      </w:pPr>
    </w:p>
    <w:bookmarkStart w:id="233" w:name="page234"/>
    <w:bookmarkEnd w:id="233"/>
    <w:p>
      <w:pPr>
        <w:ind w:left="5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Indenture because the relevant Holder (as such term is</w:t>
      </w:r>
    </w:p>
    <w:p>
      <w:pPr>
        <w:spacing w:after="0" w:line="46"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defined in the Indenture) was deemed to be a record owner of the</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underlying Shares on the related Conversion Date, then the</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Calculation Agent shall make an adjustment in good faith and in a</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commercially reasonable manner, as determined by reference to the</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Potential Adjustment Event and consistent with the methodology</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set forth in the Indenture, to the terms hereof in order to account for</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such Potential Adjustment Event;</w:t>
      </w:r>
    </w:p>
    <w:p>
      <w:pPr>
        <w:spacing w:after="0" w:line="103" w:lineRule="exact"/>
        <w:rPr>
          <w:sz w:val="20"/>
          <w:szCs w:val="20"/>
          <w:color w:val="auto"/>
        </w:rPr>
      </w:pPr>
    </w:p>
    <w:p>
      <w:pPr>
        <w:ind w:left="5100" w:hanging="367"/>
        <w:spacing w:after="0" w:line="285" w:lineRule="auto"/>
        <w:tabs>
          <w:tab w:leader="none" w:pos="508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 connection with any Potential Adjustment Event as a result of an event or condition set forth in Section 13.04(b) of the Indenture or Section 13.04(c) of the Indenture where, in either case, the period for determining “Y” (as such term is used in Section 13.04(b) of the Indenture) or “SP</w:t>
      </w:r>
      <w:r>
        <w:rPr>
          <w:rFonts w:ascii="Arial" w:cs="Arial" w:eastAsia="Arial" w:hAnsi="Arial"/>
          <w:sz w:val="13"/>
          <w:szCs w:val="13"/>
          <w:color w:val="auto"/>
        </w:rPr>
        <w:t>0</w:t>
      </w:r>
      <w:r>
        <w:rPr>
          <w:rFonts w:ascii="Arial" w:cs="Arial" w:eastAsia="Arial" w:hAnsi="Arial"/>
          <w:sz w:val="16"/>
          <w:szCs w:val="16"/>
          <w:color w:val="auto"/>
        </w:rPr>
        <w:t>” (as such term is used in Section 13.04(c) of the Indenture), as the case may be, begins before Counterparty has publicly announced the event or condition giving rise to such Potential Adjustment Event, then the Calculation Agent shall adjust any variable relevant to the exercise, settlement or payment for the Transaction in a commercially reasonable manner to reflect the commercially reasonable costs and benefits (including, but not limited to, hedging mismatches and market gains and losses) and commercially reasonable gains and losses incurred by Dealer in connection with its commercially reasonable hedging activities (subject to the requirements set forth under Hedging Adjustments below) as a result of such event or condition not having been publicly announced prior to the beginning of such period; and</w:t>
      </w:r>
    </w:p>
    <w:p>
      <w:pPr>
        <w:spacing w:after="0" w:line="65" w:lineRule="exact"/>
        <w:rPr>
          <w:rFonts w:ascii="Arial" w:cs="Arial" w:eastAsia="Arial" w:hAnsi="Arial"/>
          <w:sz w:val="16"/>
          <w:szCs w:val="16"/>
          <w:color w:val="auto"/>
        </w:rPr>
      </w:pPr>
    </w:p>
    <w:p>
      <w:pPr>
        <w:ind w:left="5100" w:right="40" w:hanging="367"/>
        <w:spacing w:after="0" w:line="267" w:lineRule="auto"/>
        <w:tabs>
          <w:tab w:leader="none" w:pos="508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if the terms of any Potential Adjustment Event are declared by Counterparty and (a) the event or condition giving rise to such Potential Adjustment Event is subsequently amended, modified, cancelled or abandoned (whether or not there has been a “Conversion Rate” adjustment under the Indenture for such Potential Adjustment Event), (b) the “Conversion Rate” (as defined in the Indenture) is otherwise not adjusted at the time or in the manner contemplated by the relevant Dilution Adjustment Provision other than pursuant to the fourth sentence of</w:t>
      </w:r>
    </w:p>
    <w:p>
      <w:pPr>
        <w:spacing w:after="0" w:line="1" w:lineRule="exact"/>
        <w:rPr>
          <w:rFonts w:ascii="Arial" w:cs="Arial" w:eastAsia="Arial" w:hAnsi="Arial"/>
          <w:sz w:val="17"/>
          <w:szCs w:val="17"/>
          <w:color w:val="auto"/>
        </w:rPr>
      </w:pPr>
    </w:p>
    <w:p>
      <w:pPr>
        <w:ind w:left="5100" w:right="400"/>
        <w:spacing w:after="0" w:line="281" w:lineRule="auto"/>
        <w:rPr>
          <w:rFonts w:ascii="Arial" w:cs="Arial" w:eastAsia="Arial" w:hAnsi="Arial"/>
          <w:sz w:val="17"/>
          <w:szCs w:val="17"/>
          <w:color w:val="auto"/>
        </w:rPr>
      </w:pPr>
      <w:r>
        <w:rPr>
          <w:rFonts w:ascii="Arial" w:cs="Arial" w:eastAsia="Arial" w:hAnsi="Arial"/>
          <w:sz w:val="16"/>
          <w:szCs w:val="16"/>
          <w:color w:val="auto"/>
        </w:rPr>
        <w:t>Section 13.04(c) of the Indenture or the fourth sentence of Section 13.04(d) of the Indenture based on such declaration or</w:t>
      </w:r>
    </w:p>
    <w:p>
      <w:pPr>
        <w:spacing w:after="0" w:line="1" w:lineRule="exact"/>
        <w:rPr>
          <w:rFonts w:ascii="Arial" w:cs="Arial" w:eastAsia="Arial" w:hAnsi="Arial"/>
          <w:sz w:val="17"/>
          <w:szCs w:val="17"/>
          <w:color w:val="auto"/>
        </w:rPr>
      </w:pPr>
    </w:p>
    <w:p>
      <w:pPr>
        <w:ind w:left="5100" w:right="120"/>
        <w:spacing w:after="0" w:line="260" w:lineRule="auto"/>
        <w:rPr>
          <w:rFonts w:ascii="Arial" w:cs="Arial" w:eastAsia="Arial" w:hAnsi="Arial"/>
          <w:sz w:val="17"/>
          <w:szCs w:val="17"/>
          <w:color w:val="auto"/>
        </w:rPr>
      </w:pPr>
      <w:r>
        <w:rPr>
          <w:rFonts w:ascii="Arial" w:cs="Arial" w:eastAsia="Arial" w:hAnsi="Arial"/>
          <w:sz w:val="18"/>
          <w:szCs w:val="18"/>
          <w:color w:val="auto"/>
        </w:rPr>
        <w:t>(c) the “Conversion Rate” (as defined in the Indenture) is adjusted as a result of such Potential Adjustment Event and</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80"/>
          </w:cols>
          <w:pgMar w:left="1440" w:top="274" w:right="479"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Dilution Adjustment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Extraordinary Events applicable to the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Events: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Tender Offers:</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Consequence of Merger Events /</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Tender Offers:</w:t>
      </w:r>
    </w:p>
    <w:p>
      <w:pPr>
        <w:spacing w:after="0" w:line="20" w:lineRule="exact"/>
        <w:rPr>
          <w:sz w:val="20"/>
          <w:szCs w:val="20"/>
          <w:color w:val="auto"/>
        </w:rPr>
      </w:pPr>
      <w:r>
        <w:rPr>
          <w:sz w:val="20"/>
          <w:szCs w:val="20"/>
          <w:color w:val="auto"/>
        </w:rPr>
        <w:br w:type="column"/>
      </w:r>
    </w:p>
    <w:p>
      <w:pPr>
        <w:jc w:val="both"/>
        <w:ind w:left="320" w:right="220"/>
        <w:spacing w:after="0" w:line="291" w:lineRule="auto"/>
        <w:rPr>
          <w:sz w:val="20"/>
          <w:szCs w:val="20"/>
          <w:color w:val="auto"/>
        </w:rPr>
      </w:pPr>
      <w:r>
        <w:rPr>
          <w:rFonts w:ascii="Arial" w:cs="Arial" w:eastAsia="Arial" w:hAnsi="Arial"/>
          <w:sz w:val="16"/>
          <w:szCs w:val="16"/>
          <w:color w:val="auto"/>
        </w:rPr>
        <w:t>subsequently such adjustment, in respect of such Potential Adjustment Event, is modified, amended, altered or corrected (each of clauses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-367665</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320" w:right="60" w:hanging="7"/>
        <w:spacing w:after="0" w:line="268" w:lineRule="auto"/>
        <w:tabs>
          <w:tab w:leader="none" w:pos="57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and (c), a “</w:t>
      </w:r>
      <w:r>
        <w:rPr>
          <w:rFonts w:ascii="Arial" w:cs="Arial" w:eastAsia="Arial" w:hAnsi="Arial"/>
          <w:sz w:val="17"/>
          <w:szCs w:val="17"/>
          <w:b w:val="1"/>
          <w:bCs w:val="1"/>
          <w:color w:val="auto"/>
        </w:rPr>
        <w:t>Potential Adjustment Event Change</w:t>
      </w:r>
      <w:r>
        <w:rPr>
          <w:rFonts w:ascii="Arial" w:cs="Arial" w:eastAsia="Arial" w:hAnsi="Arial"/>
          <w:sz w:val="17"/>
          <w:szCs w:val="17"/>
          <w:color w:val="auto"/>
        </w:rPr>
        <w:t>”) then, in each case, but without duplication, the Calculation Agent shall adjust any variable relevant to the exercise, settlement or payment for the Transaction in a commercially reasonable manner to reflect the commercially reasonable costs and benefits (including, but not limited to, hedging mismatches and market gains and losses) and commercially reasonable gains and losses incurred by Dealer in connection with its commercially reasonable hedging activities (subject to the requirements set forth under Hedging Adjustments below) as a result of such Potential Adjustment Event Change.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Sections 13.04(a), (b), (c), (d) and (e) and Section 13.05 of the Indenture.</w:t>
      </w:r>
    </w:p>
    <w:p>
      <w:pPr>
        <w:spacing w:after="0" w:line="200" w:lineRule="exact"/>
        <w:rPr>
          <w:sz w:val="20"/>
          <w:szCs w:val="20"/>
          <w:color w:val="auto"/>
        </w:rPr>
      </w:pPr>
    </w:p>
    <w:p>
      <w:pPr>
        <w:spacing w:after="0" w:line="264" w:lineRule="exact"/>
        <w:rPr>
          <w:sz w:val="20"/>
          <w:szCs w:val="20"/>
          <w:color w:val="auto"/>
        </w:rPr>
      </w:pPr>
    </w:p>
    <w:p>
      <w:pPr>
        <w:ind w:left="320" w:right="120"/>
        <w:spacing w:after="0" w:line="259"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Section 12.1(b) of the Equity Definitions, a “Merger Event” means the occurrence of any event or condition set forth in the definition of “Merger Event” in Section 13.07(a) of the Indenture.</w:t>
      </w:r>
    </w:p>
    <w:p>
      <w:pPr>
        <w:spacing w:after="0" w:line="79" w:lineRule="exact"/>
        <w:rPr>
          <w:sz w:val="20"/>
          <w:szCs w:val="20"/>
          <w:color w:val="auto"/>
        </w:rPr>
      </w:pPr>
    </w:p>
    <w:p>
      <w:pPr>
        <w:ind w:left="320" w:right="120"/>
        <w:spacing w:after="0" w:line="263"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Section 12.1(d) of the Equity Definitions, a “Tender Offer” means the occurrence of any event or condition set forth in Section 13.04(e) of the Indenture.</w:t>
      </w:r>
    </w:p>
    <w:p>
      <w:pPr>
        <w:spacing w:after="0" w:line="292"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 xml:space="preserve">Notwithstanding Section 12.2 and Section 12.3 of the Equity Definitions, upon the occurrence of a Merger Event or a Tender Offer, the Calculation Agent shall make an adjustment in respect of any adjustment required to be made under the Indenture to any one or more of the nature of the Shares (in the case of a Merger Event), Strike Price, Number of Options, Option Entitlement and any other variable relevant to the exercise, settlement or payment for the Transaction (as determined by the Calculation Agent acting in good faith and in a commercially reasonable manner by reference to the relevant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such adjustment shall be made without regard to any adjustment to the Conversion Rate pursuant to any Excluded Provision and (y) the Calculation Agent shall limit or alter any such adjustment referenced in this paragraph to maintain the fair value of the Transaction as a result of such adjustment;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the foregoing, if the Calculation Agent in good faith disagrees with any adjustment pursuant to the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4340" w:space="720"/>
            <w:col w:w="5600"/>
          </w:cols>
          <w:pgMar w:left="800" w:top="274" w:right="4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1"/>
              </w:rPr>
              <w:t>terms of the Indenture that is the basis of any adjustment hereunder and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5"/>
              </w:rPr>
              <w:t>that involves an exercise of discretion by Counterparty or its board of</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3"/>
              </w:rPr>
              <w:t>directors (including, without limitation, pursuant to Section 13.07 of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Indenture or any supplemental indenture entered into pursuant to</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3"/>
              </w:rPr>
              <w:t>Section 10.01(j) of the Indenture of the Indenture), then the Calculation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1"/>
              </w:rPr>
              <w:t>Agent acting in good faith and in a commercially reasonable manner will</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0"/>
              </w:rPr>
              <w:t>determine the adjustment to be made to any one or more of the nature of</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the Shares, Strike Price, Number of Options, Option Entitlement,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Regular Dividend and any other variable relevant to the exercise,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1"/>
              </w:rPr>
              <w:t>settlement or payment for the Transaction in a commercially reasonable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1"/>
              </w:rPr>
              <w:t xml:space="preserve">manner; and </w:t>
            </w:r>
            <w:r>
              <w:rPr>
                <w:rFonts w:ascii="Arial" w:cs="Arial" w:eastAsia="Arial" w:hAnsi="Arial"/>
                <w:sz w:val="18"/>
                <w:szCs w:val="18"/>
                <w:i w:val="1"/>
                <w:iCs w:val="1"/>
                <w:color w:val="auto"/>
                <w:w w:val="91"/>
              </w:rPr>
              <w:t>provided further</w:t>
            </w:r>
            <w:r>
              <w:rPr>
                <w:rFonts w:ascii="Arial" w:cs="Arial" w:eastAsia="Arial" w:hAnsi="Arial"/>
                <w:sz w:val="18"/>
                <w:szCs w:val="18"/>
                <w:color w:val="auto"/>
                <w:w w:val="91"/>
              </w:rPr>
              <w:t xml:space="preserve"> that if, with respect to a Merger Event or a</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6"/>
              </w:rPr>
              <w:t>Tender Offer, (i) the consideration for the Shares includes (or, at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2"/>
              </w:rPr>
              <w:t>option of a holder of Shares, may include) shares of an entity or person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1"/>
              </w:rPr>
              <w:t>that is not a corporation or is not organized under the laws of the United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States, any State thereof or the District of Columbia or (ii)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2"/>
              </w:rPr>
              <w:t>Counterparty to the Transaction following such Merger Event or Tender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5"/>
              </w:rPr>
              <w:t>Offer, will not be a corporation or will not be the Issuer following such</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Merger Event or Tender Offer, then Dealer, in its commercially</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reasonable discretion, may elect for Cancellation and Payment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(Calculation Agent Determination) to apply.</w:t>
            </w:r>
          </w:p>
        </w:tc>
        <w:tc>
          <w:tcPr>
            <w:tcW w:w="0" w:type="dxa"/>
            <w:vAlign w:val="bottom"/>
          </w:tcPr>
          <w:p>
            <w:pPr>
              <w:spacing w:after="0"/>
              <w:rPr>
                <w:sz w:val="1"/>
                <w:szCs w:val="1"/>
                <w:color w:val="auto"/>
              </w:rPr>
            </w:pPr>
          </w:p>
        </w:tc>
      </w:tr>
      <w:tr>
        <w:trPr>
          <w:trHeight w:val="310"/>
        </w:trPr>
        <w:tc>
          <w:tcPr>
            <w:tcW w:w="3820" w:type="dxa"/>
            <w:vAlign w:val="bottom"/>
          </w:tcPr>
          <w:p>
            <w:pPr>
              <w:spacing w:after="0"/>
              <w:rPr>
                <w:sz w:val="20"/>
                <w:szCs w:val="20"/>
                <w:color w:val="auto"/>
              </w:rPr>
            </w:pPr>
            <w:r>
              <w:rPr>
                <w:rFonts w:ascii="Arial" w:cs="Arial" w:eastAsia="Arial" w:hAnsi="Arial"/>
                <w:sz w:val="18"/>
                <w:szCs w:val="18"/>
                <w:color w:val="auto"/>
              </w:rPr>
              <w:t>Nationalization, Insolvency or Delisting:</w:t>
            </w:r>
          </w:p>
        </w:tc>
        <w:tc>
          <w:tcPr>
            <w:tcW w:w="6460" w:type="dxa"/>
            <w:vAlign w:val="bottom"/>
          </w:tcPr>
          <w:p>
            <w:pPr>
              <w:ind w:left="1200"/>
              <w:spacing w:after="0"/>
              <w:rPr>
                <w:sz w:val="20"/>
                <w:szCs w:val="20"/>
                <w:color w:val="auto"/>
              </w:rPr>
            </w:pPr>
            <w:r>
              <w:rPr>
                <w:rFonts w:ascii="Arial" w:cs="Arial" w:eastAsia="Arial" w:hAnsi="Arial"/>
                <w:sz w:val="18"/>
                <w:szCs w:val="18"/>
                <w:color w:val="auto"/>
                <w:w w:val="92"/>
              </w:rPr>
              <w:t xml:space="preserve">Cancellation and Payment (Calculation Agent Determination); </w:t>
            </w:r>
            <w:r>
              <w:rPr>
                <w:rFonts w:ascii="Arial" w:cs="Arial" w:eastAsia="Arial" w:hAnsi="Arial"/>
                <w:sz w:val="18"/>
                <w:szCs w:val="18"/>
                <w:i w:val="1"/>
                <w:iCs w:val="1"/>
                <w:color w:val="auto"/>
                <w:w w:val="92"/>
              </w:rPr>
              <w:t>provided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8"/>
              </w:rPr>
              <w:t>that, in addition to the provisions of Section 12.6(a)(iii) of the Equity</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4"/>
              </w:rPr>
              <w:t>Definitions, it will also constitute a Delisting if the Exchange is located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in the United States and the Shares are not immediately re-listed,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6"/>
              </w:rPr>
              <w:t>re-traded or re-quoted on any of the New York Stock Exchange,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8"/>
              </w:rPr>
              <w:t>NASDAQ Global Select Market or The NASDAQ Global Market (or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6"/>
              </w:rPr>
              <w:t>their respective successors); if the Shares are immediately re-listed,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6"/>
              </w:rPr>
              <w:t>re-traded or re-quoted on any of the New York Stock Exchange,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8"/>
              </w:rPr>
              <w:t>NASDAQ Global Select Market or The NASDAQ Global Market (or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3"/>
              </w:rPr>
              <w:t>their respective successors), such exchange or quotation system shall</w:t>
            </w:r>
          </w:p>
        </w:tc>
        <w:tc>
          <w:tcPr>
            <w:tcW w:w="0" w:type="dxa"/>
            <w:vAlign w:val="bottom"/>
          </w:tcPr>
          <w:p>
            <w:pPr>
              <w:spacing w:after="0"/>
              <w:rPr>
                <w:sz w:val="1"/>
                <w:szCs w:val="1"/>
                <w:color w:val="auto"/>
              </w:rPr>
            </w:pPr>
          </w:p>
        </w:tc>
      </w:tr>
      <w:tr>
        <w:trPr>
          <w:trHeight w:val="230"/>
        </w:trPr>
        <w:tc>
          <w:tcPr>
            <w:tcW w:w="3820" w:type="dxa"/>
            <w:vAlign w:val="bottom"/>
            <w:vMerge w:val="restart"/>
          </w:tcPr>
          <w:p>
            <w:pPr>
              <w:spacing w:after="0"/>
              <w:rPr>
                <w:sz w:val="20"/>
                <w:szCs w:val="20"/>
                <w:color w:val="auto"/>
              </w:rPr>
            </w:pPr>
            <w:r>
              <w:rPr>
                <w:rFonts w:ascii="Arial" w:cs="Arial" w:eastAsia="Arial" w:hAnsi="Arial"/>
                <w:sz w:val="18"/>
                <w:szCs w:val="18"/>
                <w:color w:val="auto"/>
              </w:rPr>
              <w:t>Additional Disruption Events:</w:t>
            </w:r>
          </w:p>
        </w:tc>
        <w:tc>
          <w:tcPr>
            <w:tcW w:w="6460" w:type="dxa"/>
            <w:vAlign w:val="bottom"/>
          </w:tcPr>
          <w:p>
            <w:pPr>
              <w:ind w:left="1200"/>
              <w:spacing w:after="0"/>
              <w:rPr>
                <w:sz w:val="20"/>
                <w:szCs w:val="20"/>
                <w:color w:val="auto"/>
              </w:rPr>
            </w:pPr>
            <w:r>
              <w:rPr>
                <w:rFonts w:ascii="Arial" w:cs="Arial" w:eastAsia="Arial" w:hAnsi="Arial"/>
                <w:sz w:val="18"/>
                <w:szCs w:val="18"/>
                <w:color w:val="auto"/>
              </w:rPr>
              <w:t>thereafter be deemed to be the Exchange.</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20" w:type="dxa"/>
            <w:vAlign w:val="bottom"/>
          </w:tcPr>
          <w:p>
            <w:pPr>
              <w:ind w:left="360"/>
              <w:spacing w:after="0"/>
              <w:rPr>
                <w:sz w:val="20"/>
                <w:szCs w:val="20"/>
                <w:color w:val="auto"/>
              </w:rPr>
            </w:pPr>
            <w:r>
              <w:rPr>
                <w:rFonts w:ascii="Arial" w:cs="Arial" w:eastAsia="Arial" w:hAnsi="Arial"/>
                <w:sz w:val="18"/>
                <w:szCs w:val="18"/>
                <w:color w:val="auto"/>
              </w:rPr>
              <w:t>Change in Law:</w:t>
            </w:r>
          </w:p>
        </w:tc>
        <w:tc>
          <w:tcPr>
            <w:tcW w:w="6460" w:type="dxa"/>
            <w:vAlign w:val="bottom"/>
          </w:tcPr>
          <w:p>
            <w:pPr>
              <w:ind w:left="1200"/>
              <w:spacing w:after="0"/>
              <w:rPr>
                <w:sz w:val="20"/>
                <w:szCs w:val="20"/>
                <w:color w:val="auto"/>
              </w:rPr>
            </w:pPr>
            <w:r>
              <w:rPr>
                <w:rFonts w:ascii="Arial" w:cs="Arial" w:eastAsia="Arial" w:hAnsi="Arial"/>
                <w:sz w:val="18"/>
                <w:szCs w:val="18"/>
                <w:color w:val="auto"/>
                <w:w w:val="94"/>
              </w:rPr>
              <w:t xml:space="preserve">Applicable;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Section 12.9(a)(ii) of the Equity Definitions is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5"/>
              </w:rPr>
              <w:t>hereby amended by (i) replacing the phrase “the interpretation” in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9"/>
              </w:rPr>
              <w:t>third line thereof with the phrase “, or public announcement of,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formal or informal interpretation”, (ii) by adding the phrase “and/or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Hedge Position” after the word “Shares” in clause (X) thereof and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(iii) by immediately following the word “Transaction” in clause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9"/>
              </w:rPr>
              <w:t>(X) thereof, adding the phrase “in the manner contemplated by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 xml:space="preserve">Hedging Party on the Trade Date”;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rPr>
              <w:t>Section 12.9(a)(ii) of the Equity Definitions is hereby amended by</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6460" w:type="dxa"/>
            <w:vAlign w:val="bottom"/>
          </w:tcPr>
          <w:p>
            <w:pPr>
              <w:ind w:left="1200"/>
              <w:spacing w:after="0"/>
              <w:rPr>
                <w:sz w:val="20"/>
                <w:szCs w:val="20"/>
                <w:color w:val="auto"/>
              </w:rPr>
            </w:pPr>
            <w:r>
              <w:rPr>
                <w:rFonts w:ascii="Arial" w:cs="Arial" w:eastAsia="Arial" w:hAnsi="Arial"/>
                <w:sz w:val="18"/>
                <w:szCs w:val="18"/>
                <w:color w:val="auto"/>
                <w:w w:val="99"/>
              </w:rPr>
              <w:t>replacing the parenthetical beginning after the word “regulation” in</w:t>
            </w:r>
          </w:p>
        </w:tc>
        <w:tc>
          <w:tcPr>
            <w:tcW w:w="0" w:type="dxa"/>
            <w:vAlign w:val="bottom"/>
          </w:tcPr>
          <w:p>
            <w:pPr>
              <w:spacing w:after="0"/>
              <w:rPr>
                <w:sz w:val="1"/>
                <w:szCs w:val="1"/>
                <w:color w:val="auto"/>
              </w:rPr>
            </w:pPr>
          </w:p>
        </w:tc>
      </w:tr>
      <w:tr>
        <w:trPr>
          <w:trHeight w:val="365"/>
        </w:trPr>
        <w:tc>
          <w:tcPr>
            <w:tcW w:w="3820" w:type="dxa"/>
            <w:vAlign w:val="bottom"/>
          </w:tcPr>
          <w:p>
            <w:pPr>
              <w:spacing w:after="0"/>
              <w:rPr>
                <w:sz w:val="24"/>
                <w:szCs w:val="24"/>
                <w:color w:val="auto"/>
              </w:rPr>
            </w:pPr>
          </w:p>
        </w:tc>
        <w:tc>
          <w:tcPr>
            <w:tcW w:w="6460" w:type="dxa"/>
            <w:vAlign w:val="bottom"/>
          </w:tcPr>
          <w:p>
            <w:pPr>
              <w:ind w:left="8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80"/>
          </w:cols>
          <w:pgMar w:left="116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6" w:name="page237"/>
    <w:bookmarkEnd w:id="236"/>
    <w:p>
      <w:pPr>
        <w:ind w:left="5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second line thereof with the phrase “(including, for the avoidance of</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doubt and without limitation, (x) any tax law or (y) adoption 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promulgation of new regulations authorized or mandated by existing</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statute)”.</w:t>
      </w:r>
    </w:p>
    <w:p>
      <w:pPr>
        <w:sectPr>
          <w:pgSz w:w="11900" w:h="16838" w:orient="portrait"/>
          <w:cols w:equalWidth="0" w:num="1">
            <w:col w:w="10640"/>
          </w:cols>
          <w:pgMar w:left="800" w:top="274" w:right="459" w:bottom="1440" w:gutter="0" w:footer="0" w:header="0"/>
        </w:sectPr>
      </w:pPr>
    </w:p>
    <w:p>
      <w:pPr>
        <w:spacing w:after="0" w:line="10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5740"/>
        <w:spacing w:after="0"/>
        <w:rPr>
          <w:sz w:val="20"/>
          <w:szCs w:val="20"/>
          <w:color w:val="auto"/>
        </w:rPr>
      </w:pPr>
      <w:r>
        <w:rPr>
          <w:rFonts w:ascii="Arial" w:cs="Arial" w:eastAsia="Arial" w:hAnsi="Arial"/>
          <w:sz w:val="17"/>
          <w:szCs w:val="17"/>
          <w:color w:val="auto"/>
        </w:rPr>
        <w:t>(i) Section 12.9(a)(v) of the Equity Definitions is hereby amended</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 (a) inserting the following words at the end of clause (A) thereof: “in</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the manner contemplated by the Hedging Party on the Trade Date (other</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than for purposes of such provision any repurchase, redemption or</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conversion of the Convertible Notes prior to the maturity of the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Convertible Notes)” and (b) inserting the following sentence at the end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of such Section:</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“For the avoidance of doubt, (i) the term “equity price risk” shall be</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deemed to include, but shall not be limited to, stock price and volatility</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risk, and (ii) any such transactions or assets referred to in clause (A) or</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 above must be available on commercially reasonable pricing terms.”;</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(ii) Section 12.9(b)(iii) of the Equity Definitions is hereby amended</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by inserting in the third line thereof, after the words “to terminate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Transaction”, the words “or a portion of the Transaction affected by such</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Hedging Disruption”.</w:t>
      </w:r>
    </w:p>
    <w:p>
      <w:pPr>
        <w:sectPr>
          <w:pgSz w:w="11900" w:h="16838" w:orient="portrait"/>
          <w:cols w:equalWidth="0" w:num="1">
            <w:col w:w="10640"/>
          </w:cols>
          <w:pgMar w:left="800" w:top="274" w:right="459" w:bottom="1440" w:gutter="0" w:footer="0" w:header="0"/>
          <w:type w:val="continuous"/>
        </w:sectPr>
      </w:pPr>
    </w:p>
    <w:p>
      <w:pPr>
        <w:spacing w:after="0" w:line="10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Additional Disruption Events, Dealer.</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 xml:space="preserve">For all applicable Extraordinary Events, Dealer. All calculations and determinations by the Determining Party shall be made in good faith and in a commercially reasonable manner. Following any calculation by the Determining Party hereunder, upon written request by Counterparty, the Determining Party will provide to Counterparty by email to the email address provided to Counterparty in such written request a report (in a commonly used file format for the storage and manipulation of financial data) displaying in reasonable detail the basis for such calculation;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in no event will the Determining Party be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obligated to share with Counterparty any proprietary or confidential data or information or information or any proprietary or confidential models used by it.</w:t>
      </w:r>
    </w:p>
    <w:p>
      <w:pPr>
        <w:spacing w:after="0" w:line="71"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Non-Reliance: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Agreements and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505"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640"/>
          </w:cols>
          <w:pgMar w:left="800" w:top="274" w:right="459" w:bottom="1440" w:gutter="0" w:footer="0" w:header="0"/>
          <w:type w:val="continuous"/>
        </w:sectPr>
      </w:pPr>
    </w:p>
    <w:bookmarkStart w:id="237" w:name="page238"/>
    <w:bookmarkEnd w:id="237"/>
    <w:p>
      <w:pPr>
        <w:ind w:left="364"/>
        <w:spacing w:after="0"/>
        <w:rPr>
          <w:sz w:val="20"/>
          <w:szCs w:val="20"/>
          <w:color w:val="auto"/>
        </w:rPr>
      </w:pPr>
      <w:r>
        <w:rPr>
          <w:rFonts w:ascii="Arial" w:cs="Arial" w:eastAsia="Arial" w:hAnsi="Arial"/>
          <w:sz w:val="16"/>
          <w:szCs w:val="16"/>
          <w:color w:val="auto"/>
        </w:rPr>
        <w:t>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-201295</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024" w:space="720"/>
            <w:col w:w="5260"/>
          </w:cols>
          <w:pgMar w:left="436" w:top="274" w:right="459" w:bottom="1440" w:gutter="0" w:footer="0" w:header="0"/>
        </w:sectPr>
      </w:pPr>
    </w:p>
    <w:p>
      <w:pPr>
        <w:ind w:left="364"/>
        <w:spacing w:after="0"/>
        <w:rPr>
          <w:sz w:val="20"/>
          <w:szCs w:val="20"/>
          <w:color w:val="auto"/>
        </w:rPr>
      </w:pPr>
      <w:r>
        <w:rPr>
          <w:rFonts w:ascii="Arial" w:cs="Arial" w:eastAsia="Arial" w:hAnsi="Arial"/>
          <w:sz w:val="16"/>
          <w:szCs w:val="16"/>
          <w:color w:val="auto"/>
        </w:rPr>
        <w:t>Hedging Adjustment:</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For the avoidance of doubt, whenever the Calculation Agent, Hedging Party or Determining Party, as the case may be, is permitted to make a determination, calculation or adjustment pursuant to the terms of this Confirmation or the Equity Definitions to take into account the effect of an event, the Calculation Agent Hedging Party or Determining Party, as the case may be, shall make such adjustment, if any, in a commercially reasonable manner and by reference to the effect of such event on Dealer assuming that Dealer maintains a commercially reasonable hedge position.</w:t>
      </w:r>
    </w:p>
    <w:p>
      <w:pPr>
        <w:spacing w:after="0" w:line="73" w:lineRule="exact"/>
        <w:rPr>
          <w:sz w:val="20"/>
          <w:szCs w:val="20"/>
          <w:color w:val="auto"/>
        </w:rPr>
      </w:pPr>
    </w:p>
    <w:p>
      <w:pPr>
        <w:sectPr>
          <w:pgSz w:w="11900" w:h="16838" w:orient="portrait"/>
          <w:cols w:equalWidth="0" w:num="2">
            <w:col w:w="5024" w:space="720"/>
            <w:col w:w="5260"/>
          </w:cols>
          <w:pgMar w:left="436" w:top="274" w:right="459" w:bottom="1440" w:gutter="0" w:footer="0" w:header="0"/>
          <w:type w:val="continuous"/>
        </w:sectPr>
      </w:pPr>
    </w:p>
    <w:p>
      <w:pPr>
        <w:ind w:left="364"/>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50" w:lineRule="exact"/>
        <w:rPr>
          <w:sz w:val="20"/>
          <w:szCs w:val="20"/>
          <w:color w:val="auto"/>
        </w:rPr>
      </w:pPr>
    </w:p>
    <w:p>
      <w:pPr>
        <w:sectPr>
          <w:pgSz w:w="11900" w:h="16838" w:orient="portrait"/>
          <w:cols w:equalWidth="0" w:num="2">
            <w:col w:w="5024" w:space="720"/>
            <w:col w:w="5260"/>
          </w:cols>
          <w:pgMar w:left="436" w:top="274" w:right="459" w:bottom="1440" w:gutter="0" w:footer="0" w:header="0"/>
          <w:type w:val="continuous"/>
        </w:sectPr>
      </w:pPr>
    </w:p>
    <w:p>
      <w:pPr>
        <w:ind w:left="424" w:hanging="424"/>
        <w:spacing w:after="0" w:line="287" w:lineRule="auto"/>
        <w:tabs>
          <w:tab w:leader="none" w:pos="424" w:val="left"/>
        </w:tabs>
        <w:numPr>
          <w:ilvl w:val="0"/>
          <w:numId w:val="245"/>
        </w:numPr>
        <w:rPr>
          <w:rFonts w:ascii="Arial" w:cs="Arial" w:eastAsia="Arial" w:hAnsi="Arial"/>
          <w:sz w:val="16"/>
          <w:szCs w:val="16"/>
          <w:color w:val="auto"/>
        </w:rPr>
      </w:pPr>
      <w:r>
        <w:rPr>
          <w:rFonts w:ascii="Arial" w:cs="Arial" w:eastAsia="Arial" w:hAnsi="Arial"/>
          <w:sz w:val="16"/>
          <w:szCs w:val="16"/>
          <w:b w:val="1"/>
          <w:bCs w:val="1"/>
          <w:u w:val="single" w:color="auto"/>
          <w:color w:val="auto"/>
        </w:rPr>
        <w:t>Calculation Agent</w:t>
      </w:r>
      <w:r>
        <w:rPr>
          <w:rFonts w:ascii="Arial" w:cs="Arial" w:eastAsia="Arial" w:hAnsi="Arial"/>
          <w:sz w:val="16"/>
          <w:szCs w:val="16"/>
          <w:color w:val="auto"/>
        </w:rPr>
        <w:t>. Dealer;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following the occurrence and during the continuance of an Event of Default of the type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 All calculations and determinations by the Calculation Agent shall be made in good faith and in a commercially reasonable manner. Following any calculation by the Calculation Agent hereunder, upon written request by Counterparty, the Calculation Agent will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Dealer be obligated to share with Counterparty any proprietary or confidential data or information or any proprietary or confidential models used by it.</w:t>
      </w:r>
    </w:p>
    <w:p>
      <w:pPr>
        <w:spacing w:after="0" w:line="69" w:lineRule="exact"/>
        <w:rPr>
          <w:rFonts w:ascii="Arial" w:cs="Arial" w:eastAsia="Arial" w:hAnsi="Arial"/>
          <w:sz w:val="16"/>
          <w:szCs w:val="16"/>
          <w:color w:val="auto"/>
        </w:rPr>
      </w:pPr>
    </w:p>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Account for payments to Counterparty:</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Bank:</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ABA#:</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Acct No.:</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Beneficiary:</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Ref:</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324"/>
        </w:trPr>
        <w:tc>
          <w:tcPr>
            <w:tcW w:w="5860" w:type="dxa"/>
            <w:vAlign w:val="bottom"/>
            <w:gridSpan w:val="2"/>
          </w:tcPr>
          <w:p>
            <w:pPr>
              <w:ind w:left="860"/>
              <w:spacing w:after="0"/>
              <w:rPr>
                <w:sz w:val="20"/>
                <w:szCs w:val="20"/>
                <w:color w:val="auto"/>
              </w:rPr>
            </w:pPr>
            <w:r>
              <w:rPr>
                <w:rFonts w:ascii="Arial" w:cs="Arial" w:eastAsia="Arial" w:hAnsi="Arial"/>
                <w:sz w:val="18"/>
                <w:szCs w:val="18"/>
                <w:color w:val="auto"/>
              </w:rPr>
              <w:t>Account for delivery of Shares to Counterparty:</w:t>
            </w:r>
          </w:p>
        </w:tc>
        <w:tc>
          <w:tcPr>
            <w:tcW w:w="340" w:type="dxa"/>
            <w:vAlign w:val="bottom"/>
          </w:tcPr>
          <w:p>
            <w:pPr>
              <w:spacing w:after="0"/>
              <w:rPr>
                <w:sz w:val="24"/>
                <w:szCs w:val="24"/>
                <w:color w:val="auto"/>
              </w:rPr>
            </w:pPr>
          </w:p>
        </w:tc>
      </w:tr>
      <w:tr>
        <w:trPr>
          <w:trHeight w:val="324"/>
        </w:trPr>
        <w:tc>
          <w:tcPr>
            <w:tcW w:w="1540" w:type="dxa"/>
            <w:vAlign w:val="bottom"/>
          </w:tcPr>
          <w:p>
            <w:pPr>
              <w:ind w:left="860"/>
              <w:spacing w:after="0"/>
              <w:rPr>
                <w:sz w:val="20"/>
                <w:szCs w:val="20"/>
                <w:color w:val="auto"/>
              </w:rPr>
            </w:pPr>
            <w:r>
              <w:rPr>
                <w:rFonts w:ascii="Arial" w:cs="Arial" w:eastAsia="Arial" w:hAnsi="Arial"/>
                <w:sz w:val="18"/>
                <w:szCs w:val="18"/>
                <w:color w:val="auto"/>
              </w:rPr>
              <w:t>[</w:t>
            </w:r>
          </w:p>
        </w:tc>
        <w:tc>
          <w:tcPr>
            <w:tcW w:w="4320" w:type="dxa"/>
            <w:vAlign w:val="bottom"/>
          </w:tcPr>
          <w:p>
            <w:pPr>
              <w:jc w:val="right"/>
              <w:ind w:right="40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338"/>
        </w:trPr>
        <w:tc>
          <w:tcPr>
            <w:tcW w:w="5860" w:type="dxa"/>
            <w:vAlign w:val="bottom"/>
            <w:gridSpan w:val="2"/>
          </w:tcPr>
          <w:p>
            <w:pPr>
              <w:spacing w:after="0"/>
              <w:rPr>
                <w:sz w:val="20"/>
                <w:szCs w:val="20"/>
                <w:color w:val="auto"/>
              </w:rPr>
            </w:pPr>
            <w:r>
              <w:rPr>
                <w:rFonts w:ascii="Arial" w:cs="Arial" w:eastAsia="Arial" w:hAnsi="Arial"/>
                <w:sz w:val="18"/>
                <w:szCs w:val="18"/>
                <w:color w:val="auto"/>
              </w:rPr>
              <w:t>(b)   Account for payments to Dealer:</w:t>
            </w:r>
          </w:p>
        </w:tc>
        <w:tc>
          <w:tcPr>
            <w:tcW w:w="340" w:type="dxa"/>
            <w:vAlign w:val="bottom"/>
          </w:tcPr>
          <w:p>
            <w:pPr>
              <w:spacing w:after="0"/>
              <w:rPr>
                <w:sz w:val="24"/>
                <w:szCs w:val="24"/>
                <w:color w:val="auto"/>
              </w:rPr>
            </w:pPr>
          </w:p>
        </w:tc>
      </w:tr>
      <w:tr>
        <w:trPr>
          <w:trHeight w:val="445"/>
        </w:trPr>
        <w:tc>
          <w:tcPr>
            <w:tcW w:w="1540" w:type="dxa"/>
            <w:vAlign w:val="bottom"/>
          </w:tcPr>
          <w:p>
            <w:pPr>
              <w:spacing w:after="0"/>
              <w:rPr>
                <w:sz w:val="20"/>
                <w:szCs w:val="20"/>
                <w:color w:val="auto"/>
              </w:rPr>
            </w:pPr>
            <w:r>
              <w:rPr>
                <w:rFonts w:ascii="Arial" w:cs="Arial" w:eastAsia="Arial" w:hAnsi="Arial"/>
                <w:sz w:val="18"/>
                <w:szCs w:val="18"/>
                <w:color w:val="auto"/>
              </w:rPr>
              <w:t>[Bank:</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ABA#:</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Acct No.:</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Beneficiary:</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Ref:</w:t>
            </w:r>
          </w:p>
        </w:tc>
        <w:tc>
          <w:tcPr>
            <w:tcW w:w="4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r>
      <w:tr>
        <w:trPr>
          <w:trHeight w:val="324"/>
        </w:trPr>
        <w:tc>
          <w:tcPr>
            <w:tcW w:w="5860" w:type="dxa"/>
            <w:vAlign w:val="bottom"/>
            <w:gridSpan w:val="2"/>
          </w:tcPr>
          <w:p>
            <w:pPr>
              <w:ind w:left="860"/>
              <w:spacing w:after="0"/>
              <w:rPr>
                <w:sz w:val="20"/>
                <w:szCs w:val="20"/>
                <w:color w:val="auto"/>
              </w:rPr>
            </w:pPr>
            <w:r>
              <w:rPr>
                <w:rFonts w:ascii="Arial" w:cs="Arial" w:eastAsia="Arial" w:hAnsi="Arial"/>
                <w:sz w:val="18"/>
                <w:szCs w:val="18"/>
                <w:color w:val="auto"/>
              </w:rPr>
              <w:t>Account for delivery of Shares from Dealer:</w:t>
            </w:r>
          </w:p>
        </w:tc>
        <w:tc>
          <w:tcPr>
            <w:tcW w:w="340" w:type="dxa"/>
            <w:vAlign w:val="bottom"/>
          </w:tcPr>
          <w:p>
            <w:pPr>
              <w:spacing w:after="0"/>
              <w:rPr>
                <w:sz w:val="24"/>
                <w:szCs w:val="24"/>
                <w:color w:val="auto"/>
              </w:rPr>
            </w:pPr>
          </w:p>
        </w:tc>
      </w:tr>
      <w:tr>
        <w:trPr>
          <w:trHeight w:val="324"/>
        </w:trPr>
        <w:tc>
          <w:tcPr>
            <w:tcW w:w="1540" w:type="dxa"/>
            <w:vAlign w:val="bottom"/>
          </w:tcPr>
          <w:p>
            <w:pPr>
              <w:ind w:left="1380"/>
              <w:spacing w:after="0"/>
              <w:rPr>
                <w:sz w:val="20"/>
                <w:szCs w:val="20"/>
                <w:color w:val="auto"/>
              </w:rPr>
            </w:pPr>
            <w:r>
              <w:rPr>
                <w:rFonts w:ascii="Arial" w:cs="Arial" w:eastAsia="Arial" w:hAnsi="Arial"/>
                <w:sz w:val="18"/>
                <w:szCs w:val="18"/>
                <w:color w:val="auto"/>
              </w:rPr>
              <w:t>[</w:t>
            </w:r>
          </w:p>
        </w:tc>
        <w:tc>
          <w:tcPr>
            <w:tcW w:w="4320" w:type="dxa"/>
            <w:vAlign w:val="bottom"/>
          </w:tcPr>
          <w:p>
            <w:pPr>
              <w:jc w:val="right"/>
              <w:ind w:right="35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365"/>
        </w:trPr>
        <w:tc>
          <w:tcPr>
            <w:tcW w:w="1540" w:type="dxa"/>
            <w:vAlign w:val="bottom"/>
          </w:tcPr>
          <w:p>
            <w:pPr>
              <w:spacing w:after="0"/>
              <w:rPr>
                <w:sz w:val="24"/>
                <w:szCs w:val="24"/>
                <w:color w:val="auto"/>
              </w:rPr>
            </w:pPr>
          </w:p>
        </w:tc>
        <w:tc>
          <w:tcPr>
            <w:tcW w:w="432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r>
    </w:tbl>
    <w:p>
      <w:pPr>
        <w:sectPr>
          <w:pgSz w:w="11900" w:h="16838" w:orient="portrait"/>
          <w:cols w:equalWidth="0" w:num="1">
            <w:col w:w="11004"/>
          </w:cols>
          <w:pgMar w:left="436" w:top="274" w:right="459" w:bottom="1440" w:gutter="0" w:footer="0" w:header="0"/>
          <w:type w:val="continuous"/>
        </w:sectPr>
      </w:pPr>
    </w:p>
    <w:bookmarkStart w:id="238" w:name="page239"/>
    <w:bookmarkEnd w:id="238"/>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Office of Counterparty for the Transaction is: Inapplicable, Counterparty is not a Multibranch Party.</w:t>
      </w:r>
    </w:p>
    <w:p>
      <w:pPr>
        <w:spacing w:after="0" w:line="131" w:lineRule="exact"/>
        <w:rPr>
          <w:sz w:val="20"/>
          <w:szCs w:val="20"/>
          <w:color w:val="auto"/>
        </w:rPr>
      </w:pPr>
    </w:p>
    <w:p>
      <w:pPr>
        <w:ind w:left="424"/>
        <w:spacing w:after="0"/>
        <w:tabs>
          <w:tab w:leader="none" w:pos="944" w:val="left"/>
          <w:tab w:leader="none" w:pos="4904"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Office of Dealer for the Transaction is: [</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424" w:hanging="424"/>
        <w:spacing w:after="0"/>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35" w:lineRule="exact"/>
        <w:rPr>
          <w:sz w:val="20"/>
          <w:szCs w:val="20"/>
          <w:color w:val="auto"/>
        </w:rPr>
      </w:pPr>
    </w:p>
    <w:p>
      <w:pPr>
        <w:ind w:left="964" w:hanging="532"/>
        <w:spacing w:after="0"/>
        <w:tabs>
          <w:tab w:leader="none" w:pos="96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San Francisco, California 94158</w:t>
      </w:r>
    </w:p>
    <w:p>
      <w:pPr>
        <w:spacing w:after="0" w:line="9" w:lineRule="exact"/>
        <w:rPr>
          <w:sz w:val="20"/>
          <w:szCs w:val="20"/>
          <w:color w:val="auto"/>
        </w:rPr>
      </w:pPr>
    </w:p>
    <w:p>
      <w:pPr>
        <w:ind w:left="444" w:right="8920" w:hanging="4"/>
        <w:spacing w:after="0" w:line="323" w:lineRule="auto"/>
        <w:tabs>
          <w:tab w:leader="none" w:pos="87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857-6800 Email: [___________]</w:t>
      </w:r>
    </w:p>
    <w:p>
      <w:pPr>
        <w:spacing w:after="0" w:line="44" w:lineRule="exact"/>
        <w:rPr>
          <w:sz w:val="20"/>
          <w:szCs w:val="20"/>
          <w:color w:val="auto"/>
        </w:rPr>
      </w:pPr>
    </w:p>
    <w:p>
      <w:pPr>
        <w:ind w:left="424"/>
        <w:spacing w:after="0"/>
        <w:tabs>
          <w:tab w:leader="none" w:pos="944" w:val="left"/>
          <w:tab w:leader="none" w:pos="5364"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Address for notices or communications to Dealer: [</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r>
        <w:rPr>
          <w:rFonts w:ascii="Arial" w:cs="Arial" w:eastAsia="Arial" w:hAnsi="Arial"/>
          <w:sz w:val="18"/>
          <w:szCs w:val="18"/>
          <w:color w:val="auto"/>
        </w:rPr>
        <w:t>.</w:t>
      </w:r>
    </w:p>
    <w:p>
      <w:pPr>
        <w:spacing w:after="0" w:line="135" w:lineRule="exact"/>
        <w:rPr>
          <w:sz w:val="20"/>
          <w:szCs w:val="20"/>
          <w:color w:val="auto"/>
        </w:rPr>
      </w:pPr>
    </w:p>
    <w:p>
      <w:pPr>
        <w:ind w:left="964" w:right="60" w:hanging="532"/>
        <w:spacing w:after="0" w:line="275" w:lineRule="auto"/>
        <w:tabs>
          <w:tab w:leader="none" w:pos="964" w:val="left"/>
        </w:tabs>
        <w:numPr>
          <w:ilvl w:val="0"/>
          <w:numId w:val="251"/>
        </w:numPr>
        <w:rPr>
          <w:rFonts w:ascii="Arial" w:cs="Arial" w:eastAsia="Arial" w:hAnsi="Arial"/>
          <w:sz w:val="17"/>
          <w:szCs w:val="17"/>
          <w:color w:val="auto"/>
        </w:rPr>
      </w:pPr>
      <w:r>
        <w:rPr>
          <w:rFonts w:ascii="Arial" w:cs="Arial" w:eastAsia="Arial" w:hAnsi="Arial"/>
          <w:sz w:val="17"/>
          <w:szCs w:val="17"/>
          <w:i w:val="1"/>
          <w:iCs w:val="1"/>
          <w:color w:val="auto"/>
        </w:rPr>
        <w:t>Representations, Warranties and Covenants of Counterparty</w:t>
      </w:r>
      <w:r>
        <w:rPr>
          <w:rFonts w:ascii="Arial" w:cs="Arial" w:eastAsia="Arial" w:hAnsi="Arial"/>
          <w:sz w:val="17"/>
          <w:szCs w:val="17"/>
          <w:color w:val="auto"/>
        </w:rPr>
        <w:t>. Counterparty hereby represents and warrants to Dealer that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and warranties of Counterparty set forth in Section 1 of the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dated as of [•], 2021, among Counterparty and [Banks] as representatives of the several Purchasers named in Schedule I thereto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Purchasers</w:t>
      </w:r>
      <w:r>
        <w:rPr>
          <w:rFonts w:ascii="Arial" w:cs="Arial" w:eastAsia="Arial" w:hAnsi="Arial"/>
          <w:sz w:val="17"/>
          <w:szCs w:val="17"/>
          <w:color w:val="auto"/>
        </w:rPr>
        <w:t>”), is true and correct and is hereby deemed to be repeated to Dealer as if set forth herein. Counterparty hereby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and warrants to Dealer on the date hereof and on and as of the Premium Payment Date that:</w:t>
      </w:r>
    </w:p>
    <w:p>
      <w:pPr>
        <w:spacing w:after="0" w:line="82" w:lineRule="exact"/>
        <w:rPr>
          <w:sz w:val="20"/>
          <w:szCs w:val="20"/>
          <w:color w:val="auto"/>
        </w:rPr>
      </w:pPr>
    </w:p>
    <w:p>
      <w:pPr>
        <w:ind w:left="964" w:right="320" w:hanging="532"/>
        <w:spacing w:after="0" w:line="277" w:lineRule="auto"/>
        <w:tabs>
          <w:tab w:leader="none" w:pos="9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964" w:hanging="532"/>
        <w:spacing w:after="0" w:line="273" w:lineRule="auto"/>
        <w:tabs>
          <w:tab w:leader="none" w:pos="96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Each of Counterparty and its affiliates is not, on the date hereof, aware of any material non-public information with respect to Counterparty or the Shares. All reports and other documents filed by Counterparty with the Securities and Exchange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83" w:lineRule="exact"/>
        <w:rPr>
          <w:rFonts w:ascii="Arial" w:cs="Arial" w:eastAsia="Arial" w:hAnsi="Arial"/>
          <w:sz w:val="17"/>
          <w:szCs w:val="17"/>
          <w:color w:val="auto"/>
        </w:rPr>
      </w:pPr>
    </w:p>
    <w:p>
      <w:pPr>
        <w:ind w:left="964" w:hanging="532"/>
        <w:spacing w:after="0" w:line="301" w:lineRule="auto"/>
        <w:tabs>
          <w:tab w:leader="none" w:pos="96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regulation that Dealer would be subject to as a result of its being a regulated entity under various applicable laws, including U.S. securities laws and FINRA.</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239" w:name="page240"/>
    <w:bookmarkEnd w:id="239"/>
    <w:p>
      <w:pPr>
        <w:ind w:left="540" w:right="60" w:hanging="532"/>
        <w:spacing w:after="0" w:line="259"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Counterparty (i) is an “institutional account” as defined in FINRA Rule 4512(c); (ii) is capable of evaluating investment risks independently, both in general and with regard to all transactions and investment strategies involving a security or securities, and will exercise independent judgment in evaluating the recommendations of Dealer or its associated persons; and (iii) will notify Dealer if any of the statements contained in clause (i) or (ii) of this Section 8I(e) ceases to be true.</w:t>
      </w:r>
    </w:p>
    <w:p>
      <w:pPr>
        <w:spacing w:after="0" w:line="92" w:lineRule="exact"/>
        <w:rPr>
          <w:rFonts w:ascii="Arial" w:cs="Arial" w:eastAsia="Arial" w:hAnsi="Arial"/>
          <w:sz w:val="18"/>
          <w:szCs w:val="18"/>
          <w:color w:val="auto"/>
        </w:rPr>
      </w:pPr>
    </w:p>
    <w:p>
      <w:pPr>
        <w:ind w:left="540" w:right="120" w:hanging="532"/>
        <w:spacing w:after="0" w:line="257"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D</w:t>
      </w:r>
      <w:r>
        <w:rPr>
          <w:rFonts w:ascii="Arial" w:cs="Arial" w:eastAsia="Arial" w:hAnsi="Arial"/>
          <w:sz w:val="18"/>
          <w:szCs w:val="18"/>
          <w:i w:val="1"/>
          <w:iCs w:val="1"/>
          <w:color w:val="auto"/>
        </w:rPr>
        <w:t>erivatives and Hedging – Contracts in Entity’s Own Equity</w:t>
      </w:r>
      <w:r>
        <w:rPr>
          <w:rFonts w:ascii="Arial" w:cs="Arial" w:eastAsia="Arial" w:hAnsi="Arial"/>
          <w:sz w:val="18"/>
          <w:szCs w:val="18"/>
          <w:color w:val="auto"/>
        </w:rPr>
        <w:t xml:space="preserve"> (or any successor issue statements).</w:t>
      </w:r>
    </w:p>
    <w:p>
      <w:pPr>
        <w:spacing w:after="0" w:line="93" w:lineRule="exact"/>
        <w:rPr>
          <w:rFonts w:ascii="Arial" w:cs="Arial" w:eastAsia="Arial" w:hAnsi="Arial"/>
          <w:sz w:val="18"/>
          <w:szCs w:val="18"/>
          <w:color w:val="auto"/>
        </w:rPr>
      </w:pPr>
    </w:p>
    <w:p>
      <w:pPr>
        <w:ind w:left="540" w:right="180" w:hanging="532"/>
        <w:spacing w:after="0" w:line="263"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Counterparty is not engaged in an “issuer tender offer” as such term is defined in Rule 13e-4 under the Exchange Act with respect to any Shares or any security convertible into or exchangeable or exercisable for any Shares nor is it aware of any third party tender offer with respect to any such securities within the meaning of Rule 13e-1 under the Exchange Act.</w:t>
      </w:r>
    </w:p>
    <w:p>
      <w:pPr>
        <w:spacing w:after="0" w:line="89" w:lineRule="exact"/>
        <w:rPr>
          <w:rFonts w:ascii="Arial" w:cs="Arial" w:eastAsia="Arial" w:hAnsi="Arial"/>
          <w:sz w:val="18"/>
          <w:szCs w:val="18"/>
          <w:color w:val="auto"/>
        </w:rPr>
      </w:pPr>
    </w:p>
    <w:p>
      <w:pPr>
        <w:ind w:left="540" w:right="20" w:hanging="532"/>
        <w:spacing w:after="0" w:line="263"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in violation of the Exchange Act.</w:t>
      </w:r>
    </w:p>
    <w:p>
      <w:pPr>
        <w:spacing w:after="0" w:line="89" w:lineRule="exact"/>
        <w:rPr>
          <w:rFonts w:ascii="Arial" w:cs="Arial" w:eastAsia="Arial" w:hAnsi="Arial"/>
          <w:sz w:val="18"/>
          <w:szCs w:val="18"/>
          <w:color w:val="auto"/>
        </w:rPr>
      </w:pPr>
    </w:p>
    <w:p>
      <w:pPr>
        <w:ind w:left="540" w:right="80" w:hanging="532"/>
        <w:spacing w:after="0" w:line="285" w:lineRule="auto"/>
        <w:tabs>
          <w:tab w:leader="none" w:pos="5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On each of the Trade Date, the Premium Payment Date and immediately after giving effect to the Transaction on the Premium Payment Date, (A) the present fair market value (or present fair saleable value) of the total assets of Counterparty is not less than the total amount required to pay the probable total liabilities (including contingent liabilities) of Counterparty as they mature and become absolute, (B) the capital of Counterparty is adequate to conduct its business in the manner described in the Offering Memorandum relating to the sale of the Convertible Notes and to enter into the Transaction, (C) Counterparty has the ability to pay its debts and obligations as such debts mature,</w:t>
      </w:r>
    </w:p>
    <w:p>
      <w:pPr>
        <w:spacing w:after="0" w:line="1" w:lineRule="exact"/>
        <w:rPr>
          <w:rFonts w:ascii="Arial" w:cs="Arial" w:eastAsia="Arial" w:hAnsi="Arial"/>
          <w:sz w:val="16"/>
          <w:szCs w:val="16"/>
          <w:color w:val="auto"/>
        </w:rPr>
      </w:pPr>
    </w:p>
    <w:p>
      <w:pPr>
        <w:ind w:left="540" w:right="300"/>
        <w:spacing w:after="0" w:line="273" w:lineRule="auto"/>
        <w:rPr>
          <w:rFonts w:ascii="Arial" w:cs="Arial" w:eastAsia="Arial" w:hAnsi="Arial"/>
          <w:sz w:val="16"/>
          <w:szCs w:val="16"/>
          <w:color w:val="auto"/>
        </w:rPr>
      </w:pPr>
      <w:r>
        <w:rPr>
          <w:rFonts w:ascii="Arial" w:cs="Arial" w:eastAsia="Arial" w:hAnsi="Arial"/>
          <w:sz w:val="17"/>
          <w:szCs w:val="17"/>
          <w:color w:val="auto"/>
        </w:rPr>
        <w:t>(D) Counterparty is not “insolvent” (as such term is defined under Section 101(32) of the U.S. Bankruptcy Code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(E) 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p>
      <w:pPr>
        <w:spacing w:after="0" w:line="81"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spacing w:after="0" w:line="92" w:lineRule="exact"/>
        <w:rPr>
          <w:rFonts w:ascii="Arial" w:cs="Arial" w:eastAsia="Arial" w:hAnsi="Arial"/>
          <w:sz w:val="18"/>
          <w:szCs w:val="18"/>
          <w:color w:val="auto"/>
        </w:rPr>
      </w:pPr>
    </w:p>
    <w:p>
      <w:pPr>
        <w:ind w:left="540" w:hanging="532"/>
        <w:spacing w:after="0" w:line="253"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Counterparty acknowledges that the Transaction may constitute a purchase of its equity securities. Counterparty further acknowledges that, pursuant to the provisions of the Coronavirus Aid, Relief and Economic Security Act (the “</w:t>
      </w:r>
      <w:r>
        <w:rPr>
          <w:rFonts w:ascii="Arial" w:cs="Arial" w:eastAsia="Arial" w:hAnsi="Arial"/>
          <w:sz w:val="18"/>
          <w:szCs w:val="18"/>
          <w:b w:val="1"/>
          <w:bCs w:val="1"/>
          <w:color w:val="auto"/>
        </w:rPr>
        <w:t>CARES Act</w:t>
      </w:r>
      <w:r>
        <w:rPr>
          <w:rFonts w:ascii="Arial" w:cs="Arial" w:eastAsia="Arial" w:hAnsi="Arial"/>
          <w:sz w:val="18"/>
          <w:szCs w:val="18"/>
          <w:color w:val="auto"/>
        </w:rPr>
        <w:t>”), the Counterparty would be required to agree to certain time-bound restrictions on its ability to purchase its equity securities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if it receives loans, loan guarantees or direct loans (as that term is defined in the CARES Act) under programs or facilities established by the Board of Governors of the Federal Reserve System for the purpose of providing liquidity to the financial system (together with loans, loan guarantees or direct loans under section 4003(b) of the CARES Act and any other form of investment, financial assistance or relief under any governmental program or</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60" w:top="274" w:right="459" w:bottom="1440" w:gutter="0" w:footer="0" w:header="0"/>
        </w:sectPr>
      </w:pPr>
    </w:p>
    <w:bookmarkStart w:id="240" w:name="page241"/>
    <w:bookmarkEnd w:id="240"/>
    <w:p>
      <w:pPr>
        <w:ind w:left="984"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facility, “</w:t>
      </w:r>
      <w:r>
        <w:rPr>
          <w:rFonts w:ascii="Arial" w:cs="Arial" w:eastAsia="Arial" w:hAnsi="Arial"/>
          <w:sz w:val="16"/>
          <w:szCs w:val="16"/>
          <w:b w:val="1"/>
          <w:bCs w:val="1"/>
          <w:color w:val="auto"/>
        </w:rPr>
        <w:t>Governmental Financial Assistance</w:t>
      </w:r>
      <w:r>
        <w:rPr>
          <w:rFonts w:ascii="Arial" w:cs="Arial" w:eastAsia="Arial" w:hAnsi="Arial"/>
          <w:sz w:val="16"/>
          <w:szCs w:val="16"/>
          <w:color w:val="auto"/>
        </w:rPr>
        <w:t>”). Accordingly, Counterparty represents and warrants that it and any of its subsidiaries has not applied for and has no present intention to apply, prior to the termination or settlement of this Transaction, apply for any Governmental Financial Assistance under any governmental program or facility that (a) is established under the CARES Act or the Federal Reserve Act, as amended, and (b) requires, as a condition of such Governmental Financial Assistance, that the Counterparty agree, attest, certify or warrant that it has not, as of the date specified in such condition, repurchased, or will not repurchase, any equity security of Counterparty.</w:t>
      </w:r>
    </w:p>
    <w:p>
      <w:pPr>
        <w:spacing w:after="0" w:line="63" w:lineRule="exact"/>
        <w:rPr>
          <w:sz w:val="20"/>
          <w:szCs w:val="20"/>
          <w:color w:val="auto"/>
        </w:rPr>
      </w:pPr>
    </w:p>
    <w:p>
      <w:pPr>
        <w:ind w:left="964" w:right="100" w:hanging="532"/>
        <w:spacing w:after="0" w:line="277" w:lineRule="auto"/>
        <w:tabs>
          <w:tab w:leader="none" w:pos="964"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Covenants of Counterparty and Dealer</w:t>
      </w:r>
      <w:r>
        <w:rPr>
          <w:rFonts w:ascii="Arial" w:cs="Arial" w:eastAsia="Arial" w:hAnsi="Arial"/>
          <w:sz w:val="18"/>
          <w:szCs w:val="18"/>
          <w:color w:val="auto"/>
        </w:rPr>
        <w:t>. Counterparty and Dealer hereby represent and warrant to Dealer</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Counterparty, respectively, on the date hereof and on and as of the Premium Payment Date that:</w:t>
      </w:r>
    </w:p>
    <w:p>
      <w:pPr>
        <w:spacing w:after="0" w:line="76" w:lineRule="exact"/>
        <w:rPr>
          <w:sz w:val="20"/>
          <w:szCs w:val="20"/>
          <w:color w:val="auto"/>
        </w:rPr>
      </w:pPr>
    </w:p>
    <w:p>
      <w:pPr>
        <w:ind w:left="964" w:right="260" w:hanging="532"/>
        <w:spacing w:after="0" w:line="308" w:lineRule="auto"/>
        <w:tabs>
          <w:tab w:leader="none" w:pos="964" w:val="left"/>
        </w:tabs>
        <w:numPr>
          <w:ilvl w:val="1"/>
          <w:numId w:val="255"/>
        </w:numPr>
        <w:rPr>
          <w:rFonts w:ascii="Arial" w:cs="Arial" w:eastAsia="Arial" w:hAnsi="Arial"/>
          <w:sz w:val="17"/>
          <w:szCs w:val="17"/>
          <w:color w:val="auto"/>
        </w:rPr>
      </w:pPr>
      <w:r>
        <w:rPr>
          <w:rFonts w:ascii="Arial" w:cs="Arial" w:eastAsia="Arial" w:hAnsi="Arial"/>
          <w:sz w:val="17"/>
          <w:szCs w:val="17"/>
          <w:color w:val="auto"/>
        </w:rPr>
        <w:t>Each is an “eligible contract participant” (as such term is defined in Section 1a(18) of the Commodity Exchange Act, as amended, other than a person that is an eligible contract participant under Section 1a(18)(C) of the Commodity Exchange Act).</w:t>
      </w:r>
    </w:p>
    <w:p>
      <w:pPr>
        <w:spacing w:after="0" w:line="51" w:lineRule="exact"/>
        <w:rPr>
          <w:rFonts w:ascii="Arial" w:cs="Arial" w:eastAsia="Arial" w:hAnsi="Arial"/>
          <w:sz w:val="17"/>
          <w:szCs w:val="17"/>
          <w:color w:val="auto"/>
        </w:rPr>
      </w:pPr>
    </w:p>
    <w:p>
      <w:pPr>
        <w:ind w:left="964" w:hanging="532"/>
        <w:spacing w:after="0" w:line="285" w:lineRule="auto"/>
        <w:tabs>
          <w:tab w:leader="none" w:pos="964" w:val="left"/>
        </w:tabs>
        <w:numPr>
          <w:ilvl w:val="1"/>
          <w:numId w:val="255"/>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w:t>
      </w:r>
    </w:p>
    <w:p>
      <w:pPr>
        <w:spacing w:after="0" w:line="1" w:lineRule="exact"/>
        <w:rPr>
          <w:rFonts w:ascii="Arial" w:cs="Arial" w:eastAsia="Arial" w:hAnsi="Arial"/>
          <w:sz w:val="16"/>
          <w:szCs w:val="16"/>
          <w:color w:val="auto"/>
        </w:rPr>
      </w:pPr>
    </w:p>
    <w:p>
      <w:pPr>
        <w:ind w:left="964" w:firstLine="8"/>
        <w:spacing w:after="0" w:line="269" w:lineRule="auto"/>
        <w:tabs>
          <w:tab w:leader="none" w:pos="1229" w:val="left"/>
        </w:tabs>
        <w:numPr>
          <w:ilvl w:val="2"/>
          <w:numId w:val="255"/>
        </w:numPr>
        <w:rPr>
          <w:rFonts w:ascii="Arial" w:cs="Arial" w:eastAsia="Arial" w:hAnsi="Arial"/>
          <w:sz w:val="17"/>
          <w:szCs w:val="17"/>
          <w:color w:val="auto"/>
        </w:rPr>
      </w:pPr>
      <w:r>
        <w:rPr>
          <w:rFonts w:ascii="Arial" w:cs="Arial" w:eastAsia="Arial" w:hAnsi="Arial"/>
          <w:sz w:val="17"/>
          <w:szCs w:val="17"/>
          <w:color w:val="auto"/>
        </w:rPr>
        <w:t>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81" w:lineRule="exact"/>
        <w:rPr>
          <w:rFonts w:ascii="Arial" w:cs="Arial" w:eastAsia="Arial" w:hAnsi="Arial"/>
          <w:sz w:val="17"/>
          <w:szCs w:val="17"/>
          <w:color w:val="auto"/>
        </w:rPr>
      </w:pPr>
    </w:p>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20" w:hanging="532"/>
        <w:spacing w:after="0" w:line="293" w:lineRule="auto"/>
        <w:tabs>
          <w:tab w:leader="none" w:pos="964" w:val="left"/>
        </w:tabs>
        <w:numPr>
          <w:ilvl w:val="1"/>
          <w:numId w:val="256"/>
        </w:numPr>
        <w:rPr>
          <w:rFonts w:ascii="Arial" w:cs="Arial" w:eastAsia="Arial" w:hAnsi="Arial"/>
          <w:sz w:val="16"/>
          <w:szCs w:val="16"/>
          <w:color w:val="auto"/>
        </w:rPr>
      </w:pPr>
      <w:r>
        <w:rPr>
          <w:rFonts w:ascii="Arial" w:cs="Arial" w:eastAsia="Arial" w:hAnsi="Arial"/>
          <w:sz w:val="16"/>
          <w:szCs w:val="16"/>
          <w:i w:val="1"/>
          <w:iCs w:val="1"/>
          <w:u w:val="single" w:color="auto"/>
          <w:color w:val="auto"/>
        </w:rPr>
        <w:t>Opinions</w:t>
      </w:r>
      <w:r>
        <w:rPr>
          <w:rFonts w:ascii="Arial" w:cs="Arial" w:eastAsia="Arial" w:hAnsi="Arial"/>
          <w:sz w:val="16"/>
          <w:szCs w:val="16"/>
          <w:color w:val="auto"/>
        </w:rPr>
        <w:t>. On or prior to the Premium Payment Date, Counterparty shall deliver to Dealer an opinion of counsel, dated as of the Trade</w:t>
      </w:r>
      <w:r>
        <w:rPr>
          <w:rFonts w:ascii="Arial" w:cs="Arial" w:eastAsia="Arial" w:hAnsi="Arial"/>
          <w:sz w:val="16"/>
          <w:szCs w:val="16"/>
          <w:i w:val="1"/>
          <w:iCs w:val="1"/>
          <w:color w:val="auto"/>
        </w:rPr>
        <w:t xml:space="preserve"> </w:t>
      </w:r>
      <w:r>
        <w:rPr>
          <w:rFonts w:ascii="Arial" w:cs="Arial" w:eastAsia="Arial" w:hAnsi="Arial"/>
          <w:sz w:val="16"/>
          <w:szCs w:val="16"/>
          <w:color w:val="auto"/>
        </w:rPr>
        <w:t>Date, with respect to the due incorporation, existence and good standing of Counterparty in Delaware, the due authorization, execution and delivery of this Confirmation, and, in respect of the execution, delivery and performance of this Confirmation, the absence of any conflict with or breach of any material agreement required to be filed as an exhibit to Counterparty’s Annual Report on Form 10-K, Counterparty’s certificate of incorporation or Counterparty’s by-laws. Delivery of such opinion to Dealer shall be a condition precedent for the purpose of Section 2(a)(iii) of the Agreement with respect to each obligation of Dealer under Section 2(a)(i) of the Agreement.</w:t>
      </w:r>
    </w:p>
    <w:p>
      <w:pPr>
        <w:spacing w:after="0" w:line="69" w:lineRule="exact"/>
        <w:rPr>
          <w:rFonts w:ascii="Arial" w:cs="Arial" w:eastAsia="Arial" w:hAnsi="Arial"/>
          <w:sz w:val="16"/>
          <w:szCs w:val="16"/>
          <w:color w:val="auto"/>
        </w:rPr>
      </w:pPr>
    </w:p>
    <w:p>
      <w:pPr>
        <w:ind w:left="964" w:hanging="532"/>
        <w:spacing w:after="0" w:line="285" w:lineRule="auto"/>
        <w:tabs>
          <w:tab w:leader="none" w:pos="964" w:val="left"/>
        </w:tabs>
        <w:numPr>
          <w:ilvl w:val="1"/>
          <w:numId w:val="256"/>
        </w:numPr>
        <w:rPr>
          <w:rFonts w:ascii="Arial" w:cs="Arial" w:eastAsia="Arial" w:hAnsi="Arial"/>
          <w:sz w:val="16"/>
          <w:szCs w:val="16"/>
          <w:color w:val="auto"/>
        </w:rPr>
      </w:pPr>
      <w:r>
        <w:rPr>
          <w:rFonts w:ascii="Arial" w:cs="Arial" w:eastAsia="Arial" w:hAnsi="Arial"/>
          <w:sz w:val="16"/>
          <w:szCs w:val="16"/>
          <w:i w:val="1"/>
          <w:iCs w:val="1"/>
          <w:u w:val="single" w:color="auto"/>
          <w:color w:val="auto"/>
        </w:rPr>
        <w:t>Repurchase/Adjustment Notices</w:t>
      </w:r>
      <w:r>
        <w:rPr>
          <w:rFonts w:ascii="Arial" w:cs="Arial" w:eastAsia="Arial" w:hAnsi="Arial"/>
          <w:sz w:val="16"/>
          <w:szCs w:val="16"/>
          <w:color w:val="auto"/>
        </w:rPr>
        <w:t>. Counterparty shall, at least one Exchange Business Day prior to any day on which Counterparty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any repurchase of Shares or consummates or otherwise engages in any transaction or event (a “</w:t>
      </w:r>
      <w:r>
        <w:rPr>
          <w:rFonts w:ascii="Arial" w:cs="Arial" w:eastAsia="Arial" w:hAnsi="Arial"/>
          <w:sz w:val="16"/>
          <w:szCs w:val="16"/>
          <w:b w:val="1"/>
          <w:bCs w:val="1"/>
          <w:color w:val="auto"/>
        </w:rPr>
        <w:t>Conversion Rate Adjustment Event</w:t>
      </w:r>
      <w:r>
        <w:rPr>
          <w:rFonts w:ascii="Arial" w:cs="Arial" w:eastAsia="Arial" w:hAnsi="Arial"/>
          <w:sz w:val="16"/>
          <w:szCs w:val="16"/>
          <w:color w:val="auto"/>
        </w:rPr>
        <w:t>”) that could reasonably be expected to lead to an increase in the Conversion Rate (as such term is defined in the Indenture), give Dealer a written notice of such repurchase or Conversion Rate Adjustment Event (a “</w:t>
      </w:r>
      <w:r>
        <w:rPr>
          <w:rFonts w:ascii="Arial" w:cs="Arial" w:eastAsia="Arial" w:hAnsi="Arial"/>
          <w:sz w:val="16"/>
          <w:szCs w:val="16"/>
          <w:b w:val="1"/>
          <w:bCs w:val="1"/>
          <w:color w:val="auto"/>
        </w:rPr>
        <w:t>Repurchase/Adjustment Notice</w:t>
      </w:r>
      <w:r>
        <w:rPr>
          <w:rFonts w:ascii="Arial" w:cs="Arial" w:eastAsia="Arial" w:hAnsi="Arial"/>
          <w:sz w:val="16"/>
          <w:szCs w:val="16"/>
          <w:color w:val="auto"/>
        </w:rPr>
        <w:t>”) on such day if, following such repurchase or Conversion Rate Adjustment Event, the Notice Percentage would reasonably be expected to be (i) greater than [__]</w:t>
      </w:r>
      <w:r>
        <w:rPr>
          <w:rFonts w:ascii="Arial" w:cs="Arial" w:eastAsia="Arial" w:hAnsi="Arial"/>
          <w:sz w:val="13"/>
          <w:szCs w:val="13"/>
          <w:color w:val="auto"/>
        </w:rPr>
        <w:t>17</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244" w:hanging="272"/>
        <w:spacing w:after="0"/>
        <w:tabs>
          <w:tab w:leader="none" w:pos="1244" w:val="left"/>
        </w:tabs>
        <w:numPr>
          <w:ilvl w:val="2"/>
          <w:numId w:val="256"/>
        </w:numPr>
        <w:rPr>
          <w:rFonts w:ascii="Arial" w:cs="Arial" w:eastAsia="Arial" w:hAnsi="Arial"/>
          <w:sz w:val="18"/>
          <w:szCs w:val="18"/>
          <w:color w:val="auto"/>
        </w:rPr>
      </w:pPr>
      <w:r>
        <w:rPr>
          <w:rFonts w:ascii="Arial" w:cs="Arial" w:eastAsia="Arial" w:hAnsi="Arial"/>
          <w:sz w:val="18"/>
          <w:szCs w:val="18"/>
          <w:color w:val="auto"/>
        </w:rPr>
        <w:t>greater by 0.5%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5" w:lineRule="exact"/>
        <w:rPr>
          <w:sz w:val="20"/>
          <w:szCs w:val="20"/>
          <w:color w:val="auto"/>
        </w:rPr>
      </w:pPr>
    </w:p>
    <w:p>
      <w:pPr>
        <w:ind w:left="424" w:right="420" w:hanging="424"/>
        <w:spacing w:after="0" w:line="277" w:lineRule="auto"/>
        <w:tabs>
          <w:tab w:leader="none" w:pos="424" w:val="left"/>
        </w:tabs>
        <w:numPr>
          <w:ilvl w:val="0"/>
          <w:numId w:val="257"/>
        </w:numPr>
        <w:rPr>
          <w:rFonts w:ascii="Arial" w:cs="Arial" w:eastAsia="Arial" w:hAnsi="Arial"/>
          <w:sz w:val="15"/>
          <w:szCs w:val="15"/>
          <w:color w:val="auto"/>
        </w:rPr>
      </w:pPr>
      <w:r>
        <w:rPr>
          <w:rFonts w:ascii="Arial" w:cs="Arial" w:eastAsia="Arial" w:hAnsi="Arial"/>
          <w:sz w:val="18"/>
          <w:szCs w:val="18"/>
          <w:color w:val="auto"/>
        </w:rPr>
        <w:t>To be 0.5% higher than the number of Shares underlying the capped call (including any additional capped call) of the Dealer with the highest Applicable Percentage.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41" w:name="page242"/>
    <w:bookmarkEnd w:id="241"/>
    <w:p>
      <w:pPr>
        <w:ind w:left="5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Notice Percentage included in the immediately preceding Repurchase/Adjustment Notice (or, in the case of the first such Repurchase/Adjustment Notice, greater by 0.5% than the Notice Percentage as of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shall not deliver any material non-public information to any employee of Dealer unless that employee has been identified to Counterparty as being on the “private side”. The “</w:t>
      </w:r>
      <w:r>
        <w:rPr>
          <w:rFonts w:ascii="Arial" w:cs="Arial" w:eastAsia="Arial" w:hAnsi="Arial"/>
          <w:sz w:val="16"/>
          <w:szCs w:val="16"/>
          <w:b w:val="1"/>
          <w:bCs w:val="1"/>
          <w:color w:val="auto"/>
        </w:rPr>
        <w:t>Notice Percentage</w:t>
      </w:r>
      <w:r>
        <w:rPr>
          <w:rFonts w:ascii="Arial" w:cs="Arial" w:eastAsia="Arial" w:hAnsi="Arial"/>
          <w:sz w:val="16"/>
          <w:szCs w:val="16"/>
          <w:color w:val="auto"/>
        </w:rPr>
        <w:t>” as of any day is the fraction, expressed as a percentage, the numerator of which is the sum of (a) the product of the Number of Options and the Option Entitlement and (b) the number of Shares underlying any other similar call option transaction sold by Dealer to Counterparty and the denominator of which is the number of Shares outstanding on such day. Counterparty agrees to indemnify and hold harmless Dealer and its affiliates and their respective officers, directors, employees, affiliates, advisors, agents and controlling persons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from and against any and all losses (including losses relating to Dealer’s commercially reasonable hedging activities as a consequence of becoming, or of the risk of becoming, a Section 16 “insider”, including without limitation, any forbearance from hedging activities or cessation of hedging activities in a commercially reasonable manner and any losses in connection therewith with respect to the Transaction), claims, damages, judgments, liabilities, expenses and fees (including reasonable attorney’s fees), joint or several, which an Indemnified Person may become subject to, as a result of Counterparty’s failure to provide Dealer with a Repurchase/Adjustment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Repurchase/Adjustment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reasonable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expects to be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reasonable losses, claims, damages, liabilities, expenses or fees referred to therein, then Counterparty, in lieu of indemnifying such Indemnified Person hereunder, shall contribute to the amount paid or payable by such Indemnified Person as a result of such reasonable losses, claims, damages, liabilities, expenses or fees. The remedies provided for in this paragraph (b) are not exclusive and shall not limit any rights or remedies that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90" w:lineRule="exact"/>
        <w:rPr>
          <w:sz w:val="20"/>
          <w:szCs w:val="20"/>
          <w:color w:val="auto"/>
        </w:rPr>
      </w:pPr>
    </w:p>
    <w:p>
      <w:pPr>
        <w:ind w:left="540" w:hanging="532"/>
        <w:spacing w:after="0" w:line="259"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i w:val="1"/>
          <w:iCs w:val="1"/>
          <w:u w:val="single" w:color="auto"/>
          <w:color w:val="auto"/>
        </w:rPr>
        <w:t>Regulation M</w:t>
      </w:r>
      <w:r>
        <w:rPr>
          <w:rFonts w:ascii="Arial" w:cs="Arial" w:eastAsia="Arial" w:hAnsi="Arial"/>
          <w:sz w:val="18"/>
          <w:szCs w:val="18"/>
          <w:color w:val="auto"/>
        </w:rPr>
        <w:t>. Counterparty is not on the Trade Date engaged in a distribution, as such term is used in Regulation M under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of any securities of Counterparty, other than a distribution meeting the requirements of the exception set forth in Rules 101(b)(10) and 102(b)(7) of Regulation M. Counterparty shall not, until the second Scheduled Trading Day immediately following the Trade Date, engage in any such distribution.</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 or Assignment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80" w:hanging="439"/>
        <w:spacing w:after="0" w:line="286" w:lineRule="auto"/>
        <w:tabs>
          <w:tab w:leader="none" w:pos="100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7"/>
          <w:szCs w:val="17"/>
          <w:b w:val="1"/>
          <w:bCs w:val="1"/>
          <w:color w:val="auto"/>
        </w:rPr>
        <w:t>Transfer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transfer or assignment shall be subject to reasonable conditions that Dealer may impose, including but not limited, to the following conditions:</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60" w:top="274" w:right="479" w:bottom="1440" w:gutter="0" w:footer="0" w:header="0"/>
        </w:sectPr>
      </w:pPr>
    </w:p>
    <w:bookmarkStart w:id="242" w:name="page243"/>
    <w:bookmarkEnd w:id="242"/>
    <w:p>
      <w:pPr>
        <w:ind w:left="1000" w:right="100" w:hanging="439"/>
        <w:spacing w:after="0" w:line="277" w:lineRule="auto"/>
        <w:tabs>
          <w:tab w:leader="none" w:pos="1000" w:val="left"/>
        </w:tabs>
        <w:numPr>
          <w:ilvl w:val="2"/>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respect to any Transfer Options, Counterparty shall not be released from its notice and indemnification obligations pursuant to Section 9(b) or any obligations under Section 9(n) or 9(s) of this Confirmation;</w:t>
      </w:r>
    </w:p>
    <w:p>
      <w:pPr>
        <w:spacing w:after="0" w:line="75" w:lineRule="exact"/>
        <w:rPr>
          <w:rFonts w:ascii="Arial" w:cs="Arial" w:eastAsia="Arial" w:hAnsi="Arial"/>
          <w:sz w:val="18"/>
          <w:szCs w:val="18"/>
          <w:color w:val="auto"/>
        </w:rPr>
      </w:pPr>
    </w:p>
    <w:p>
      <w:pPr>
        <w:ind w:left="1000" w:right="220" w:hanging="439"/>
        <w:spacing w:after="0" w:line="277" w:lineRule="auto"/>
        <w:tabs>
          <w:tab w:leader="none" w:pos="100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hanging="439"/>
        <w:spacing w:after="0" w:line="257" w:lineRule="auto"/>
        <w:tabs>
          <w:tab w:leader="none" w:pos="100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93" w:lineRule="exact"/>
        <w:rPr>
          <w:rFonts w:ascii="Arial" w:cs="Arial" w:eastAsia="Arial" w:hAnsi="Arial"/>
          <w:sz w:val="18"/>
          <w:szCs w:val="18"/>
          <w:color w:val="auto"/>
        </w:rPr>
      </w:pPr>
    </w:p>
    <w:p>
      <w:pPr>
        <w:ind w:left="1000" w:right="120" w:hanging="439"/>
        <w:spacing w:after="0" w:line="259" w:lineRule="auto"/>
        <w:tabs>
          <w:tab w:leader="none" w:pos="100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 except to the extent that the greater amount is due to a Change in Tax Law after the date of such transfer or assignment;</w:t>
      </w:r>
    </w:p>
    <w:p>
      <w:pPr>
        <w:spacing w:after="0" w:line="92" w:lineRule="exact"/>
        <w:rPr>
          <w:rFonts w:ascii="Arial" w:cs="Arial" w:eastAsia="Arial" w:hAnsi="Arial"/>
          <w:sz w:val="18"/>
          <w:szCs w:val="18"/>
          <w:color w:val="auto"/>
        </w:rPr>
      </w:pPr>
    </w:p>
    <w:p>
      <w:pPr>
        <w:ind w:left="1000" w:hanging="439"/>
        <w:spacing w:after="0"/>
        <w:tabs>
          <w:tab w:leader="none" w:pos="1000" w:val="left"/>
        </w:tabs>
        <w:numPr>
          <w:ilvl w:val="2"/>
          <w:numId w:val="259"/>
        </w:numPr>
        <w:rPr>
          <w:rFonts w:ascii="Arial" w:cs="Arial" w:eastAsia="Arial" w:hAnsi="Arial"/>
          <w:sz w:val="17"/>
          <w:szCs w:val="17"/>
          <w:color w:val="auto"/>
        </w:rPr>
      </w:pPr>
      <w:r>
        <w:rPr>
          <w:rFonts w:ascii="Arial" w:cs="Arial" w:eastAsia="Arial" w:hAnsi="Arial"/>
          <w:sz w:val="17"/>
          <w:szCs w:val="17"/>
          <w:color w:val="auto"/>
        </w:rPr>
        <w:t>An Event of Default, Potential Event of Default or Termination Event will not occur as a result of such transfer and assignment;</w:t>
      </w:r>
    </w:p>
    <w:p>
      <w:pPr>
        <w:spacing w:after="0" w:line="142" w:lineRule="exact"/>
        <w:rPr>
          <w:rFonts w:ascii="Arial" w:cs="Arial" w:eastAsia="Arial" w:hAnsi="Arial"/>
          <w:sz w:val="17"/>
          <w:szCs w:val="17"/>
          <w:color w:val="auto"/>
        </w:rPr>
      </w:pPr>
    </w:p>
    <w:p>
      <w:pPr>
        <w:ind w:left="1000" w:right="40" w:hanging="439"/>
        <w:spacing w:after="0" w:line="263" w:lineRule="auto"/>
        <w:tabs>
          <w:tab w:leader="none" w:pos="100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9" w:lineRule="exact"/>
        <w:rPr>
          <w:rFonts w:ascii="Arial" w:cs="Arial" w:eastAsia="Arial" w:hAnsi="Arial"/>
          <w:sz w:val="18"/>
          <w:szCs w:val="18"/>
          <w:color w:val="auto"/>
        </w:rPr>
      </w:pPr>
    </w:p>
    <w:p>
      <w:pPr>
        <w:ind w:left="1000" w:right="220" w:hanging="439"/>
        <w:spacing w:after="0" w:line="277" w:lineRule="auto"/>
        <w:tabs>
          <w:tab w:leader="none" w:pos="100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Counterparty shall be responsible for all commercially reasonable costs and expenses, including commercially reasonable counsel fees, incurred by Dealer in connection with such transfer or assignment.</w:t>
      </w:r>
    </w:p>
    <w:p>
      <w:pPr>
        <w:spacing w:after="0" w:line="71" w:lineRule="exact"/>
        <w:rPr>
          <w:rFonts w:ascii="Arial" w:cs="Arial" w:eastAsia="Arial" w:hAnsi="Arial"/>
          <w:sz w:val="18"/>
          <w:szCs w:val="18"/>
          <w:color w:val="auto"/>
        </w:rPr>
      </w:pPr>
    </w:p>
    <w:p>
      <w:pPr>
        <w:ind w:left="540" w:hanging="532"/>
        <w:spacing w:after="0" w:line="283" w:lineRule="auto"/>
        <w:tabs>
          <w:tab w:leader="none" w:pos="5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Dealer may transfer or assign (a “</w:t>
      </w:r>
      <w:r>
        <w:rPr>
          <w:rFonts w:ascii="Arial" w:cs="Arial" w:eastAsia="Arial" w:hAnsi="Arial"/>
          <w:sz w:val="16"/>
          <w:szCs w:val="16"/>
          <w:b w:val="1"/>
          <w:bCs w:val="1"/>
          <w:color w:val="auto"/>
        </w:rPr>
        <w:t>Transfer</w:t>
      </w:r>
      <w:r>
        <w:rPr>
          <w:rFonts w:ascii="Arial" w:cs="Arial" w:eastAsia="Arial" w:hAnsi="Arial"/>
          <w:sz w:val="16"/>
          <w:szCs w:val="16"/>
          <w:color w:val="auto"/>
        </w:rPr>
        <w:t>”) all or any part of its rights or obligations under the Transaction to (A) without Counterparty’s consent, to any affiliate of Dealer whose obligations would be guaranteed by Dealer or Dealer’s ultimate parent, or (B) with Counterparty’s consent (such consent not to be unreasonably withheld or delayed) any person (including any Affiliate of Dealer whose obligations are not guaranteed in the manner described in clause (A)) or any person whose obligations would be guaranteed by a person (a “</w:t>
      </w:r>
      <w:r>
        <w:rPr>
          <w:rFonts w:ascii="Arial" w:cs="Arial" w:eastAsia="Arial" w:hAnsi="Arial"/>
          <w:sz w:val="16"/>
          <w:szCs w:val="16"/>
          <w:b w:val="1"/>
          <w:bCs w:val="1"/>
          <w:color w:val="auto"/>
        </w:rPr>
        <w:t>Designated</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Transferee</w:t>
      </w:r>
      <w:r>
        <w:rPr>
          <w:rFonts w:ascii="Arial" w:cs="Arial" w:eastAsia="Arial" w:hAnsi="Arial"/>
          <w:sz w:val="16"/>
          <w:szCs w:val="16"/>
          <w:color w:val="auto"/>
        </w:rPr>
        <w:t>”), in either case under this clause (B), with a rating for its long-term, unsecured and unsubordinated indebtedness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to Dealer’s (or its guarantor’s); provided, however, that in the case of this clause (B), in no event shall the credit rating of the Designated Transferee or the guarantor (whichever is higher) be lower than A- by Standard and Poor’s Rating Group, Inc. or its successor (“</w:t>
      </w:r>
      <w:r>
        <w:rPr>
          <w:rFonts w:ascii="Arial" w:cs="Arial" w:eastAsia="Arial" w:hAnsi="Arial"/>
          <w:sz w:val="16"/>
          <w:szCs w:val="16"/>
          <w:b w:val="1"/>
          <w:bCs w:val="1"/>
          <w:color w:val="auto"/>
        </w:rPr>
        <w:t>S&amp;P</w:t>
      </w:r>
      <w:r>
        <w:rPr>
          <w:rFonts w:ascii="Arial" w:cs="Arial" w:eastAsia="Arial" w:hAnsi="Arial"/>
          <w:sz w:val="16"/>
          <w:szCs w:val="16"/>
          <w:color w:val="auto"/>
        </w:rPr>
        <w:t>”), or A3 by Moody’s Investor Service, Inc. (“</w:t>
      </w:r>
      <w:r>
        <w:rPr>
          <w:rFonts w:ascii="Arial" w:cs="Arial" w:eastAsia="Arial" w:hAnsi="Arial"/>
          <w:sz w:val="16"/>
          <w:szCs w:val="16"/>
          <w:b w:val="1"/>
          <w:bCs w:val="1"/>
          <w:color w:val="auto"/>
        </w:rPr>
        <w:t>Moody’s</w:t>
      </w:r>
      <w:r>
        <w:rPr>
          <w:rFonts w:ascii="Arial" w:cs="Arial" w:eastAsia="Arial" w:hAnsi="Arial"/>
          <w:sz w:val="16"/>
          <w:szCs w:val="16"/>
          <w:color w:val="auto"/>
        </w:rPr>
        <w:t xml:space="preserve">”) or, if either S&amp;P or Moody’s ceases to rate such debt, at least an equivalent rating or better by a substitute rating agency mutually agreed by Counterparty and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either (x) the transferee in any such Transfer is a “dealer in securities” within the meaning of Section 475(c)(1) of the Code or (y) the Transfer does not result in a deemed exchange by Counterparty within the meaning of Section 1001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Dealer shall promptly provide written notice to Counterparty following any such Transfer. If at any time at which (A) the Section 16 Percentage exceeds 7.5%,</w:t>
      </w:r>
    </w:p>
    <w:p>
      <w:pPr>
        <w:spacing w:after="0" w:line="6" w:lineRule="exact"/>
        <w:rPr>
          <w:rFonts w:ascii="Arial" w:cs="Arial" w:eastAsia="Arial" w:hAnsi="Arial"/>
          <w:sz w:val="16"/>
          <w:szCs w:val="16"/>
          <w:color w:val="auto"/>
        </w:rPr>
      </w:pPr>
    </w:p>
    <w:p>
      <w:pPr>
        <w:ind w:left="540" w:right="140" w:firstLine="8"/>
        <w:spacing w:after="0" w:line="290" w:lineRule="auto"/>
        <w:tabs>
          <w:tab w:leader="none" w:pos="825"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Option Equity Percentage exceeds 14.5%, or (C) the Share Amount exceeds the Applicable Share Limit (if any applies) (any such condition described in clauses (A), (B) or (C), an “</w:t>
      </w:r>
      <w:r>
        <w:rPr>
          <w:rFonts w:ascii="Arial" w:cs="Arial" w:eastAsia="Arial" w:hAnsi="Arial"/>
          <w:sz w:val="17"/>
          <w:szCs w:val="17"/>
          <w:b w:val="1"/>
          <w:bCs w:val="1"/>
          <w:color w:val="auto"/>
        </w:rPr>
        <w:t>Excess Ownership Position</w:t>
      </w:r>
      <w:r>
        <w:rPr>
          <w:rFonts w:ascii="Arial" w:cs="Arial" w:eastAsia="Arial" w:hAnsi="Arial"/>
          <w:sz w:val="17"/>
          <w:szCs w:val="17"/>
          <w:color w:val="auto"/>
        </w:rPr>
        <w:t>”), Dealer is unable after using its</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60" w:top="274" w:right="459" w:bottom="1440" w:gutter="0" w:footer="0" w:header="0"/>
        </w:sectPr>
      </w:pPr>
    </w:p>
    <w:bookmarkStart w:id="243" w:name="page244"/>
    <w:bookmarkEnd w:id="243"/>
    <w:p>
      <w:pPr>
        <w:ind w:left="10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commercially reasonable efforts to effect a transfer or assignment of Options to a third party on pricing terms reasonably acceptable to Dealer and within a time period reasonably acceptable to Dealer such that (after giving effect to such transfer or assignment and any resulting change in Dealer’s commercially reasonable Hedge Positions) no Excess Ownership Position exists, then Dealer may designate any Exchange Business Day as an Early Termination Date with respect to a portion of the Transaction (the “</w:t>
      </w:r>
      <w:r>
        <w:rPr>
          <w:rFonts w:ascii="Arial" w:cs="Arial" w:eastAsia="Arial" w:hAnsi="Arial"/>
          <w:sz w:val="16"/>
          <w:szCs w:val="16"/>
          <w:b w:val="1"/>
          <w:bCs w:val="1"/>
          <w:color w:val="auto"/>
        </w:rPr>
        <w:t>Terminated</w:t>
      </w:r>
      <w:r>
        <w:rPr>
          <w:rFonts w:ascii="Arial" w:cs="Arial" w:eastAsia="Arial" w:hAnsi="Arial"/>
          <w:sz w:val="16"/>
          <w:szCs w:val="16"/>
          <w:color w:val="auto"/>
        </w:rPr>
        <w:t xml:space="preserve"> </w:t>
      </w:r>
      <w:r>
        <w:rPr>
          <w:rFonts w:ascii="Arial" w:cs="Arial" w:eastAsia="Arial" w:hAnsi="Arial"/>
          <w:sz w:val="16"/>
          <w:szCs w:val="16"/>
          <w:b w:val="1"/>
          <w:bCs w:val="1"/>
          <w:color w:val="auto"/>
        </w:rPr>
        <w:t>Portion</w:t>
      </w:r>
      <w:r>
        <w:rPr>
          <w:rFonts w:ascii="Arial" w:cs="Arial" w:eastAsia="Arial" w:hAnsi="Arial"/>
          <w:sz w:val="16"/>
          <w:szCs w:val="16"/>
          <w:color w:val="auto"/>
        </w:rPr>
        <w:t>”), such that (after giving effect to such transfer or assignment and any resulting change in Dealer’s commercially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Hedge Positions)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was not the Affected Party). The “</w:t>
      </w:r>
      <w:r>
        <w:rPr>
          <w:rFonts w:ascii="Arial" w:cs="Arial" w:eastAsia="Arial" w:hAnsi="Arial"/>
          <w:sz w:val="16"/>
          <w:szCs w:val="16"/>
          <w:b w:val="1"/>
          <w:bCs w:val="1"/>
          <w:color w:val="auto"/>
        </w:rPr>
        <w:t>Section 16 Percentage</w:t>
      </w:r>
      <w:r>
        <w:rPr>
          <w:rFonts w:ascii="Arial" w:cs="Arial" w:eastAsia="Arial" w:hAnsi="Arial"/>
          <w:sz w:val="16"/>
          <w:szCs w:val="16"/>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Option Equity</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sum of (1) the product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Options and the Option Entitlement and (2) the aggregate number of Shares underlying any other call option transaction sold by Dealer to Counterparty, and (B) the denominator of which is the number of Shares outstanding. The “</w:t>
      </w:r>
      <w:r>
        <w:rPr>
          <w:rFonts w:ascii="Arial" w:cs="Arial" w:eastAsia="Arial" w:hAnsi="Arial"/>
          <w:sz w:val="16"/>
          <w:szCs w:val="16"/>
          <w:b w:val="1"/>
          <w:bCs w:val="1"/>
          <w:color w:val="auto"/>
        </w:rPr>
        <w:t>Share Amount</w:t>
      </w:r>
      <w:r>
        <w:rPr>
          <w:rFonts w:ascii="Arial" w:cs="Arial" w:eastAsia="Arial" w:hAnsi="Arial"/>
          <w:sz w:val="16"/>
          <w:szCs w:val="16"/>
          <w:color w:val="auto"/>
        </w:rPr>
        <w:t>” as of any day is the number of Shares that Dealer and any person whose ownership position would be aggregated with 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Counterparty that are, in each case, applicable to ownership of Shares, including, without limitation, under state or federal banking laws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commercially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could give rise to reporting or registration obligations or other requirements (including obtaining prior approval from any person or entity) of a Dealer Person, or could result in an adverse effect on a Dealer Person, under any Applicable Restriction, as determined by Dealer in its commercially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w:t>
      </w:r>
    </w:p>
    <w:p>
      <w:pPr>
        <w:spacing w:after="0" w:line="93" w:lineRule="exact"/>
        <w:rPr>
          <w:sz w:val="20"/>
          <w:szCs w:val="20"/>
          <w:color w:val="auto"/>
        </w:rPr>
      </w:pPr>
    </w:p>
    <w:p>
      <w:pPr>
        <w:ind w:left="1000" w:right="20" w:hanging="439"/>
        <w:spacing w:after="0" w:line="254" w:lineRule="auto"/>
        <w:tabs>
          <w:tab w:leader="none" w:pos="10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w:t>
      </w:r>
      <w:r>
        <w:rPr>
          <w:rFonts w:ascii="Arial" w:cs="Arial" w:eastAsia="Arial" w:hAnsi="Arial"/>
          <w:sz w:val="18"/>
          <w:szCs w:val="18"/>
          <w:b w:val="1"/>
          <w:bCs w:val="1"/>
          <w:color w:val="auto"/>
        </w:rPr>
        <w:t>Dealer Affiliates</w:t>
      </w:r>
      <w:r>
        <w:rPr>
          <w:rFonts w:ascii="Arial" w:cs="Arial" w:eastAsia="Arial" w:hAnsi="Arial"/>
          <w:sz w:val="18"/>
          <w:szCs w:val="18"/>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Dealer Affiliates shall comply with the provisions of this Transaction in the same manner as the Dealer would have been required to comply. Dealer shall be discharged of its obligations to Counterparty to the extent of any such performance.</w:t>
      </w:r>
    </w:p>
    <w:p>
      <w:pPr>
        <w:spacing w:after="0" w:line="100" w:lineRule="exact"/>
        <w:rPr>
          <w:rFonts w:ascii="Arial" w:cs="Arial" w:eastAsia="Arial" w:hAnsi="Arial"/>
          <w:sz w:val="18"/>
          <w:szCs w:val="18"/>
          <w:color w:val="auto"/>
        </w:rPr>
      </w:pPr>
    </w:p>
    <w:p>
      <w:pPr>
        <w:ind w:left="540" w:right="40" w:hanging="532"/>
        <w:spacing w:after="0" w:line="263"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i w:val="1"/>
          <w:iCs w:val="1"/>
          <w:u w:val="single" w:color="auto"/>
          <w:color w:val="auto"/>
        </w:rPr>
        <w:t>Staggered Settlement</w:t>
      </w:r>
      <w:r>
        <w:rPr>
          <w:rFonts w:ascii="Arial" w:cs="Arial" w:eastAsia="Arial" w:hAnsi="Arial"/>
          <w:sz w:val="18"/>
          <w:szCs w:val="18"/>
          <w:color w:val="auto"/>
        </w:rPr>
        <w:t>. Notwithstanding anything to the contrary herein, if upon advice of counsel with respect to applicable legal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requirements, including any requirements relating to Dealer’s hedging activities hereunder that would be customarily applicable to transactions of this type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60" w:top="274" w:right="459" w:bottom="1440" w:gutter="0" w:footer="0" w:header="0"/>
        </w:sectPr>
      </w:pPr>
    </w:p>
    <w:bookmarkStart w:id="244" w:name="page245"/>
    <w:bookmarkEnd w:id="244"/>
    <w:p>
      <w:pPr>
        <w:ind w:left="98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Dealer, Dealer may, by prior notice to Counterparty, satisfy its obligation to deliver any Shares or other securities on any date due (an “</w:t>
      </w:r>
      <w:r>
        <w:rPr>
          <w:rFonts w:ascii="Arial" w:cs="Arial" w:eastAsia="Arial" w:hAnsi="Arial"/>
          <w:sz w:val="18"/>
          <w:szCs w:val="18"/>
          <w:b w:val="1"/>
          <w:bCs w:val="1"/>
          <w:color w:val="auto"/>
        </w:rPr>
        <w:t>Original Delivery Date</w:t>
      </w:r>
      <w:r>
        <w:rPr>
          <w:rFonts w:ascii="Arial" w:cs="Arial" w:eastAsia="Arial" w:hAnsi="Arial"/>
          <w:sz w:val="18"/>
          <w:szCs w:val="18"/>
          <w:color w:val="auto"/>
        </w:rPr>
        <w:t>”) by making separate deliveries of Shares or such securities, as the case may be, at more than one time on or prior to such Original Delivery Date (each such date on which such a time occurs, a “</w:t>
      </w:r>
      <w:r>
        <w:rPr>
          <w:rFonts w:ascii="Arial" w:cs="Arial" w:eastAsia="Arial" w:hAnsi="Arial"/>
          <w:sz w:val="18"/>
          <w:szCs w:val="18"/>
          <w:b w:val="1"/>
          <w:bCs w:val="1"/>
          <w:color w:val="auto"/>
        </w:rPr>
        <w:t>Staggered Delivery Date</w:t>
      </w:r>
      <w:r>
        <w:rPr>
          <w:rFonts w:ascii="Arial" w:cs="Arial" w:eastAsia="Arial" w:hAnsi="Arial"/>
          <w:sz w:val="18"/>
          <w:szCs w:val="18"/>
          <w:color w:val="auto"/>
        </w:rPr>
        <w:t>”), so long as the aggregate number of Shares and other securities so delivered on or prior to such Original Delivery Date is equal to the number that, but for this provision, would have been deliverable on such Original Delivery Date.</w:t>
      </w:r>
    </w:p>
    <w:p>
      <w:pPr>
        <w:spacing w:after="0" w:line="93" w:lineRule="exact"/>
        <w:rPr>
          <w:sz w:val="20"/>
          <w:szCs w:val="20"/>
          <w:color w:val="auto"/>
        </w:rPr>
      </w:pPr>
    </w:p>
    <w:p>
      <w:pPr>
        <w:ind w:left="964" w:hanging="532"/>
        <w:spacing w:after="0"/>
        <w:tabs>
          <w:tab w:leader="none" w:pos="96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Insert relevant Dealer QFC Stay Rule language, if any.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20" w:hanging="532"/>
        <w:spacing w:after="0" w:line="342" w:lineRule="auto"/>
        <w:tabs>
          <w:tab w:leader="none" w:pos="96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Conduct Rules</w:t>
      </w:r>
      <w:r>
        <w:rPr>
          <w:rFonts w:ascii="Arial" w:cs="Arial" w:eastAsia="Arial" w:hAnsi="Arial"/>
          <w:sz w:val="16"/>
          <w:szCs w:val="16"/>
          <w:color w:val="auto"/>
        </w:rPr>
        <w:t>. Each party acknowledges and agrees to be bound by the Conduct Rules of the Financial Industry Regulatory Authority, Inc. applicable to transactions in options, and further agrees not to violate the position and exercise limits set forth therein.]</w:t>
      </w:r>
      <w:r>
        <w:rPr>
          <w:rFonts w:ascii="Arial" w:cs="Arial" w:eastAsia="Arial" w:hAnsi="Arial"/>
          <w:sz w:val="13"/>
          <w:szCs w:val="13"/>
          <w:color w:val="auto"/>
        </w:rPr>
        <w:t>18</w:t>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[Agency language, if necessary]</w:t>
      </w:r>
    </w:p>
    <w:p>
      <w:pPr>
        <w:spacing w:after="0" w:line="131" w:lineRule="exact"/>
        <w:rPr>
          <w:sz w:val="20"/>
          <w:szCs w:val="20"/>
          <w:color w:val="auto"/>
        </w:rPr>
      </w:pPr>
    </w:p>
    <w:p>
      <w:pPr>
        <w:ind w:left="964" w:hanging="532"/>
        <w:spacing w:after="0" w:line="259" w:lineRule="auto"/>
        <w:tabs>
          <w:tab w:leader="none" w:pos="964"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THE PARTIES HERETO IRREVOCABLY SUBMIT TO THE EXCLUSIVE JURISDICTION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0"/>
          <w:numId w:val="264"/>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Termination Events</w:t>
      </w:r>
      <w:r>
        <w:rPr>
          <w:rFonts w:ascii="Arial" w:cs="Arial" w:eastAsia="Arial" w:hAnsi="Arial"/>
          <w:sz w:val="18"/>
          <w:szCs w:val="18"/>
          <w:color w:val="auto"/>
        </w:rPr>
        <w:t>.</w:t>
      </w:r>
    </w:p>
    <w:p>
      <w:pPr>
        <w:spacing w:after="0" w:line="131" w:lineRule="exact"/>
        <w:rPr>
          <w:sz w:val="20"/>
          <w:szCs w:val="20"/>
          <w:color w:val="auto"/>
        </w:rPr>
      </w:pPr>
    </w:p>
    <w:p>
      <w:pPr>
        <w:ind w:left="1424" w:right="80" w:hanging="439"/>
        <w:spacing w:after="0" w:line="287" w:lineRule="auto"/>
        <w:tabs>
          <w:tab w:leader="none" w:pos="142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Confirmation if an event of default with respect to Counterparty occurs pursuant to the terms of the Convertible Notes as set forth in Section 6.01 of the Indenture, then such event of default shall constitute an Additional Termination Event applicable to the Transaction and, with respect to such Additional Termination Event,</w:t>
      </w:r>
    </w:p>
    <w:p>
      <w:pPr>
        <w:spacing w:after="0" w:line="2" w:lineRule="exact"/>
        <w:rPr>
          <w:rFonts w:ascii="Arial" w:cs="Arial" w:eastAsia="Arial" w:hAnsi="Arial"/>
          <w:sz w:val="16"/>
          <w:szCs w:val="16"/>
          <w:color w:val="auto"/>
        </w:rPr>
      </w:pPr>
    </w:p>
    <w:p>
      <w:pPr>
        <w:ind w:left="1424"/>
        <w:spacing w:after="0"/>
        <w:rPr>
          <w:rFonts w:ascii="Arial" w:cs="Arial" w:eastAsia="Arial" w:hAnsi="Arial"/>
          <w:sz w:val="16"/>
          <w:szCs w:val="16"/>
          <w:color w:val="auto"/>
        </w:rPr>
      </w:pPr>
      <w:r>
        <w:rPr>
          <w:rFonts w:ascii="Arial" w:cs="Arial" w:eastAsia="Arial" w:hAnsi="Arial"/>
          <w:sz w:val="17"/>
          <w:szCs w:val="17"/>
          <w:color w:val="auto"/>
        </w:rPr>
        <w:t>(A) Counterparty shall be deemed to be the sole Affected Party, (B) the Transaction shall be the sole Affected Transaction and</w:t>
      </w:r>
    </w:p>
    <w:p>
      <w:pPr>
        <w:spacing w:after="0" w:line="2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 Dealer shall be the party entitled to designate an Early Termination Date pursuant to Section 6(b) of the Agreement.</w:t>
      </w:r>
    </w:p>
    <w:p>
      <w:pPr>
        <w:spacing w:after="0" w:line="116" w:lineRule="exact"/>
        <w:rPr>
          <w:sz w:val="20"/>
          <w:szCs w:val="20"/>
          <w:color w:val="auto"/>
        </w:rPr>
      </w:pPr>
    </w:p>
    <w:p>
      <w:pPr>
        <w:ind w:left="1424" w:hanging="439"/>
        <w:spacing w:after="0" w:line="268" w:lineRule="auto"/>
        <w:tabs>
          <w:tab w:leader="none" w:pos="142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Promptly (and in any event within ten Scheduled Trading Days) following any redemption or repurchase (which, for the avoidance of doubt, includes any exchange transaction) and cancellation of Convertible Notes, including without limitation pursuant to Article 14 of the Indenture in connection with a “Fundamental Change” (as defined in the Indenture) (such event, a “</w:t>
      </w:r>
      <w:r>
        <w:rPr>
          <w:rFonts w:ascii="Arial" w:cs="Arial" w:eastAsia="Arial" w:hAnsi="Arial"/>
          <w:sz w:val="17"/>
          <w:szCs w:val="17"/>
          <w:b w:val="1"/>
          <w:bCs w:val="1"/>
          <w:color w:val="auto"/>
        </w:rPr>
        <w:t>Repurchase Event</w:t>
      </w:r>
      <w:r>
        <w:rPr>
          <w:rFonts w:ascii="Arial" w:cs="Arial" w:eastAsia="Arial" w:hAnsi="Arial"/>
          <w:sz w:val="17"/>
          <w:szCs w:val="17"/>
          <w:color w:val="auto"/>
        </w:rPr>
        <w:t>”), Counterparty may notify Dealer in writing of such Repurchase Event and the number of Convertible Notes subject to such Repurchase Event (any such notice, a “</w:t>
      </w:r>
      <w:r>
        <w:rPr>
          <w:rFonts w:ascii="Arial" w:cs="Arial" w:eastAsia="Arial" w:hAnsi="Arial"/>
          <w:sz w:val="17"/>
          <w:szCs w:val="17"/>
          <w:b w:val="1"/>
          <w:bCs w:val="1"/>
          <w:color w:val="auto"/>
        </w:rPr>
        <w:t>Repurchase Notice</w:t>
      </w:r>
      <w:r>
        <w:rPr>
          <w:rFonts w:ascii="Arial" w:cs="Arial" w:eastAsia="Arial" w:hAnsi="Arial"/>
          <w:sz w:val="17"/>
          <w:szCs w:val="17"/>
          <w:color w:val="auto"/>
        </w:rPr>
        <w:t>”). Notwithstanding anything to the contrary in this Confirmation, the receipt by Dealer from Counterparty of (x) any Repurchase Notice, within the applicable time period set forth in the preceding sentence, and (y) a written representation and warranty by Counterparty that, as of the date of such Repurchase Notice, Counterparty is not in possession of any material non-public information regarding Counterparty or the Shares, shall constitute an Additional Termination Event as provided in this paragraph. Upon receipt of any such Repurchase Notice and the related written representation and warranty, Dealer shall promptly designate an Exchange Business Day following receipt of such Repurchase Notice (which Exchange Business Day shall be on or as promptly as reasonably practicable after the related repurchase settlement date for the relevant Repurchase Event) as an Early Termination Date with respect to the portion of this Transaction corresponding to a number of Options (the “</w:t>
      </w:r>
      <w:r>
        <w:rPr>
          <w:rFonts w:ascii="Arial" w:cs="Arial" w:eastAsia="Arial" w:hAnsi="Arial"/>
          <w:sz w:val="17"/>
          <w:szCs w:val="17"/>
          <w:b w:val="1"/>
          <w:bCs w:val="1"/>
          <w:color w:val="auto"/>
        </w:rPr>
        <w:t>Repurchase Options</w:t>
      </w:r>
      <w:r>
        <w:rPr>
          <w:rFonts w:ascii="Arial" w:cs="Arial" w:eastAsia="Arial" w:hAnsi="Arial"/>
          <w:sz w:val="17"/>
          <w:szCs w:val="17"/>
          <w:color w:val="auto"/>
        </w:rPr>
        <w:t>”) equal to the lesser of (A) the number of such Convertible Notes specified in such Repurchase Notice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number of “Repurchase Options” (as defined in the Base Call Option Confirmation), if any, that relate to such Convertible Notes]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the Applicable Percentage and (B) the Number of Options as of the date Dealer designates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267"/>
        </w:numPr>
        <w:rPr>
          <w:rFonts w:ascii="Arial" w:cs="Arial" w:eastAsia="Arial" w:hAnsi="Arial"/>
          <w:sz w:val="15"/>
          <w:szCs w:val="15"/>
          <w:color w:val="auto"/>
        </w:rPr>
      </w:pPr>
      <w:r>
        <w:rPr>
          <w:rFonts w:ascii="Arial" w:cs="Arial" w:eastAsia="Arial" w:hAnsi="Arial"/>
          <w:sz w:val="18"/>
          <w:szCs w:val="18"/>
          <w:color w:val="auto"/>
        </w:rPr>
        <w:t>To be included for broker-dealer.</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245" w:name="page246"/>
    <w:bookmarkEnd w:id="245"/>
    <w:p>
      <w:pPr>
        <w:ind w:left="100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Early Termination Date and, as of such date, the Number of Options shall be reduced by the number of Repurchase Options. Any payment hereunder with respect to such termination shall be calculated pursuant to Section 6 of the Agreement as if (1) an Early Termination Date had been designated in respect of a Transaction having terms identical to this Transaction and a Number of Options equal to the number of Repurchase Options, (2) Counterparty were the sole Affected Party with respect to such Additional Termination Event, (3) no adjustment to the “Conversion Rate” (as defined in the Indenture) for the Convertible Notes has occurred pursuant to any Excluded Provision, (4) the corresponding Convertible Notes remaining outstanding as if the circumstances related to the Repurchase Event had not occurred, (5) the relevant Repurchase Event and any conversions, adjustments, agreements, payments, deliveries or acquisitions by or on behalf of Counterparty leading thereto had not occurred, and (6) the terminated portion of the Transaction were the sole Affected Transaction.</w:t>
      </w:r>
    </w:p>
    <w:p>
      <w:pPr>
        <w:spacing w:after="0" w:line="86" w:lineRule="exact"/>
        <w:rPr>
          <w:sz w:val="20"/>
          <w:szCs w:val="20"/>
          <w:color w:val="auto"/>
        </w:rPr>
      </w:pPr>
    </w:p>
    <w:p>
      <w:pPr>
        <w:ind w:left="1000" w:hanging="439"/>
        <w:spacing w:after="0" w:line="255" w:lineRule="auto"/>
        <w:tabs>
          <w:tab w:leader="none" w:pos="10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portion thereof) being the Affected Transaction, Counterparty being the sole Affected Party and Dealer being the party entitled to designate an Early Termination Date pursuant to Section 6(h) of the Agreement) shall be deemed to occur, and, in lieu of Sections 12.7, 12.8 and 12.9 of the Equity Definitions, Section 6 of the Agreement shall apply to such Affected Transaction.</w:t>
      </w:r>
    </w:p>
    <w:p>
      <w:pPr>
        <w:spacing w:after="0" w:line="97" w:lineRule="exact"/>
        <w:rPr>
          <w:rFonts w:ascii="Arial" w:cs="Arial" w:eastAsia="Arial" w:hAnsi="Arial"/>
          <w:sz w:val="18"/>
          <w:szCs w:val="18"/>
          <w:color w:val="auto"/>
        </w:rPr>
      </w:pPr>
    </w:p>
    <w:p>
      <w:pPr>
        <w:ind w:left="540" w:hanging="532"/>
        <w:spacing w:after="0"/>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 to Equity Definitions and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20" w:hanging="439"/>
        <w:spacing w:after="0" w:line="259" w:lineRule="auto"/>
        <w:tabs>
          <w:tab w:leader="none" w:pos="10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the occurrence of any of the events specified in Section 5(a)(vii)(1) through (9) of the ISDA Master Agreement with respect to that Issuer.”</w:t>
      </w:r>
    </w:p>
    <w:p>
      <w:pPr>
        <w:spacing w:after="0" w:line="92" w:lineRule="exact"/>
        <w:rPr>
          <w:sz w:val="20"/>
          <w:szCs w:val="20"/>
          <w:color w:val="auto"/>
        </w:rPr>
      </w:pPr>
    </w:p>
    <w:p>
      <w:pPr>
        <w:ind w:left="1000" w:hanging="439"/>
        <w:spacing w:after="0"/>
        <w:tabs>
          <w:tab w:leader="none" w:pos="1000" w:val="left"/>
        </w:tabs>
        <w:numPr>
          <w:ilvl w:val="2"/>
          <w:numId w:val="270"/>
        </w:numPr>
        <w:rPr>
          <w:rFonts w:ascii="Arial" w:cs="Arial" w:eastAsia="Arial" w:hAnsi="Arial"/>
          <w:sz w:val="16"/>
          <w:szCs w:val="16"/>
          <w:color w:val="auto"/>
        </w:rPr>
      </w:pPr>
      <w:r>
        <w:rPr>
          <w:rFonts w:ascii="Arial" w:cs="Arial" w:eastAsia="Arial" w:hAnsi="Arial"/>
          <w:sz w:val="16"/>
          <w:szCs w:val="16"/>
          <w:color w:val="auto"/>
        </w:rPr>
        <w:t>Section 12.9(b)(i) of the Equity Definitions is hereby amended by (1) replacing “either party may elect” with “Dealer may elect” and</w:t>
      </w:r>
    </w:p>
    <w:p>
      <w:pPr>
        <w:spacing w:after="0" w:line="46" w:lineRule="exact"/>
        <w:rPr>
          <w:rFonts w:ascii="Arial" w:cs="Arial" w:eastAsia="Arial" w:hAnsi="Arial"/>
          <w:sz w:val="16"/>
          <w:szCs w:val="16"/>
          <w:color w:val="auto"/>
        </w:rPr>
      </w:pPr>
    </w:p>
    <w:p>
      <w:pPr>
        <w:ind w:left="1240" w:hanging="247"/>
        <w:spacing w:after="0"/>
        <w:tabs>
          <w:tab w:leader="none" w:pos="1240" w:val="left"/>
        </w:tabs>
        <w:numPr>
          <w:ilvl w:val="3"/>
          <w:numId w:val="270"/>
        </w:numPr>
        <w:rPr>
          <w:rFonts w:ascii="Arial" w:cs="Arial" w:eastAsia="Arial" w:hAnsi="Arial"/>
          <w:sz w:val="18"/>
          <w:szCs w:val="18"/>
          <w:color w:val="auto"/>
        </w:rPr>
      </w:pPr>
      <w:r>
        <w:rPr>
          <w:rFonts w:ascii="Arial" w:cs="Arial" w:eastAsia="Arial" w:hAnsi="Arial"/>
          <w:sz w:val="18"/>
          <w:szCs w:val="18"/>
          <w:color w:val="auto"/>
        </w:rPr>
        <w:t>replacing “notice to the other party” with “notice to Counterparty” in the first sentence of such section.</w:t>
      </w:r>
    </w:p>
    <w:p>
      <w:pPr>
        <w:spacing w:after="0" w:line="116" w:lineRule="exact"/>
        <w:rPr>
          <w:rFonts w:ascii="Arial" w:cs="Arial" w:eastAsia="Arial" w:hAnsi="Arial"/>
          <w:sz w:val="18"/>
          <w:szCs w:val="18"/>
          <w:color w:val="auto"/>
        </w:rPr>
      </w:pPr>
    </w:p>
    <w:p>
      <w:pPr>
        <w:ind w:left="1000" w:hanging="439"/>
        <w:spacing w:after="0"/>
        <w:tabs>
          <w:tab w:leader="none" w:pos="1000" w:val="left"/>
        </w:tabs>
        <w:numPr>
          <w:ilvl w:val="2"/>
          <w:numId w:val="270"/>
        </w:numPr>
        <w:rPr>
          <w:rFonts w:ascii="Arial" w:cs="Arial" w:eastAsia="Arial" w:hAnsi="Arial"/>
          <w:sz w:val="17"/>
          <w:szCs w:val="17"/>
          <w:color w:val="auto"/>
        </w:rPr>
      </w:pPr>
      <w:r>
        <w:rPr>
          <w:rFonts w:ascii="Arial" w:cs="Arial" w:eastAsia="Arial" w:hAnsi="Arial"/>
          <w:sz w:val="17"/>
          <w:szCs w:val="17"/>
          <w:color w:val="auto"/>
        </w:rPr>
        <w:t>Section 12.9(b)(vi) of the Equity Definitions is hereby amended by (1) adding the word “or” immediately before subsection “(B)”,</w:t>
      </w:r>
    </w:p>
    <w:p>
      <w:pPr>
        <w:spacing w:after="0" w:line="34" w:lineRule="exact"/>
        <w:rPr>
          <w:rFonts w:ascii="Arial" w:cs="Arial" w:eastAsia="Arial" w:hAnsi="Arial"/>
          <w:sz w:val="17"/>
          <w:szCs w:val="17"/>
          <w:color w:val="auto"/>
        </w:rPr>
      </w:pPr>
    </w:p>
    <w:p>
      <w:pPr>
        <w:ind w:left="1000" w:right="140" w:hanging="7"/>
        <w:spacing w:after="0" w:line="323" w:lineRule="auto"/>
        <w:tabs>
          <w:tab w:leader="none" w:pos="1255" w:val="left"/>
        </w:tabs>
        <w:numPr>
          <w:ilvl w:val="3"/>
          <w:numId w:val="270"/>
        </w:numPr>
        <w:rPr>
          <w:rFonts w:ascii="Arial" w:cs="Arial" w:eastAsia="Arial" w:hAnsi="Arial"/>
          <w:sz w:val="16"/>
          <w:szCs w:val="16"/>
          <w:color w:val="auto"/>
        </w:rPr>
      </w:pPr>
      <w:r>
        <w:rPr>
          <w:rFonts w:ascii="Arial" w:cs="Arial" w:eastAsia="Arial" w:hAnsi="Arial"/>
          <w:sz w:val="16"/>
          <w:szCs w:val="16"/>
          <w:color w:val="auto"/>
        </w:rPr>
        <w:t>deleting the comma at the end of subsection (A), (3) deleting subsection (C) in its entirety, (4) deleting the word “or” immediately preceding subsection (C) and (5) replacing the words “either party” in the last sentence of such Section with “Dealer”.</w:t>
      </w:r>
    </w:p>
    <w:p>
      <w:pPr>
        <w:spacing w:after="0" w:line="43" w:lineRule="exact"/>
        <w:rPr>
          <w:rFonts w:ascii="Arial" w:cs="Arial" w:eastAsia="Arial" w:hAnsi="Arial"/>
          <w:sz w:val="16"/>
          <w:szCs w:val="16"/>
          <w:color w:val="auto"/>
        </w:rPr>
      </w:pPr>
    </w:p>
    <w:p>
      <w:pPr>
        <w:ind w:left="540" w:right="200" w:hanging="532"/>
        <w:spacing w:after="0" w:line="263" w:lineRule="auto"/>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i w:val="1"/>
          <w:iCs w:val="1"/>
          <w:u w:val="single" w:color="auto"/>
          <w:color w:val="auto"/>
        </w:rPr>
        <w:t>No Setoff</w:t>
      </w:r>
      <w:r>
        <w:rPr>
          <w:rFonts w:ascii="Arial" w:cs="Arial" w:eastAsia="Arial" w:hAnsi="Arial"/>
          <w:sz w:val="18"/>
          <w:szCs w:val="18"/>
          <w:color w:val="auto"/>
        </w:rPr>
        <w:t>. Neither party shall have the right to set off any obligation that it may have to the other party under the Transaction against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such other party may have to it, whether arising under the Agreement, this Confirmation or any other agreement between the parties hereto, by operation of law or otherwise.</w:t>
      </w:r>
    </w:p>
    <w:p>
      <w:pPr>
        <w:spacing w:after="0" w:line="89" w:lineRule="exact"/>
        <w:rPr>
          <w:rFonts w:ascii="Arial" w:cs="Arial" w:eastAsia="Arial" w:hAnsi="Arial"/>
          <w:sz w:val="18"/>
          <w:szCs w:val="18"/>
          <w:color w:val="auto"/>
        </w:rPr>
      </w:pPr>
    </w:p>
    <w:p>
      <w:pPr>
        <w:ind w:left="540" w:right="120" w:hanging="532"/>
        <w:spacing w:after="0" w:line="284" w:lineRule="auto"/>
        <w:tabs>
          <w:tab w:leader="none" w:pos="540" w:val="left"/>
        </w:tabs>
        <w:numPr>
          <w:ilvl w:val="0"/>
          <w:numId w:val="271"/>
        </w:numPr>
        <w:rPr>
          <w:rFonts w:ascii="Arial" w:cs="Arial" w:eastAsia="Arial" w:hAnsi="Arial"/>
          <w:sz w:val="16"/>
          <w:szCs w:val="16"/>
          <w:color w:val="auto"/>
        </w:rPr>
      </w:pPr>
      <w:r>
        <w:rPr>
          <w:rFonts w:ascii="Arial" w:cs="Arial" w:eastAsia="Arial" w:hAnsi="Arial"/>
          <w:sz w:val="16"/>
          <w:szCs w:val="16"/>
          <w:i w:val="1"/>
          <w:iCs w:val="1"/>
          <w:u w:val="single" w:color="auto"/>
          <w:color w:val="auto"/>
        </w:rPr>
        <w:t>Alternative Calculations and Payment on Early Termination and on Certain Extraordinary Events</w:t>
      </w:r>
      <w:r>
        <w:rPr>
          <w:rFonts w:ascii="Arial" w:cs="Arial" w:eastAsia="Arial" w:hAnsi="Arial"/>
          <w:sz w:val="16"/>
          <w:szCs w:val="16"/>
          <w:color w:val="auto"/>
        </w:rPr>
        <w:t>. If in respect of the Transaction,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is payable by Dealer to Counterparty pursuant to Section 6(d)(ii) of the Agreement (any such amount, a “</w:t>
      </w:r>
      <w:r>
        <w:rPr>
          <w:rFonts w:ascii="Arial" w:cs="Arial" w:eastAsia="Arial" w:hAnsi="Arial"/>
          <w:sz w:val="16"/>
          <w:szCs w:val="16"/>
          <w:b w:val="1"/>
          <w:bCs w:val="1"/>
          <w:color w:val="auto"/>
        </w:rPr>
        <w:t>Payment Obligation</w:t>
      </w:r>
      <w:r>
        <w:rPr>
          <w:rFonts w:ascii="Arial" w:cs="Arial" w:eastAsia="Arial" w:hAnsi="Arial"/>
          <w:sz w:val="16"/>
          <w:szCs w:val="16"/>
          <w:color w:val="auto"/>
        </w:rPr>
        <w:t>”),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the Tender Offer Date, the Announcement Date (in the case of Nationalization, Insolvency or Delisting), the Early Termination Date or date of cancellation, as applicable, of its election that the Share Termination Alternative shall not apply,</w:t>
      </w:r>
    </w:p>
    <w:p>
      <w:pPr>
        <w:spacing w:after="0" w:line="4" w:lineRule="exact"/>
        <w:rPr>
          <w:rFonts w:ascii="Arial" w:cs="Arial" w:eastAsia="Arial" w:hAnsi="Arial"/>
          <w:sz w:val="16"/>
          <w:szCs w:val="16"/>
          <w:color w:val="auto"/>
        </w:rPr>
      </w:pPr>
    </w:p>
    <w:p>
      <w:pPr>
        <w:ind w:left="540" w:right="620" w:firstLine="8"/>
        <w:spacing w:after="0" w:line="323" w:lineRule="auto"/>
        <w:tabs>
          <w:tab w:leader="none" w:pos="795" w:val="left"/>
        </w:tabs>
        <w:numPr>
          <w:ilvl w:val="1"/>
          <w:numId w:val="271"/>
        </w:numPr>
        <w:rPr>
          <w:rFonts w:ascii="Arial" w:cs="Arial" w:eastAsia="Arial" w:hAnsi="Arial"/>
          <w:sz w:val="16"/>
          <w:szCs w:val="16"/>
          <w:color w:val="auto"/>
        </w:rPr>
      </w:pPr>
      <w:r>
        <w:rPr>
          <w:rFonts w:ascii="Arial" w:cs="Arial" w:eastAsia="Arial" w:hAnsi="Arial"/>
          <w:sz w:val="16"/>
          <w:szCs w:val="16"/>
          <w:color w:val="auto"/>
        </w:rPr>
        <w:t>Counterparty remakes the representation set forth in Section 8I(b) as of the date of such election and (c) Dealer agrees, in its commercially reasonable discretion, to such election, in which case the provisions of Section 6(d)(ii) of the Agreement shall apply.</w:t>
      </w:r>
    </w:p>
    <w:p>
      <w:pPr>
        <w:spacing w:after="0" w:line="7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60" w:top="274" w:right="459" w:bottom="1440" w:gutter="0" w:footer="0" w:header="0"/>
        </w:sectPr>
      </w:pPr>
    </w:p>
    <w:bookmarkStart w:id="246" w:name="page247"/>
    <w:bookmarkEnd w:id="246"/>
    <w:p>
      <w:pPr>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6(d)(ii) and 6(e) of the Agreement (the “</w:t>
      </w:r>
      <w:r>
        <w:rPr>
          <w:rFonts w:ascii="Arial" w:cs="Arial" w:eastAsia="Arial" w:hAnsi="Arial"/>
          <w:sz w:val="18"/>
          <w:szCs w:val="18"/>
          <w:b w:val="1"/>
          <w:bCs w:val="1"/>
          <w:color w:val="auto"/>
        </w:rPr>
        <w:t>Share Termination Payment Date</w:t>
      </w:r>
      <w:r>
        <w:rPr>
          <w:rFonts w:ascii="Arial" w:cs="Arial" w:eastAsia="Arial" w:hAnsi="Arial"/>
          <w:sz w:val="18"/>
          <w:szCs w:val="18"/>
          <w:color w:val="auto"/>
        </w:rPr>
        <w:t>”), in satisfaction of such Payment Obligation in the manner reasonably requested by Counterparty free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-1058545</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4300" w:space="720"/>
            <w:col w:w="5260"/>
          </w:cols>
          <w:pgMar w:left="1160" w:top="274" w:right="459" w:bottom="1440" w:gutter="0" w:footer="0" w:header="0"/>
        </w:sectPr>
      </w:pPr>
    </w:p>
    <w:p>
      <w:pPr>
        <w:spacing w:after="0"/>
        <w:rPr>
          <w:sz w:val="20"/>
          <w:szCs w:val="20"/>
          <w:color w:val="auto"/>
        </w:rPr>
      </w:pPr>
      <w:r>
        <w:rPr>
          <w:rFonts w:ascii="Arial" w:cs="Arial" w:eastAsia="Arial" w:hAnsi="Arial"/>
          <w:sz w:val="16"/>
          <w:szCs w:val="16"/>
          <w:color w:val="auto"/>
        </w:rPr>
        <w:t>Share Termination Delivery Property:</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 xml:space="preserve">A number of Share Termination Delivery Units, as calculated by the Calculation Agent, equal to the Payment Obligation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87"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 to the extent doing so results in a commercially reasonable Share Termination Unit Price.</w:t>
      </w:r>
    </w:p>
    <w:p>
      <w:pPr>
        <w:spacing w:after="0" w:line="73"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One Share or, if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7"/>
          <w:szCs w:val="17"/>
          <w:b w:val="1"/>
          <w:bCs w:val="1"/>
          <w:color w:val="auto"/>
        </w:rPr>
        <w:t>Exchange Property</w:t>
      </w:r>
      <w:r>
        <w:rPr>
          <w:rFonts w:ascii="Arial" w:cs="Arial" w:eastAsia="Arial" w:hAnsi="Arial"/>
          <w:sz w:val="17"/>
          <w:szCs w:val="17"/>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73"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If Share Termination Alternative is applicable, the provisions of Sections 9.8, 9.9 and 9.11 (as modified above) of the Equity Definitions will be applicable as if Physical Settlement applied to the Transaction and the provisions set forth opposite the caption “Representation and Agreement” in Section 2 will be applicable.</w:t>
      </w:r>
    </w:p>
    <w:p>
      <w:pPr>
        <w:spacing w:after="0" w:line="12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0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280"/>
          </w:cols>
          <w:pgMar w:left="1160" w:top="274" w:right="459" w:bottom="1440" w:gutter="0" w:footer="0" w:header="0"/>
          <w:type w:val="continuous"/>
        </w:sectPr>
      </w:pPr>
    </w:p>
    <w:bookmarkStart w:id="247" w:name="page248"/>
    <w:bookmarkEnd w:id="247"/>
    <w:p>
      <w:pPr>
        <w:ind w:left="540" w:right="100" w:hanging="532"/>
        <w:spacing w:after="0" w:line="275" w:lineRule="auto"/>
        <w:tabs>
          <w:tab w:leader="none" w:pos="540" w:val="left"/>
        </w:tabs>
        <w:numPr>
          <w:ilvl w:val="0"/>
          <w:numId w:val="272"/>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Waiver of Jury Trial</w:t>
      </w:r>
      <w:r>
        <w:rPr>
          <w:rFonts w:ascii="Arial" w:cs="Arial" w:eastAsia="Arial" w:hAnsi="Arial"/>
          <w:sz w:val="17"/>
          <w:szCs w:val="17"/>
          <w:color w:val="auto"/>
        </w:rPr>
        <w:t>. Each party waives, to the fullest extent permitted by applicable law, any right it may have to a trial by jury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1" w:lineRule="exact"/>
        <w:rPr>
          <w:rFonts w:ascii="Arial" w:cs="Arial" w:eastAsia="Arial" w:hAnsi="Arial"/>
          <w:sz w:val="17"/>
          <w:szCs w:val="17"/>
          <w:color w:val="auto"/>
        </w:rPr>
      </w:pPr>
    </w:p>
    <w:p>
      <w:pPr>
        <w:ind w:left="540" w:hanging="532"/>
        <w:spacing w:after="0" w:line="284" w:lineRule="auto"/>
        <w:tabs>
          <w:tab w:leader="none" w:pos="540" w:val="left"/>
        </w:tabs>
        <w:numPr>
          <w:ilvl w:val="0"/>
          <w:numId w:val="272"/>
        </w:numPr>
        <w:rPr>
          <w:rFonts w:ascii="Arial" w:cs="Arial" w:eastAsia="Arial" w:hAnsi="Arial"/>
          <w:sz w:val="16"/>
          <w:szCs w:val="16"/>
          <w:color w:val="auto"/>
        </w:rPr>
      </w:pPr>
      <w:r>
        <w:rPr>
          <w:rFonts w:ascii="Arial" w:cs="Arial" w:eastAsia="Arial" w:hAnsi="Arial"/>
          <w:sz w:val="16"/>
          <w:szCs w:val="16"/>
          <w:i w:val="1"/>
          <w:iCs w:val="1"/>
          <w:u w:val="single" w:color="auto"/>
          <w:color w:val="auto"/>
        </w:rPr>
        <w:t>Hedge Shares</w:t>
      </w:r>
      <w:r>
        <w:rPr>
          <w:rFonts w:ascii="Arial" w:cs="Arial" w:eastAsia="Arial" w:hAnsi="Arial"/>
          <w:sz w:val="16"/>
          <w:szCs w:val="16"/>
          <w:color w:val="auto"/>
        </w:rPr>
        <w:t>. Counterparty hereby agrees that if, in the good faith reasonable judgment of Dealer, based on the advice of counsel,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(the “</w:t>
      </w:r>
      <w:r>
        <w:rPr>
          <w:rFonts w:ascii="Arial" w:cs="Arial" w:eastAsia="Arial" w:hAnsi="Arial"/>
          <w:sz w:val="16"/>
          <w:szCs w:val="16"/>
          <w:b w:val="1"/>
          <w:bCs w:val="1"/>
          <w:color w:val="auto"/>
        </w:rPr>
        <w:t>Hedge Shares</w:t>
      </w:r>
      <w:r>
        <w:rPr>
          <w:rFonts w:ascii="Arial" w:cs="Arial" w:eastAsia="Arial" w:hAnsi="Arial"/>
          <w:sz w:val="16"/>
          <w:szCs w:val="16"/>
          <w:color w:val="auto"/>
        </w:rPr>
        <w:t xml:space="preserve">”) acquired by Dealer for the purpose of effecting a commercially reasonable hedge of its obligations pursuant to the Transaction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 customary agreement, in form and substance reasonably satisfactory to Dealer, substantially in the form of an underwriting agreement for a registered secondary offering for companies of a similar size in a similar industry, (B) provide accountant’s “comfort” letters in customary form for registered offerings of equity securities of companies of comparable size, maturity and line of business, (C) provide disclosure opinions of nationally recognized outside counsel to Counterparty reasonably acceptable to Dealer, (D) provide other customary opinions, certificates and closing documents customary in form for registered secondary offerings of equity securities for companies of a similar size in a similar industry and (E) afford Dealer a reasonable opportunity to conduct a “due diligence” investigation with respect to Counterparty customary in scope for underwritten offerings of equity securities subject to entering into confidentiality agreements customary for transactions of this type;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Counterparty elects clause (i) above but the items referred to therein are not completed in a timely manner, or if Dealer, in</w:t>
      </w:r>
      <w:r>
        <w:rPr>
          <w:rFonts w:ascii="Arial" w:cs="Arial" w:eastAsia="Arial" w:hAnsi="Arial"/>
          <w:sz w:val="16"/>
          <w:szCs w:val="16"/>
          <w:i w:val="1"/>
          <w:iCs w:val="1"/>
          <w:color w:val="auto"/>
        </w:rPr>
        <w:t xml:space="preserve"> </w:t>
      </w:r>
      <w:r>
        <w:rPr>
          <w:rFonts w:ascii="Arial" w:cs="Arial" w:eastAsia="Arial" w:hAnsi="Arial"/>
          <w:sz w:val="16"/>
          <w:szCs w:val="16"/>
          <w:color w:val="auto"/>
        </w:rPr>
        <w:t>its discretion, is not satisfied with access to due diligence materials, the results of its due diligence investigation, or the procedures and documentation for the registered offering referred to above, then clause (ii) or clause (iii) of this Section 9(n)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companies of comparable size, maturity and line of business,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obligations to use commercially reasonable efforts to obtain opinions and certificates and such other documentation as is customary for private placement agreements for private placements of equity securities of companies comparable in size, maturity and line of business, all commercially reasonably acceptable to Dealer (in which case, the Calculation Agent shall make any adjustments to the terms of the Transaction in a commercially reasonable manner that are necessary, in its commercially reasonable judgment, to compensate Dealer for any commercially reasonable discount from the public market price of the Shares incurred on the sale of Hedge Shares in a private placement); or (iii) purchase the Hedge Shares from Dealer at the Relevant Price on such Exchange Business Days, and in the amounts, requested by Dealer. This Section 9(n) shall survive the termination, expiration or early unwind of the Transaction.</w:t>
      </w:r>
    </w:p>
    <w:p>
      <w:pPr>
        <w:spacing w:after="0" w:line="292" w:lineRule="exact"/>
        <w:rPr>
          <w:rFonts w:ascii="Arial" w:cs="Arial" w:eastAsia="Arial" w:hAnsi="Arial"/>
          <w:sz w:val="16"/>
          <w:szCs w:val="16"/>
          <w:color w:val="auto"/>
        </w:rPr>
      </w:pPr>
    </w:p>
    <w:p>
      <w:pPr>
        <w:ind w:left="540" w:right="220" w:hanging="532"/>
        <w:spacing w:after="0" w:line="259" w:lineRule="auto"/>
        <w:tabs>
          <w:tab w:leader="none" w:pos="540" w:val="left"/>
        </w:tabs>
        <w:numPr>
          <w:ilvl w:val="0"/>
          <w:numId w:val="272"/>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92" w:lineRule="exact"/>
        <w:rPr>
          <w:rFonts w:ascii="Arial" w:cs="Arial" w:eastAsia="Arial" w:hAnsi="Arial"/>
          <w:sz w:val="18"/>
          <w:szCs w:val="18"/>
          <w:color w:val="auto"/>
        </w:rPr>
      </w:pPr>
    </w:p>
    <w:p>
      <w:pPr>
        <w:ind w:left="540" w:right="120" w:hanging="532"/>
        <w:spacing w:after="0" w:line="279" w:lineRule="auto"/>
        <w:tabs>
          <w:tab w:leader="none" w:pos="540" w:val="left"/>
        </w:tabs>
        <w:numPr>
          <w:ilvl w:val="0"/>
          <w:numId w:val="272"/>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Extend</w:t>
      </w:r>
      <w:r>
        <w:rPr>
          <w:rFonts w:ascii="Arial" w:cs="Arial" w:eastAsia="Arial" w:hAnsi="Arial"/>
          <w:sz w:val="17"/>
          <w:szCs w:val="17"/>
          <w:color w:val="auto"/>
        </w:rPr>
        <w:t>. Dealer may postpone or add, in whole or in part, any Valid Day or Valid Days during the Settlement Averaging Period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date of valuation, payment or delivery by Dealer, with respect to some or all of the Options hereunder, if Dealer reasonably determines, in its reasonable discretion, that such action is reasonably necessary or appropriate to preserve Dealer’s commercially reasonable hedging or hedge unwind activity hereunder in light of existing liquidity conditions in the</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80"/>
          </w:cols>
          <w:pgMar w:left="860" w:top="274" w:right="459" w:bottom="1440" w:gutter="0" w:footer="0" w:header="0"/>
        </w:sectPr>
      </w:pPr>
    </w:p>
    <w:bookmarkStart w:id="248" w:name="page249"/>
    <w:bookmarkEnd w:id="248"/>
    <w:p>
      <w:pPr>
        <w:ind w:left="56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cash market, the stock loan market or other relevant market or to enable Dealer to effect purchases of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requirements, policies and procedures relate to regulatory issues and are generally applicable in similar situations and are applied in a consistent manner to similar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Dealer have the right to so postpone or add any Valid Day(s) or any such other date beyond the 50th Valid Day immediately following the last Valid Day of the relevant Settlement Averaging Period (determined without regard to this Section 9(p).</w:t>
      </w:r>
    </w:p>
    <w:p>
      <w:pPr>
        <w:spacing w:after="0" w:line="72" w:lineRule="exact"/>
        <w:rPr>
          <w:sz w:val="20"/>
          <w:szCs w:val="20"/>
          <w:color w:val="auto"/>
        </w:rPr>
      </w:pPr>
    </w:p>
    <w:p>
      <w:pPr>
        <w:ind w:left="540" w:right="140" w:hanging="532"/>
        <w:spacing w:after="0" w:line="255"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i w:val="1"/>
          <w:iCs w:val="1"/>
          <w:u w:val="single" w:color="auto"/>
          <w:color w:val="auto"/>
        </w:rPr>
        <w:t>Status of Claims in Bankruptcy</w:t>
      </w:r>
      <w:r>
        <w:rPr>
          <w:rFonts w:ascii="Arial" w:cs="Arial" w:eastAsia="Arial" w:hAnsi="Arial"/>
          <w:sz w:val="18"/>
          <w:szCs w:val="18"/>
          <w:color w:val="auto"/>
        </w:rPr>
        <w:t>. Dealer acknowledges and agrees that this Confirmation is not intended to convey to Dealer rights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Counterparty with respect to the Transaction that are senior to the claims of common stockholders of Counterparty in any United States bankruptcy proceedings of Counterparty;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rights in respect of any transactions other than the Transaction.</w:t>
      </w:r>
    </w:p>
    <w:p>
      <w:pPr>
        <w:spacing w:after="0" w:line="97"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i w:val="1"/>
          <w:iCs w:val="1"/>
          <w:u w:val="single" w:color="auto"/>
          <w:color w:val="auto"/>
        </w:rPr>
        <w:t>Securities Contract</w:t>
      </w:r>
      <w:r>
        <w:rPr>
          <w:rFonts w:ascii="Arial" w:cs="Arial" w:eastAsia="Arial" w:hAnsi="Arial"/>
          <w:sz w:val="18"/>
          <w:szCs w:val="18"/>
          <w:color w:val="auto"/>
        </w:rPr>
        <w:t>. The parties hereto intend for (i) the Transaction to be a “securities contract” as defined in the Bankruptcy Code,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hereto to be entitled to the protections afforded by, among other Sections, Sections 362(b)(6), 546(e), and 555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97" w:lineRule="exact"/>
        <w:rPr>
          <w:rFonts w:ascii="Arial" w:cs="Arial" w:eastAsia="Arial" w:hAnsi="Arial"/>
          <w:sz w:val="18"/>
          <w:szCs w:val="18"/>
          <w:color w:val="auto"/>
        </w:rPr>
      </w:pPr>
    </w:p>
    <w:p>
      <w:pPr>
        <w:ind w:left="540" w:hanging="532"/>
        <w:spacing w:after="0"/>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Certain Other Events</w:t>
      </w:r>
      <w:r>
        <w:rPr>
          <w:rFonts w:ascii="Arial" w:cs="Arial" w:eastAsia="Arial" w:hAnsi="Arial"/>
          <w:sz w:val="18"/>
          <w:szCs w:val="18"/>
          <w:color w:val="auto"/>
        </w:rPr>
        <w:t>. Counterparty covenants and agrees that:</w:t>
      </w:r>
    </w:p>
    <w:p>
      <w:pPr>
        <w:spacing w:after="0" w:line="130" w:lineRule="exact"/>
        <w:rPr>
          <w:rFonts w:ascii="Arial" w:cs="Arial" w:eastAsia="Arial" w:hAnsi="Arial"/>
          <w:sz w:val="18"/>
          <w:szCs w:val="18"/>
          <w:color w:val="auto"/>
        </w:rPr>
      </w:pPr>
    </w:p>
    <w:p>
      <w:pPr>
        <w:ind w:left="1000" w:right="40" w:hanging="439"/>
        <w:spacing w:after="0" w:line="273" w:lineRule="auto"/>
        <w:tabs>
          <w:tab w:leader="none" w:pos="100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promptly following the public announcement of the results of any election by the holders of Shares with respect to the consideration due upon consummation of any Merger Event, Counterparty shall give Dealer written notice of (a) the weighted average of the types and amounts of consideration received by holders of Shares that affirmatively make such an election or (b) if no holders of Shares affirmatively make such an election, the types and amounts of consideration actually received by the holders of Shares (the date of such notification, the “</w:t>
      </w:r>
      <w:r>
        <w:rPr>
          <w:rFonts w:ascii="Arial" w:cs="Arial" w:eastAsia="Arial" w:hAnsi="Arial"/>
          <w:sz w:val="17"/>
          <w:szCs w:val="17"/>
          <w:b w:val="1"/>
          <w:bCs w:val="1"/>
          <w:color w:val="auto"/>
        </w:rPr>
        <w:t>Consideration Notification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Consideration Notification Date be later than the date on which such Merger Event is consummated; and</w:t>
      </w:r>
    </w:p>
    <w:p>
      <w:pPr>
        <w:spacing w:after="0" w:line="83" w:lineRule="exact"/>
        <w:rPr>
          <w:rFonts w:ascii="Arial" w:cs="Arial" w:eastAsia="Arial" w:hAnsi="Arial"/>
          <w:sz w:val="17"/>
          <w:szCs w:val="17"/>
          <w:color w:val="auto"/>
        </w:rPr>
      </w:pPr>
    </w:p>
    <w:p>
      <w:pPr>
        <w:ind w:left="1000" w:right="240" w:hanging="439"/>
        <w:spacing w:after="0" w:line="277" w:lineRule="auto"/>
        <w:tabs>
          <w:tab w:leader="none" w:pos="10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75" w:lineRule="exact"/>
        <w:rPr>
          <w:rFonts w:ascii="Arial" w:cs="Arial" w:eastAsia="Arial" w:hAnsi="Arial"/>
          <w:sz w:val="18"/>
          <w:szCs w:val="18"/>
          <w:color w:val="auto"/>
        </w:rPr>
      </w:pPr>
    </w:p>
    <w:p>
      <w:pPr>
        <w:ind w:left="540" w:right="120" w:hanging="532"/>
        <w:spacing w:after="0" w:line="270" w:lineRule="auto"/>
        <w:tabs>
          <w:tab w:leader="none" w:pos="540" w:val="left"/>
        </w:tabs>
        <w:numPr>
          <w:ilvl w:val="0"/>
          <w:numId w:val="273"/>
        </w:numPr>
        <w:rPr>
          <w:rFonts w:ascii="Arial" w:cs="Arial" w:eastAsia="Arial" w:hAnsi="Arial"/>
          <w:sz w:val="17"/>
          <w:szCs w:val="17"/>
          <w:color w:val="auto"/>
        </w:rPr>
      </w:pPr>
      <w:r>
        <w:rPr>
          <w:rFonts w:ascii="Arial" w:cs="Arial" w:eastAsia="Arial" w:hAnsi="Arial"/>
          <w:sz w:val="17"/>
          <w:szCs w:val="17"/>
          <w:i w:val="1"/>
          <w:iCs w:val="1"/>
          <w:u w:val="single" w:color="auto"/>
          <w:color w:val="auto"/>
        </w:rPr>
        <w:t>Wall Street Transparency and Accountability Act</w:t>
      </w:r>
      <w:r>
        <w:rPr>
          <w:rFonts w:ascii="Arial" w:cs="Arial" w:eastAsia="Arial" w:hAnsi="Arial"/>
          <w:sz w:val="17"/>
          <w:szCs w:val="17"/>
          <w:color w:val="auto"/>
        </w:rPr>
        <w:t>. In connection with Section 739 of the Wall Street Transparency and Accountability Act</w:t>
      </w:r>
      <w:r>
        <w:rPr>
          <w:rFonts w:ascii="Arial" w:cs="Arial" w:eastAsia="Arial" w:hAnsi="Arial"/>
          <w:sz w:val="17"/>
          <w:szCs w:val="17"/>
          <w:i w:val="1"/>
          <w:iCs w:val="1"/>
          <w:color w:val="auto"/>
        </w:rPr>
        <w:t xml:space="preserve"> </w:t>
      </w:r>
      <w:r>
        <w:rPr>
          <w:rFonts w:ascii="Arial" w:cs="Arial" w:eastAsia="Arial" w:hAnsi="Arial"/>
          <w:sz w:val="17"/>
          <w:szCs w:val="17"/>
          <w:color w:val="auto"/>
        </w:rPr>
        <w:t>of 2010 (“</w:t>
      </w:r>
      <w:r>
        <w:rPr>
          <w:rFonts w:ascii="Arial" w:cs="Arial" w:eastAsia="Arial" w:hAnsi="Arial"/>
          <w:sz w:val="17"/>
          <w:szCs w:val="17"/>
          <w:b w:val="1"/>
          <w:bCs w:val="1"/>
          <w:color w:val="auto"/>
        </w:rPr>
        <w:t>WSTAA</w:t>
      </w:r>
      <w:r>
        <w:rPr>
          <w:rFonts w:ascii="Arial" w:cs="Arial" w:eastAsia="Arial" w:hAnsi="Arial"/>
          <w:sz w:val="17"/>
          <w:szCs w:val="17"/>
          <w:color w:val="auto"/>
        </w:rPr>
        <w:t>”), the parties hereby agree that neither the enactment of WSTAA (or any statute containing any legal certainty provision similar to Section 739 of the WSTAA) or any regulation under the WSTAA (or any such statute), nor any requirement under WSTAA (or any statute containing any legal certainty provision similar to Section 739 of the WSTAA) or an amendment made by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60" w:top="274" w:right="459" w:bottom="1440" w:gutter="0" w:footer="0" w:header="0"/>
        </w:sectPr>
      </w:pPr>
    </w:p>
    <w:bookmarkStart w:id="249" w:name="page250"/>
    <w:bookmarkEnd w:id="249"/>
    <w:p>
      <w:pPr>
        <w:jc w:val="both"/>
        <w:ind w:left="964" w:right="20" w:hanging="532"/>
        <w:spacing w:after="0" w:line="287" w:lineRule="auto"/>
        <w:tabs>
          <w:tab w:leader="none" w:pos="964" w:val="left"/>
        </w:tabs>
        <w:numPr>
          <w:ilvl w:val="0"/>
          <w:numId w:val="274"/>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Agreements and Acknowledgements Regarding Hedging</w:t>
      </w:r>
      <w:r>
        <w:rPr>
          <w:rFonts w:ascii="Arial" w:cs="Arial" w:eastAsia="Arial" w:hAnsi="Arial"/>
          <w:sz w:val="16"/>
          <w:szCs w:val="16"/>
          <w:color w:val="auto"/>
        </w:rPr>
        <w:t>. Counterparty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Expiration Date, Dealer and its affiliates may buy or sell Shares or other securities or buy or sell options or futures contracts or enter into swaps or other derivative securities in order to adjust its commercially reasonable hedge position with respect to the Transaction;</w:t>
      </w:r>
    </w:p>
    <w:p>
      <w:pPr>
        <w:spacing w:after="0" w:line="2" w:lineRule="exact"/>
        <w:rPr>
          <w:rFonts w:ascii="Arial" w:cs="Arial" w:eastAsia="Arial" w:hAnsi="Arial"/>
          <w:sz w:val="16"/>
          <w:szCs w:val="16"/>
          <w:color w:val="auto"/>
        </w:rPr>
      </w:pPr>
    </w:p>
    <w:p>
      <w:pPr>
        <w:ind w:left="964" w:right="100"/>
        <w:spacing w:after="0" w:line="292" w:lineRule="auto"/>
        <w:rPr>
          <w:rFonts w:ascii="Arial" w:cs="Arial" w:eastAsia="Arial" w:hAnsi="Arial"/>
          <w:sz w:val="16"/>
          <w:szCs w:val="16"/>
          <w:color w:val="auto"/>
        </w:rPr>
      </w:pPr>
      <w:r>
        <w:rPr>
          <w:rFonts w:ascii="Arial" w:cs="Arial" w:eastAsia="Arial" w:hAnsi="Arial"/>
          <w:sz w:val="16"/>
          <w:szCs w:val="16"/>
          <w:color w:val="auto"/>
        </w:rPr>
        <w:t>(B)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67" w:lineRule="exact"/>
        <w:rPr>
          <w:rFonts w:ascii="Arial" w:cs="Arial" w:eastAsia="Arial" w:hAnsi="Arial"/>
          <w:sz w:val="16"/>
          <w:szCs w:val="16"/>
          <w:color w:val="auto"/>
        </w:rPr>
      </w:pPr>
    </w:p>
    <w:p>
      <w:pPr>
        <w:ind w:left="964" w:hanging="532"/>
        <w:spacing w:after="0" w:line="269" w:lineRule="auto"/>
        <w:tabs>
          <w:tab w:leader="none" w:pos="964" w:val="left"/>
        </w:tabs>
        <w:numPr>
          <w:ilvl w:val="0"/>
          <w:numId w:val="274"/>
        </w:numPr>
        <w:rPr>
          <w:rFonts w:ascii="Arial" w:cs="Arial" w:eastAsia="Arial" w:hAnsi="Arial"/>
          <w:sz w:val="17"/>
          <w:szCs w:val="17"/>
          <w:color w:val="auto"/>
        </w:rPr>
      </w:pPr>
      <w:r>
        <w:rPr>
          <w:rFonts w:ascii="Arial" w:cs="Arial" w:eastAsia="Arial" w:hAnsi="Arial"/>
          <w:sz w:val="17"/>
          <w:szCs w:val="17"/>
          <w:i w:val="1"/>
          <w:iCs w:val="1"/>
          <w:u w:val="single" w:color="auto"/>
          <w:color w:val="auto"/>
        </w:rPr>
        <w:t>Early Unwind</w:t>
      </w:r>
      <w:r>
        <w:rPr>
          <w:rFonts w:ascii="Arial" w:cs="Arial" w:eastAsia="Arial" w:hAnsi="Arial"/>
          <w:sz w:val="17"/>
          <w:szCs w:val="17"/>
          <w:color w:val="auto"/>
        </w:rPr>
        <w:t>. In the event the sale of the [“Firm Securities”]</w:t>
      </w:r>
      <w:r>
        <w:rPr>
          <w:rFonts w:ascii="Arial" w:cs="Arial" w:eastAsia="Arial" w:hAnsi="Arial"/>
          <w:sz w:val="14"/>
          <w:szCs w:val="14"/>
          <w:color w:val="auto"/>
        </w:rPr>
        <w:t>19</w:t>
      </w:r>
      <w:r>
        <w:rPr>
          <w:rFonts w:ascii="Arial" w:cs="Arial" w:eastAsia="Arial" w:hAnsi="Arial"/>
          <w:sz w:val="17"/>
          <w:szCs w:val="17"/>
          <w:color w:val="auto"/>
        </w:rPr>
        <w:t>[“Option Securities”]</w:t>
      </w:r>
      <w:r>
        <w:rPr>
          <w:rFonts w:ascii="Arial" w:cs="Arial" w:eastAsia="Arial" w:hAnsi="Arial"/>
          <w:sz w:val="14"/>
          <w:szCs w:val="14"/>
          <w:color w:val="auto"/>
        </w:rPr>
        <w:t>20</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in the Purchase Agreement) is not</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90" w:lineRule="exact"/>
        <w:rPr>
          <w:rFonts w:ascii="Arial" w:cs="Arial" w:eastAsia="Arial" w:hAnsi="Arial"/>
          <w:sz w:val="17"/>
          <w:szCs w:val="17"/>
          <w:color w:val="auto"/>
        </w:rPr>
      </w:pPr>
    </w:p>
    <w:p>
      <w:pPr>
        <w:ind w:left="964" w:hanging="532"/>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Tax Matters</w:t>
      </w:r>
      <w:r>
        <w:rPr>
          <w:rFonts w:ascii="Arial" w:cs="Arial" w:eastAsia="Arial" w:hAnsi="Arial"/>
          <w:sz w:val="18"/>
          <w:szCs w:val="18"/>
          <w:color w:val="auto"/>
        </w:rPr>
        <w:t>.</w:t>
      </w:r>
    </w:p>
    <w:p>
      <w:pPr>
        <w:spacing w:after="0" w:line="127" w:lineRule="exact"/>
        <w:rPr>
          <w:sz w:val="20"/>
          <w:szCs w:val="20"/>
          <w:color w:val="auto"/>
        </w:rPr>
      </w:pPr>
    </w:p>
    <w:p>
      <w:pPr>
        <w:ind w:left="1424" w:hanging="439"/>
        <w:spacing w:after="0"/>
        <w:tabs>
          <w:tab w:leader="none" w:pos="1424"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Payee Representations:</w:t>
      </w:r>
    </w:p>
    <w:p>
      <w:pPr>
        <w:spacing w:after="0" w:line="121"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For the purpose of Section 3(f) of this Agreement, Counterparty makes the following representation to Dealer:</w:t>
      </w:r>
    </w:p>
    <w:p>
      <w:pPr>
        <w:spacing w:after="0" w:line="117" w:lineRule="exact"/>
        <w:rPr>
          <w:rFonts w:ascii="Arial" w:cs="Arial" w:eastAsia="Arial" w:hAnsi="Arial"/>
          <w:sz w:val="18"/>
          <w:szCs w:val="18"/>
          <w:color w:val="auto"/>
        </w:rPr>
      </w:pPr>
    </w:p>
    <w:p>
      <w:pPr>
        <w:ind w:left="1424" w:right="220"/>
        <w:spacing w:after="0" w:line="397" w:lineRule="auto"/>
        <w:rPr>
          <w:rFonts w:ascii="Arial" w:cs="Arial" w:eastAsia="Arial" w:hAnsi="Arial"/>
          <w:sz w:val="18"/>
          <w:szCs w:val="18"/>
          <w:color w:val="auto"/>
        </w:rPr>
      </w:pPr>
      <w:r>
        <w:rPr>
          <w:rFonts w:ascii="Arial" w:cs="Arial" w:eastAsia="Arial" w:hAnsi="Arial"/>
          <w:sz w:val="17"/>
          <w:szCs w:val="17"/>
          <w:color w:val="auto"/>
        </w:rPr>
        <w:t>Counterparty is a corporation for U.S. tax purposes and a U.S. person (as that term is defined in Section 7701(a)(30) of the Code). For the purpose of Section 3(f) of this Agreement, Dealer makes the following representation to Counterparty:</w:t>
      </w:r>
    </w:p>
    <w:p>
      <w:pPr>
        <w:spacing w:after="0" w:line="1" w:lineRule="exact"/>
        <w:rPr>
          <w:rFonts w:ascii="Arial" w:cs="Arial" w:eastAsia="Arial" w:hAnsi="Arial"/>
          <w:sz w:val="18"/>
          <w:szCs w:val="18"/>
          <w:color w:val="auto"/>
        </w:rPr>
      </w:pPr>
    </w:p>
    <w:p>
      <w:pPr>
        <w:ind w:left="1424" w:right="160"/>
        <w:spacing w:after="0" w:line="263" w:lineRule="auto"/>
        <w:rPr>
          <w:rFonts w:ascii="Arial" w:cs="Arial" w:eastAsia="Arial" w:hAnsi="Arial"/>
          <w:sz w:val="18"/>
          <w:szCs w:val="18"/>
          <w:color w:val="auto"/>
        </w:rPr>
      </w:pPr>
      <w:r>
        <w:rPr>
          <w:rFonts w:ascii="Arial" w:cs="Arial" w:eastAsia="Arial" w:hAnsi="Arial"/>
          <w:sz w:val="18"/>
          <w:szCs w:val="18"/>
          <w:color w:val="auto"/>
        </w:rPr>
        <w:t>[It is a national banking association organized and existing under the laws of the United States of America, and its federal taxpayer identification number is [ ].]/ [It is a “U.S. person” (as that term is used in Section 1.1441-4(a)(3)(ii) of the United States Treasury Regulations) for U.S. federal income tax purposes.]</w:t>
      </w:r>
      <w:r>
        <w:rPr>
          <w:rFonts w:ascii="Arial" w:cs="Arial" w:eastAsia="Arial" w:hAnsi="Arial"/>
          <w:sz w:val="15"/>
          <w:szCs w:val="15"/>
          <w:color w:val="auto"/>
        </w:rPr>
        <w:t>21</w:t>
      </w:r>
    </w:p>
    <w:p>
      <w:pPr>
        <w:spacing w:after="0" w:line="89" w:lineRule="exact"/>
        <w:rPr>
          <w:rFonts w:ascii="Arial" w:cs="Arial" w:eastAsia="Arial" w:hAnsi="Arial"/>
          <w:sz w:val="18"/>
          <w:szCs w:val="18"/>
          <w:color w:val="auto"/>
        </w:rPr>
      </w:pPr>
    </w:p>
    <w:p>
      <w:pPr>
        <w:ind w:left="1424" w:right="80" w:hanging="439"/>
        <w:spacing w:after="0" w:line="279" w:lineRule="auto"/>
        <w:tabs>
          <w:tab w:leader="none" w:pos="1424" w:val="left"/>
        </w:tabs>
        <w:numPr>
          <w:ilvl w:val="0"/>
          <w:numId w:val="275"/>
        </w:numPr>
        <w:rPr>
          <w:rFonts w:ascii="Arial" w:cs="Arial" w:eastAsia="Arial" w:hAnsi="Arial"/>
          <w:sz w:val="17"/>
          <w:szCs w:val="17"/>
          <w:color w:val="auto"/>
        </w:rPr>
      </w:pPr>
      <w:r>
        <w:rPr>
          <w:rFonts w:ascii="Arial" w:cs="Arial" w:eastAsia="Arial" w:hAnsi="Arial"/>
          <w:sz w:val="17"/>
          <w:szCs w:val="17"/>
          <w:i w:val="1"/>
          <w:iCs w:val="1"/>
          <w:color w:val="auto"/>
        </w:rPr>
        <w:t xml:space="preserve">Tax Documentation. </w:t>
      </w:r>
      <w:r>
        <w:rPr>
          <w:rFonts w:ascii="Arial" w:cs="Arial" w:eastAsia="Arial" w:hAnsi="Arial"/>
          <w:sz w:val="17"/>
          <w:szCs w:val="17"/>
          <w:color w:val="auto"/>
        </w:rPr>
        <w:t>Each party shall provide to the other party a valid United States Internal Revenue Service Form W-9 (or</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thereto), (i) on or before the date of execution of this Confirmation and (ii) promptly upon learning that any such tax form previously provided by it has become obsolete or incorrect. Additionally, each party shall, promptly upon request by the other party, provide such other tax forms and documents reasonably requested by the other party.</w:t>
      </w:r>
    </w:p>
    <w:p>
      <w:pPr>
        <w:spacing w:after="0" w:line="76" w:lineRule="exact"/>
        <w:rPr>
          <w:rFonts w:ascii="Arial" w:cs="Arial" w:eastAsia="Arial" w:hAnsi="Arial"/>
          <w:sz w:val="17"/>
          <w:szCs w:val="17"/>
          <w:color w:val="auto"/>
        </w:rPr>
      </w:pPr>
    </w:p>
    <w:p>
      <w:pPr>
        <w:ind w:left="1424" w:right="400" w:hanging="439"/>
        <w:spacing w:after="0" w:line="263" w:lineRule="auto"/>
        <w:tabs>
          <w:tab w:leader="none" w:pos="1424"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Withholding Tax imposed on payments to non-US counterparties under the United States Foreign Account Tax Compliance Act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“Indemnifiable Tax” as defined in Section 14 of the Agreement, shall not include any U.S. federal withholding tax imposed or collected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7715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24" w:hanging="424"/>
        <w:spacing w:after="0"/>
        <w:tabs>
          <w:tab w:leader="none" w:pos="424" w:val="left"/>
        </w:tabs>
        <w:numPr>
          <w:ilvl w:val="0"/>
          <w:numId w:val="276"/>
        </w:numPr>
        <w:rPr>
          <w:rFonts w:ascii="Arial" w:cs="Arial" w:eastAsia="Arial" w:hAnsi="Arial"/>
          <w:sz w:val="15"/>
          <w:szCs w:val="15"/>
          <w:color w:val="auto"/>
        </w:rPr>
      </w:pPr>
      <w:r>
        <w:rPr>
          <w:rFonts w:ascii="Arial" w:cs="Arial" w:eastAsia="Arial" w:hAnsi="Arial"/>
          <w:sz w:val="18"/>
          <w:szCs w:val="18"/>
          <w:color w:val="auto"/>
        </w:rPr>
        <w:t>Insert for Base Call Option Confirmation.</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276"/>
        </w:numPr>
        <w:rPr>
          <w:rFonts w:ascii="Arial" w:cs="Arial" w:eastAsia="Arial" w:hAnsi="Arial"/>
          <w:sz w:val="15"/>
          <w:szCs w:val="15"/>
          <w:color w:val="auto"/>
        </w:rPr>
      </w:pPr>
      <w:r>
        <w:rPr>
          <w:rFonts w:ascii="Arial" w:cs="Arial" w:eastAsia="Arial" w:hAnsi="Arial"/>
          <w:sz w:val="18"/>
          <w:szCs w:val="18"/>
          <w:color w:val="auto"/>
        </w:rPr>
        <w:t>Insert for Additional Call Option Confirmation.</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276"/>
        </w:numPr>
        <w:rPr>
          <w:rFonts w:ascii="Arial" w:cs="Arial" w:eastAsia="Arial" w:hAnsi="Arial"/>
          <w:sz w:val="15"/>
          <w:szCs w:val="15"/>
          <w:color w:val="auto"/>
        </w:rPr>
      </w:pPr>
      <w:r>
        <w:rPr>
          <w:rFonts w:ascii="Arial" w:cs="Arial" w:eastAsia="Arial" w:hAnsi="Arial"/>
          <w:sz w:val="18"/>
          <w:szCs w:val="18"/>
          <w:color w:val="auto"/>
        </w:rPr>
        <w:t>Insert as applicable.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50" w:name="page251"/>
    <w:bookmarkEnd w:id="250"/>
    <w:p>
      <w:pPr>
        <w:ind w:left="1424"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w:t>
      </w:r>
      <w:r>
        <w:rPr>
          <w:rFonts w:ascii="Arial" w:cs="Arial" w:eastAsia="Arial" w:hAnsi="Arial"/>
          <w:sz w:val="17"/>
          <w:szCs w:val="17"/>
          <w:color w:val="auto"/>
        </w:rPr>
        <w:t xml:space="preserve"> </w:t>
      </w:r>
      <w:r>
        <w:rPr>
          <w:rFonts w:ascii="Arial" w:cs="Arial" w:eastAsia="Arial" w:hAnsi="Arial"/>
          <w:sz w:val="17"/>
          <w:szCs w:val="17"/>
          <w:b w:val="1"/>
          <w:bCs w:val="1"/>
          <w:color w:val="auto"/>
        </w:rPr>
        <w:t>Withholding Tax</w:t>
      </w:r>
      <w:r>
        <w:rPr>
          <w:rFonts w:ascii="Arial" w:cs="Arial" w:eastAsia="Arial" w:hAnsi="Arial"/>
          <w:sz w:val="17"/>
          <w:szCs w:val="17"/>
          <w:color w:val="auto"/>
        </w:rPr>
        <w:t>”). For the avoidance of doubt, a FATCA Withholding Tax is a Tax the deduction or withholding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applicable law for the purposes of Section 2(d) of the Agreement.</w:t>
      </w:r>
    </w:p>
    <w:p>
      <w:pPr>
        <w:spacing w:after="0" w:line="82" w:lineRule="exact"/>
        <w:rPr>
          <w:sz w:val="20"/>
          <w:szCs w:val="20"/>
          <w:color w:val="auto"/>
        </w:rPr>
      </w:pPr>
    </w:p>
    <w:p>
      <w:pPr>
        <w:ind w:left="1424" w:hanging="439"/>
        <w:spacing w:after="0" w:line="342" w:lineRule="auto"/>
        <w:tabs>
          <w:tab w:leader="none" w:pos="1424"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HIRE Act. </w:t>
      </w:r>
      <w:r>
        <w:rPr>
          <w:rFonts w:ascii="Arial" w:cs="Arial" w:eastAsia="Arial" w:hAnsi="Arial"/>
          <w:sz w:val="16"/>
          <w:szCs w:val="16"/>
          <w:color w:val="auto"/>
        </w:rPr>
        <w:t>“Indemnifiable Tax”, as defined in Section 14 of the Agreement, shall not include any tax imposed on payments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from sources within the United States under Section 871(m) of the Code or any regulations issued thereunder.]</w:t>
      </w:r>
      <w:r>
        <w:rPr>
          <w:rFonts w:ascii="Arial" w:cs="Arial" w:eastAsia="Arial" w:hAnsi="Arial"/>
          <w:sz w:val="13"/>
          <w:szCs w:val="13"/>
          <w:color w:val="auto"/>
        </w:rPr>
        <w:t>22</w:t>
      </w:r>
    </w:p>
    <w:p>
      <w:pPr>
        <w:spacing w:after="0" w:line="29" w:lineRule="exact"/>
        <w:rPr>
          <w:rFonts w:ascii="Arial" w:cs="Arial" w:eastAsia="Arial" w:hAnsi="Arial"/>
          <w:sz w:val="16"/>
          <w:szCs w:val="16"/>
          <w:color w:val="auto"/>
        </w:rPr>
      </w:pPr>
    </w:p>
    <w:p>
      <w:pPr>
        <w:ind w:left="964" w:right="100" w:hanging="532"/>
        <w:spacing w:after="0" w:line="259" w:lineRule="auto"/>
        <w:tabs>
          <w:tab w:leader="none" w:pos="964" w:val="left"/>
        </w:tabs>
        <w:numPr>
          <w:ilvl w:val="0"/>
          <w:numId w:val="278"/>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 by Counterparty</w:t>
      </w:r>
      <w:r>
        <w:rPr>
          <w:rFonts w:ascii="Arial" w:cs="Arial" w:eastAsia="Arial" w:hAnsi="Arial"/>
          <w:sz w:val="18"/>
          <w:szCs w:val="18"/>
          <w:color w:val="auto"/>
        </w:rPr>
        <w:t>. In the event that, following payment of the Premium, an Early Termination Date occurs or is designated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such amount shall be deemed to be zero.</w:t>
      </w:r>
    </w:p>
    <w:p>
      <w:pPr>
        <w:spacing w:after="0" w:line="88" w:lineRule="exact"/>
        <w:rPr>
          <w:rFonts w:ascii="Arial" w:cs="Arial" w:eastAsia="Arial" w:hAnsi="Arial"/>
          <w:sz w:val="18"/>
          <w:szCs w:val="18"/>
          <w:color w:val="auto"/>
        </w:rPr>
      </w:pPr>
    </w:p>
    <w:p>
      <w:pPr>
        <w:ind w:left="964" w:hanging="532"/>
        <w:spacing w:after="0"/>
        <w:tabs>
          <w:tab w:leader="none" w:pos="964" w:val="left"/>
        </w:tabs>
        <w:numPr>
          <w:ilvl w:val="0"/>
          <w:numId w:val="278"/>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ind w:left="964" w:right="14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THE NEW YORK GENERAL OBLIGATIONS LAW).</w:t>
      </w:r>
    </w:p>
    <w:p>
      <w:pPr>
        <w:spacing w:after="0" w:line="9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278"/>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w:t>
      </w:r>
      <w:r>
        <w:rPr>
          <w:rFonts w:ascii="Arial" w:cs="Arial" w:eastAsia="Arial" w:hAnsi="Arial"/>
          <w:sz w:val="18"/>
          <w:szCs w:val="18"/>
          <w:color w:val="auto"/>
        </w:rPr>
        <w:t>. 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Counterparty and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279"/>
        </w:numPr>
        <w:rPr>
          <w:rFonts w:ascii="Arial" w:cs="Arial" w:eastAsia="Arial" w:hAnsi="Arial"/>
          <w:sz w:val="15"/>
          <w:szCs w:val="15"/>
          <w:color w:val="auto"/>
        </w:rPr>
      </w:pPr>
      <w:r>
        <w:rPr>
          <w:rFonts w:ascii="Arial" w:cs="Arial" w:eastAsia="Arial" w:hAnsi="Arial"/>
          <w:sz w:val="18"/>
          <w:szCs w:val="18"/>
          <w:color w:val="auto"/>
        </w:rPr>
        <w:t>NTD: Subject to review by WSGR tax.</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251" w:name="page252"/>
    <w:bookmarkEnd w:id="251"/>
    <w:p>
      <w:pPr>
        <w:ind w:left="960" w:right="420" w:hanging="532"/>
        <w:spacing w:after="0" w:line="277" w:lineRule="auto"/>
        <w:tabs>
          <w:tab w:leader="none" w:pos="960" w:val="left"/>
        </w:tabs>
        <w:numPr>
          <w:ilvl w:val="0"/>
          <w:numId w:val="280"/>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ind w:left="6800"/>
        <w:spacing w:after="0"/>
        <w:tabs>
          <w:tab w:leader="none" w:pos="7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[Base][Additional] Bond Hedge Confirmation]</w:t>
      </w:r>
    </w:p>
    <w:p>
      <w:pPr>
        <w:sectPr>
          <w:pgSz w:w="11900" w:h="16838" w:orient="portrait"/>
          <w:cols w:equalWidth="0" w:num="1">
            <w:col w:w="11000"/>
          </w:cols>
          <w:pgMar w:left="440" w:top="274" w:right="459" w:bottom="1440" w:gutter="0" w:footer="0" w:header="0"/>
        </w:sectPr>
      </w:pPr>
    </w:p>
    <w:bookmarkStart w:id="252" w:name="page253"/>
    <w:bookmarkEnd w:id="252"/>
    <w:tbl>
      <w:tblPr>
        <w:tblLayout w:type="fixed"/>
        <w:tblInd w:w="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Exhibit 10.3</w:t>
            </w:r>
          </w:p>
        </w:tc>
      </w:tr>
      <w:tr>
        <w:trPr>
          <w:trHeight w:val="418"/>
        </w:trPr>
        <w:tc>
          <w:tcPr>
            <w:tcW w:w="1740" w:type="dxa"/>
            <w:vAlign w:val="bottom"/>
            <w:gridSpan w:val="2"/>
          </w:tcPr>
          <w:p>
            <w:pPr>
              <w:spacing w:after="0"/>
              <w:rPr>
                <w:sz w:val="20"/>
                <w:szCs w:val="20"/>
                <w:color w:val="auto"/>
              </w:rPr>
            </w:pPr>
            <w:r>
              <w:rPr>
                <w:rFonts w:ascii="Arial" w:cs="Arial" w:eastAsia="Arial" w:hAnsi="Arial"/>
                <w:sz w:val="18"/>
                <w:szCs w:val="18"/>
                <w:color w:val="auto"/>
              </w:rPr>
              <w:t>[Dealer Name]</w:t>
            </w:r>
          </w:p>
        </w:tc>
        <w:tc>
          <w:tcPr>
            <w:tcW w:w="8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[Dealer Address]</w:t>
            </w:r>
          </w:p>
        </w:tc>
        <w:tc>
          <w:tcPr>
            <w:tcW w:w="8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445"/>
        </w:trPr>
        <w:tc>
          <w:tcPr>
            <w:tcW w:w="1740" w:type="dxa"/>
            <w:vAlign w:val="bottom"/>
            <w:gridSpan w:val="2"/>
          </w:tcPr>
          <w:p>
            <w:pPr>
              <w:spacing w:after="0"/>
              <w:rPr>
                <w:sz w:val="20"/>
                <w:szCs w:val="20"/>
                <w:color w:val="auto"/>
              </w:rPr>
            </w:pPr>
            <w:r>
              <w:rPr>
                <w:rFonts w:ascii="Arial" w:cs="Arial" w:eastAsia="Arial" w:hAnsi="Arial"/>
                <w:sz w:val="18"/>
                <w:szCs w:val="18"/>
                <w:color w:val="auto"/>
              </w:rPr>
              <w:t>To:  Dropbox, Inc.</w:t>
            </w:r>
          </w:p>
        </w:tc>
        <w:tc>
          <w:tcPr>
            <w:tcW w:w="8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0020" w:type="dxa"/>
            <w:vAlign w:val="bottom"/>
            <w:gridSpan w:val="3"/>
          </w:tcPr>
          <w:p>
            <w:pPr>
              <w:ind w:left="440"/>
              <w:spacing w:after="0"/>
              <w:rPr>
                <w:sz w:val="20"/>
                <w:szCs w:val="20"/>
                <w:color w:val="auto"/>
              </w:rPr>
            </w:pPr>
            <w:r>
              <w:rPr>
                <w:rFonts w:ascii="Arial" w:cs="Arial" w:eastAsia="Arial" w:hAnsi="Arial"/>
                <w:sz w:val="18"/>
                <w:szCs w:val="18"/>
                <w:color w:val="auto"/>
              </w:rPr>
              <w:t>1800 Owens Street</w:t>
            </w:r>
          </w:p>
        </w:tc>
        <w:tc>
          <w:tcPr>
            <w:tcW w:w="1000" w:type="dxa"/>
            <w:vAlign w:val="bottom"/>
          </w:tcPr>
          <w:p>
            <w:pPr>
              <w:spacing w:after="0"/>
              <w:rPr>
                <w:sz w:val="18"/>
                <w:szCs w:val="18"/>
                <w:color w:val="auto"/>
              </w:rPr>
            </w:pPr>
          </w:p>
        </w:tc>
      </w:tr>
      <w:tr>
        <w:trPr>
          <w:trHeight w:val="216"/>
        </w:trPr>
        <w:tc>
          <w:tcPr>
            <w:tcW w:w="10020" w:type="dxa"/>
            <w:vAlign w:val="bottom"/>
            <w:gridSpan w:val="3"/>
          </w:tcPr>
          <w:p>
            <w:pPr>
              <w:ind w:left="440"/>
              <w:spacing w:after="0"/>
              <w:rPr>
                <w:sz w:val="20"/>
                <w:szCs w:val="20"/>
                <w:color w:val="auto"/>
              </w:rPr>
            </w:pPr>
            <w:r>
              <w:rPr>
                <w:rFonts w:ascii="Arial" w:cs="Arial" w:eastAsia="Arial" w:hAnsi="Arial"/>
                <w:sz w:val="18"/>
                <w:szCs w:val="18"/>
                <w:color w:val="auto"/>
              </w:rPr>
              <w:t>San Francisco, California 94158</w:t>
            </w:r>
          </w:p>
        </w:tc>
        <w:tc>
          <w:tcPr>
            <w:tcW w:w="1000" w:type="dxa"/>
            <w:vAlign w:val="bottom"/>
          </w:tcPr>
          <w:p>
            <w:pPr>
              <w:spacing w:after="0"/>
              <w:rPr>
                <w:sz w:val="18"/>
                <w:szCs w:val="18"/>
                <w:color w:val="auto"/>
              </w:rPr>
            </w:pPr>
          </w:p>
        </w:tc>
      </w:tr>
      <w:tr>
        <w:trPr>
          <w:trHeight w:val="216"/>
        </w:trPr>
        <w:tc>
          <w:tcPr>
            <w:tcW w:w="1740" w:type="dxa"/>
            <w:vAlign w:val="bottom"/>
            <w:gridSpan w:val="2"/>
          </w:tcPr>
          <w:p>
            <w:pPr>
              <w:ind w:left="440"/>
              <w:spacing w:after="0"/>
              <w:rPr>
                <w:sz w:val="20"/>
                <w:szCs w:val="20"/>
                <w:color w:val="auto"/>
              </w:rPr>
            </w:pPr>
            <w:r>
              <w:rPr>
                <w:rFonts w:ascii="Arial" w:cs="Arial" w:eastAsia="Arial" w:hAnsi="Arial"/>
                <w:sz w:val="18"/>
                <w:szCs w:val="18"/>
                <w:color w:val="auto"/>
              </w:rPr>
              <w:t>(415) 857-6800</w:t>
            </w:r>
          </w:p>
        </w:tc>
        <w:tc>
          <w:tcPr>
            <w:tcW w:w="8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0"/>
        </w:trPr>
        <w:tc>
          <w:tcPr>
            <w:tcW w:w="1740" w:type="dxa"/>
            <w:vAlign w:val="bottom"/>
            <w:gridSpan w:val="2"/>
          </w:tcPr>
          <w:p>
            <w:pPr>
              <w:ind w:left="440"/>
              <w:spacing w:after="0" w:line="190" w:lineRule="exact"/>
              <w:rPr>
                <w:sz w:val="20"/>
                <w:szCs w:val="20"/>
                <w:color w:val="auto"/>
              </w:rPr>
            </w:pPr>
            <w:r>
              <w:rPr>
                <w:rFonts w:ascii="Arial" w:cs="Arial" w:eastAsia="Arial" w:hAnsi="Arial"/>
                <w:sz w:val="18"/>
                <w:szCs w:val="18"/>
                <w:color w:val="auto"/>
              </w:rPr>
              <w:t>Email: [</w:t>
            </w:r>
          </w:p>
        </w:tc>
        <w:tc>
          <w:tcPr>
            <w:tcW w:w="8280" w:type="dxa"/>
            <w:vAlign w:val="bottom"/>
          </w:tcPr>
          <w:p>
            <w:pPr>
              <w:jc w:val="right"/>
              <w:ind w:right="8130"/>
              <w:spacing w:after="0" w:line="190" w:lineRule="exact"/>
              <w:rPr>
                <w:sz w:val="20"/>
                <w:szCs w:val="20"/>
                <w:color w:val="auto"/>
              </w:rPr>
            </w:pPr>
            <w:r>
              <w:rPr>
                <w:rFonts w:ascii="Arial" w:cs="Arial" w:eastAsia="Arial" w:hAnsi="Arial"/>
                <w:sz w:val="18"/>
                <w:szCs w:val="18"/>
                <w:color w:val="auto"/>
                <w:w w:val="78"/>
              </w:rPr>
              <w:t>]</w:t>
            </w:r>
          </w:p>
        </w:tc>
        <w:tc>
          <w:tcPr>
            <w:tcW w:w="10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5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[Base][Additional] Call Option Transaction</w:t>
      </w:r>
    </w:p>
    <w:p>
      <w:pPr>
        <w:spacing w:after="0" w:line="221" w:lineRule="exact"/>
        <w:rPr>
          <w:sz w:val="20"/>
          <w:szCs w:val="20"/>
          <w:color w:val="auto"/>
        </w:rPr>
      </w:pPr>
    </w:p>
    <w:p>
      <w:pPr>
        <w:ind w:left="4" w:right="240" w:firstLine="440"/>
        <w:spacing w:after="0" w:line="298" w:lineRule="auto"/>
        <w:rPr>
          <w:sz w:val="20"/>
          <w:szCs w:val="20"/>
          <w:color w:val="auto"/>
        </w:rPr>
      </w:pPr>
      <w:r>
        <w:rPr>
          <w:rFonts w:ascii="Arial" w:cs="Arial" w:eastAsia="Arial" w:hAnsi="Arial"/>
          <w:sz w:val="16"/>
          <w:szCs w:val="16"/>
          <w:color w:val="auto"/>
        </w:rPr>
        <w:t>The purpose of this letter agreement (this “</w:t>
      </w:r>
      <w:r>
        <w:rPr>
          <w:rFonts w:ascii="Arial" w:cs="Arial" w:eastAsia="Arial" w:hAnsi="Arial"/>
          <w:sz w:val="16"/>
          <w:szCs w:val="16"/>
          <w:b w:val="1"/>
          <w:bCs w:val="1"/>
          <w:color w:val="auto"/>
        </w:rPr>
        <w:t>Confirmation</w:t>
      </w:r>
      <w:r>
        <w:rPr>
          <w:rFonts w:ascii="Arial" w:cs="Arial" w:eastAsia="Arial" w:hAnsi="Arial"/>
          <w:sz w:val="16"/>
          <w:szCs w:val="16"/>
          <w:color w:val="auto"/>
        </w:rPr>
        <w:t>”) is to confirm the terms and conditions of the call option transaction entered into between [___] (“</w:t>
      </w:r>
      <w:r>
        <w:rPr>
          <w:rFonts w:ascii="Arial" w:cs="Arial" w:eastAsia="Arial" w:hAnsi="Arial"/>
          <w:sz w:val="16"/>
          <w:szCs w:val="16"/>
          <w:b w:val="1"/>
          <w:bCs w:val="1"/>
          <w:color w:val="auto"/>
        </w:rPr>
        <w:t>Dealer</w:t>
      </w:r>
      <w:r>
        <w:rPr>
          <w:rFonts w:ascii="Arial" w:cs="Arial" w:eastAsia="Arial" w:hAnsi="Arial"/>
          <w:sz w:val="16"/>
          <w:szCs w:val="16"/>
          <w:color w:val="auto"/>
        </w:rPr>
        <w:t>”) and Dropbox, Inc. (“</w:t>
      </w:r>
      <w:r>
        <w:rPr>
          <w:rFonts w:ascii="Arial" w:cs="Arial" w:eastAsia="Arial" w:hAnsi="Arial"/>
          <w:sz w:val="16"/>
          <w:szCs w:val="16"/>
          <w:b w:val="1"/>
          <w:bCs w:val="1"/>
          <w:color w:val="auto"/>
        </w:rPr>
        <w:t>Counterparty</w:t>
      </w:r>
      <w:r>
        <w:rPr>
          <w:rFonts w:ascii="Arial" w:cs="Arial" w:eastAsia="Arial" w:hAnsi="Arial"/>
          <w:sz w:val="16"/>
          <w:szCs w:val="16"/>
          <w:color w:val="auto"/>
        </w:rPr>
        <w:t>”) as of the Trade Date specified below (the “</w:t>
      </w:r>
      <w:r>
        <w:rPr>
          <w:rFonts w:ascii="Arial" w:cs="Arial" w:eastAsia="Arial" w:hAnsi="Arial"/>
          <w:sz w:val="16"/>
          <w:szCs w:val="16"/>
          <w:b w:val="1"/>
          <w:bCs w:val="1"/>
          <w:color w:val="auto"/>
        </w:rPr>
        <w:t>Transaction</w:t>
      </w:r>
      <w:r>
        <w:rPr>
          <w:rFonts w:ascii="Arial" w:cs="Arial" w:eastAsia="Arial" w:hAnsi="Arial"/>
          <w:sz w:val="16"/>
          <w:szCs w:val="16"/>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54"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The definitions and provisions contained in the 2002 ISDA Equity Derivatives Definitions (the “</w:t>
      </w:r>
      <w:r>
        <w:rPr>
          <w:rFonts w:ascii="Arial" w:cs="Arial" w:eastAsia="Arial" w:hAnsi="Arial"/>
          <w:sz w:val="16"/>
          <w:szCs w:val="16"/>
          <w:b w:val="1"/>
          <w:bCs w:val="1"/>
          <w:color w:val="auto"/>
        </w:rPr>
        <w:t>Equity Definitions</w:t>
      </w:r>
      <w:r>
        <w:rPr>
          <w:rFonts w:ascii="Arial" w:cs="Arial" w:eastAsia="Arial" w:hAnsi="Arial"/>
          <w:sz w:val="16"/>
          <w:szCs w:val="16"/>
          <w:color w:val="auto"/>
        </w:rPr>
        <w:t>”), as published by the International Swaps and Derivatives Association, Inc. (“</w:t>
      </w:r>
      <w:r>
        <w:rPr>
          <w:rFonts w:ascii="Arial" w:cs="Arial" w:eastAsia="Arial" w:hAnsi="Arial"/>
          <w:sz w:val="16"/>
          <w:szCs w:val="16"/>
          <w:b w:val="1"/>
          <w:bCs w:val="1"/>
          <w:color w:val="auto"/>
        </w:rPr>
        <w:t>ISDA</w:t>
      </w:r>
      <w:r>
        <w:rPr>
          <w:rFonts w:ascii="Arial" w:cs="Arial" w:eastAsia="Arial" w:hAnsi="Arial"/>
          <w:sz w:val="16"/>
          <w:szCs w:val="16"/>
          <w:color w:val="auto"/>
        </w:rPr>
        <w:t>”) are incorporated into this Confirmation. In the event of any inconsistency between the Equity Definitions and this Confirmation, this Confirmation shall govern. Certain terms used herein are based on terms that are defined in the Offering Memorandum dated [•], 2021 (the “</w:t>
      </w:r>
      <w:r>
        <w:rPr>
          <w:rFonts w:ascii="Arial" w:cs="Arial" w:eastAsia="Arial" w:hAnsi="Arial"/>
          <w:sz w:val="16"/>
          <w:szCs w:val="16"/>
          <w:b w:val="1"/>
          <w:bCs w:val="1"/>
          <w:color w:val="auto"/>
        </w:rPr>
        <w:t>Offering Memorandum</w:t>
      </w:r>
      <w:r>
        <w:rPr>
          <w:rFonts w:ascii="Arial" w:cs="Arial" w:eastAsia="Arial" w:hAnsi="Arial"/>
          <w:sz w:val="16"/>
          <w:szCs w:val="16"/>
          <w:color w:val="auto"/>
        </w:rPr>
        <w:t>”) relating to the Convertible Senior Notes due 2028 (as originally issued by Counterparty, the “</w:t>
      </w:r>
      <w:r>
        <w:rPr>
          <w:rFonts w:ascii="Arial" w:cs="Arial" w:eastAsia="Arial" w:hAnsi="Arial"/>
          <w:sz w:val="16"/>
          <w:szCs w:val="16"/>
          <w:b w:val="1"/>
          <w:bCs w:val="1"/>
          <w:color w:val="auto"/>
        </w:rPr>
        <w:t>Convertible Notes</w:t>
      </w:r>
      <w:r>
        <w:rPr>
          <w:rFonts w:ascii="Arial" w:cs="Arial" w:eastAsia="Arial" w:hAnsi="Arial"/>
          <w:sz w:val="16"/>
          <w:szCs w:val="16"/>
          <w:color w:val="auto"/>
        </w:rPr>
        <w:t>” and each USD 1,000 principal amount of Convertible Notes, a “</w:t>
      </w:r>
      <w:r>
        <w:rPr>
          <w:rFonts w:ascii="Arial" w:cs="Arial" w:eastAsia="Arial" w:hAnsi="Arial"/>
          <w:sz w:val="16"/>
          <w:szCs w:val="16"/>
          <w:b w:val="1"/>
          <w:bCs w:val="1"/>
          <w:color w:val="auto"/>
        </w:rPr>
        <w:t>Convertible Note</w:t>
      </w:r>
      <w:r>
        <w:rPr>
          <w:rFonts w:ascii="Arial" w:cs="Arial" w:eastAsia="Arial" w:hAnsi="Arial"/>
          <w:sz w:val="16"/>
          <w:szCs w:val="16"/>
          <w:color w:val="auto"/>
        </w:rPr>
        <w:t>”) issued by Counterparty in an aggregate initial principal amount of USD [•] (as increased by [up to]</w:t>
      </w:r>
      <w:r>
        <w:rPr>
          <w:rFonts w:ascii="Arial" w:cs="Arial" w:eastAsia="Arial" w:hAnsi="Arial"/>
          <w:sz w:val="13"/>
          <w:szCs w:val="13"/>
          <w:color w:val="auto"/>
        </w:rPr>
        <w:t>1</w:t>
      </w:r>
      <w:r>
        <w:rPr>
          <w:rFonts w:ascii="Arial" w:cs="Arial" w:eastAsia="Arial" w:hAnsi="Arial"/>
          <w:sz w:val="16"/>
          <w:szCs w:val="16"/>
          <w:color w:val="auto"/>
        </w:rPr>
        <w:t xml:space="preserve"> an aggregate principal amount of USD [•] [if and to the extent that]</w:t>
      </w:r>
      <w:r>
        <w:rPr>
          <w:rFonts w:ascii="Arial" w:cs="Arial" w:eastAsia="Arial" w:hAnsi="Arial"/>
          <w:sz w:val="13"/>
          <w:szCs w:val="13"/>
          <w:color w:val="auto"/>
        </w:rPr>
        <w:t>2</w:t>
      </w:r>
      <w:r>
        <w:rPr>
          <w:rFonts w:ascii="Arial" w:cs="Arial" w:eastAsia="Arial" w:hAnsi="Arial"/>
          <w:sz w:val="16"/>
          <w:szCs w:val="16"/>
          <w:color w:val="auto"/>
        </w:rPr>
        <w:t>[pursuant to the exercise by]</w:t>
      </w:r>
      <w:r>
        <w:rPr>
          <w:rFonts w:ascii="Arial" w:cs="Arial" w:eastAsia="Arial" w:hAnsi="Arial"/>
          <w:sz w:val="13"/>
          <w:szCs w:val="13"/>
          <w:color w:val="auto"/>
        </w:rPr>
        <w:t>3</w:t>
      </w:r>
      <w:r>
        <w:rPr>
          <w:rFonts w:ascii="Arial" w:cs="Arial" w:eastAsia="Arial" w:hAnsi="Arial"/>
          <w:sz w:val="16"/>
          <w:szCs w:val="16"/>
          <w:color w:val="auto"/>
        </w:rPr>
        <w:t xml:space="preserve"> the Initial Purchasers (as defined herein) [exercise]</w:t>
      </w:r>
      <w:r>
        <w:rPr>
          <w:rFonts w:ascii="Arial" w:cs="Arial" w:eastAsia="Arial" w:hAnsi="Arial"/>
          <w:sz w:val="13"/>
          <w:szCs w:val="13"/>
          <w:color w:val="auto"/>
        </w:rPr>
        <w:t>4</w:t>
      </w:r>
      <w:r>
        <w:rPr>
          <w:rFonts w:ascii="Arial" w:cs="Arial" w:eastAsia="Arial" w:hAnsi="Arial"/>
          <w:sz w:val="16"/>
          <w:szCs w:val="16"/>
          <w:color w:val="auto"/>
        </w:rPr>
        <w:t>[of]</w:t>
      </w:r>
      <w:r>
        <w:rPr>
          <w:rFonts w:ascii="Arial" w:cs="Arial" w:eastAsia="Arial" w:hAnsi="Arial"/>
          <w:sz w:val="13"/>
          <w:szCs w:val="13"/>
          <w:color w:val="auto"/>
        </w:rPr>
        <w:t>5</w:t>
      </w:r>
      <w:r>
        <w:rPr>
          <w:rFonts w:ascii="Arial" w:cs="Arial" w:eastAsia="Arial" w:hAnsi="Arial"/>
          <w:sz w:val="16"/>
          <w:szCs w:val="16"/>
          <w:color w:val="auto"/>
        </w:rPr>
        <w:t xml:space="preserve"> their over-allotment option to purchase additional Convertible Notes pursuant to the Purchase Agreement (as defined herein)) pursuant to an Indenture [to be]</w:t>
      </w:r>
      <w:r>
        <w:rPr>
          <w:rFonts w:ascii="Arial" w:cs="Arial" w:eastAsia="Arial" w:hAnsi="Arial"/>
          <w:sz w:val="13"/>
          <w:szCs w:val="13"/>
          <w:color w:val="auto"/>
        </w:rPr>
        <w:t>6</w:t>
      </w:r>
      <w:r>
        <w:rPr>
          <w:rFonts w:ascii="Arial" w:cs="Arial" w:eastAsia="Arial" w:hAnsi="Arial"/>
          <w:sz w:val="16"/>
          <w:szCs w:val="16"/>
          <w:color w:val="auto"/>
        </w:rPr>
        <w:t xml:space="preserve"> dated [•], 2021 between Counterparty and U.S. Bank National Association, as trustee (“</w:t>
      </w:r>
      <w:r>
        <w:rPr>
          <w:rFonts w:ascii="Arial" w:cs="Arial" w:eastAsia="Arial" w:hAnsi="Arial"/>
          <w:sz w:val="16"/>
          <w:szCs w:val="16"/>
          <w:b w:val="1"/>
          <w:bCs w:val="1"/>
          <w:color w:val="auto"/>
        </w:rPr>
        <w:t>Trustee</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and Counterparty as of the date of this Confirmation, and if any such section numbers are changed in the Indenture as executed, the parties will amend this Confirmation in good faith to preserve the intent of the parties]</w:t>
      </w:r>
      <w:r>
        <w:rPr>
          <w:rFonts w:ascii="Arial" w:cs="Arial" w:eastAsia="Arial" w:hAnsi="Arial"/>
          <w:sz w:val="13"/>
          <w:szCs w:val="13"/>
          <w:color w:val="auto"/>
        </w:rPr>
        <w:t>7</w:t>
      </w:r>
      <w:r>
        <w:rPr>
          <w:rFonts w:ascii="Arial" w:cs="Arial" w:eastAsia="Arial" w:hAnsi="Arial"/>
          <w:sz w:val="16"/>
          <w:szCs w:val="16"/>
          <w:color w:val="auto"/>
        </w:rPr>
        <w:t>[Indenture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71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1" w:lineRule="exact"/>
        <w:rPr>
          <w:sz w:val="20"/>
          <w:szCs w:val="20"/>
          <w:color w:val="auto"/>
        </w:rPr>
      </w:pPr>
    </w:p>
    <w:p>
      <w:pPr>
        <w:ind w:left="424" w:hanging="424"/>
        <w:spacing w:after="0"/>
        <w:tabs>
          <w:tab w:leader="none" w:pos="424" w:val="left"/>
        </w:tabs>
        <w:numPr>
          <w:ilvl w:val="0"/>
          <w:numId w:val="281"/>
        </w:numPr>
        <w:rPr>
          <w:rFonts w:ascii="Arial" w:cs="Arial" w:eastAsia="Arial" w:hAnsi="Arial"/>
          <w:sz w:val="15"/>
          <w:szCs w:val="15"/>
          <w:color w:val="auto"/>
        </w:rPr>
      </w:pPr>
      <w:r>
        <w:rPr>
          <w:rFonts w:ascii="Arial" w:cs="Arial" w:eastAsia="Arial" w:hAnsi="Arial"/>
          <w:sz w:val="18"/>
          <w:szCs w:val="18"/>
          <w:color w:val="auto"/>
        </w:rPr>
        <w:t>Include in the Base Call Option Confirmation.</w:t>
      </w:r>
    </w:p>
    <w:p>
      <w:pPr>
        <w:spacing w:after="0" w:line="22" w:lineRule="exact"/>
        <w:rPr>
          <w:sz w:val="20"/>
          <w:szCs w:val="20"/>
          <w:color w:val="auto"/>
        </w:rPr>
      </w:pPr>
    </w:p>
    <w:p>
      <w:pPr>
        <w:ind w:left="424" w:hanging="424"/>
        <w:spacing w:after="0"/>
        <w:tabs>
          <w:tab w:leader="none" w:pos="424" w:val="left"/>
        </w:tabs>
        <w:numPr>
          <w:ilvl w:val="0"/>
          <w:numId w:val="282"/>
        </w:numPr>
        <w:rPr>
          <w:rFonts w:ascii="Arial" w:cs="Arial" w:eastAsia="Arial" w:hAnsi="Arial"/>
          <w:sz w:val="15"/>
          <w:szCs w:val="15"/>
          <w:color w:val="auto"/>
        </w:rPr>
      </w:pPr>
      <w:r>
        <w:rPr>
          <w:rFonts w:ascii="Arial" w:cs="Arial" w:eastAsia="Arial" w:hAnsi="Arial"/>
          <w:sz w:val="18"/>
          <w:szCs w:val="18"/>
          <w:color w:val="auto"/>
        </w:rPr>
        <w:t>Include in the Base Call Option Confirmation.</w:t>
      </w:r>
    </w:p>
    <w:p>
      <w:pPr>
        <w:spacing w:after="0" w:line="9" w:lineRule="exact"/>
        <w:rPr>
          <w:sz w:val="20"/>
          <w:szCs w:val="20"/>
          <w:color w:val="auto"/>
        </w:rPr>
      </w:pPr>
    </w:p>
    <w:p>
      <w:pPr>
        <w:ind w:left="424" w:hanging="424"/>
        <w:spacing w:after="0"/>
        <w:tabs>
          <w:tab w:leader="none" w:pos="424" w:val="left"/>
        </w:tabs>
        <w:numPr>
          <w:ilvl w:val="0"/>
          <w:numId w:val="283"/>
        </w:numPr>
        <w:rPr>
          <w:rFonts w:ascii="Arial" w:cs="Arial" w:eastAsia="Arial" w:hAnsi="Arial"/>
          <w:sz w:val="15"/>
          <w:szCs w:val="15"/>
          <w:color w:val="auto"/>
        </w:rPr>
      </w:pPr>
      <w:r>
        <w:rPr>
          <w:rFonts w:ascii="Arial" w:cs="Arial" w:eastAsia="Arial" w:hAnsi="Arial"/>
          <w:sz w:val="18"/>
          <w:szCs w:val="18"/>
          <w:color w:val="auto"/>
        </w:rPr>
        <w:t>Include in the Additional Call Option Confirmation.</w:t>
      </w:r>
    </w:p>
    <w:p>
      <w:pPr>
        <w:spacing w:after="0" w:line="9" w:lineRule="exact"/>
        <w:rPr>
          <w:sz w:val="20"/>
          <w:szCs w:val="20"/>
          <w:color w:val="auto"/>
        </w:rPr>
      </w:pPr>
    </w:p>
    <w:p>
      <w:pPr>
        <w:ind w:left="424" w:hanging="424"/>
        <w:spacing w:after="0"/>
        <w:tabs>
          <w:tab w:leader="none" w:pos="424" w:val="left"/>
        </w:tabs>
        <w:numPr>
          <w:ilvl w:val="0"/>
          <w:numId w:val="284"/>
        </w:numPr>
        <w:rPr>
          <w:rFonts w:ascii="Arial" w:cs="Arial" w:eastAsia="Arial" w:hAnsi="Arial"/>
          <w:sz w:val="15"/>
          <w:szCs w:val="15"/>
          <w:color w:val="auto"/>
        </w:rPr>
      </w:pPr>
      <w:r>
        <w:rPr>
          <w:rFonts w:ascii="Arial" w:cs="Arial" w:eastAsia="Arial" w:hAnsi="Arial"/>
          <w:sz w:val="18"/>
          <w:szCs w:val="18"/>
          <w:color w:val="auto"/>
        </w:rPr>
        <w:t>Include in the Base Call Option Confirmation.</w:t>
      </w:r>
    </w:p>
    <w:p>
      <w:pPr>
        <w:spacing w:after="0" w:line="9"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5"/>
          <w:szCs w:val="15"/>
          <w:color w:val="auto"/>
        </w:rPr>
      </w:pPr>
      <w:r>
        <w:rPr>
          <w:rFonts w:ascii="Arial" w:cs="Arial" w:eastAsia="Arial" w:hAnsi="Arial"/>
          <w:sz w:val="18"/>
          <w:szCs w:val="18"/>
          <w:color w:val="auto"/>
        </w:rPr>
        <w:t>Include in the Additional Call Option Confirmation.</w:t>
      </w:r>
    </w:p>
    <w:p>
      <w:pPr>
        <w:spacing w:after="0" w:line="9" w:lineRule="exact"/>
        <w:rPr>
          <w:sz w:val="20"/>
          <w:szCs w:val="20"/>
          <w:color w:val="auto"/>
        </w:rPr>
      </w:pPr>
    </w:p>
    <w:p>
      <w:pPr>
        <w:ind w:left="424" w:hanging="424"/>
        <w:spacing w:after="0"/>
        <w:tabs>
          <w:tab w:leader="none" w:pos="424" w:val="left"/>
        </w:tabs>
        <w:numPr>
          <w:ilvl w:val="0"/>
          <w:numId w:val="286"/>
        </w:numPr>
        <w:rPr>
          <w:rFonts w:ascii="Arial" w:cs="Arial" w:eastAsia="Arial" w:hAnsi="Arial"/>
          <w:sz w:val="15"/>
          <w:szCs w:val="15"/>
          <w:color w:val="auto"/>
        </w:rPr>
      </w:pPr>
      <w:r>
        <w:rPr>
          <w:rFonts w:ascii="Arial" w:cs="Arial" w:eastAsia="Arial" w:hAnsi="Arial"/>
          <w:sz w:val="18"/>
          <w:szCs w:val="18"/>
          <w:color w:val="auto"/>
        </w:rPr>
        <w:t>Insert if Indenture is not completed at the time of the Confirmation.</w:t>
      </w:r>
    </w:p>
    <w:p>
      <w:pPr>
        <w:spacing w:after="0" w:line="9" w:lineRule="exact"/>
        <w:rPr>
          <w:sz w:val="20"/>
          <w:szCs w:val="20"/>
          <w:color w:val="auto"/>
        </w:rPr>
      </w:pPr>
    </w:p>
    <w:p>
      <w:pPr>
        <w:ind w:left="424" w:hanging="424"/>
        <w:spacing w:after="0"/>
        <w:tabs>
          <w:tab w:leader="none" w:pos="424" w:val="left"/>
        </w:tabs>
        <w:numPr>
          <w:ilvl w:val="0"/>
          <w:numId w:val="287"/>
        </w:numPr>
        <w:rPr>
          <w:rFonts w:ascii="Arial" w:cs="Arial" w:eastAsia="Arial" w:hAnsi="Arial"/>
          <w:sz w:val="13"/>
          <w:szCs w:val="13"/>
          <w:color w:val="auto"/>
        </w:rPr>
      </w:pPr>
      <w:r>
        <w:rPr>
          <w:rFonts w:ascii="Arial" w:cs="Arial" w:eastAsia="Arial" w:hAnsi="Arial"/>
          <w:sz w:val="16"/>
          <w:szCs w:val="16"/>
          <w:color w:val="auto"/>
        </w:rPr>
        <w:t>Include in the Base Call Option Confirmation. Include in the Additional Call Option Confirmation if it is executed before closing of the base deal.</w:t>
      </w:r>
    </w:p>
    <w:p>
      <w:pPr>
        <w:sectPr>
          <w:pgSz w:w="11900" w:h="16838" w:orient="portrait"/>
          <w:cols w:equalWidth="0" w:num="1">
            <w:col w:w="11024"/>
          </w:cols>
          <w:pgMar w:left="436" w:top="121" w:right="439" w:bottom="1440" w:gutter="0" w:footer="0" w:header="0"/>
        </w:sectPr>
      </w:pPr>
    </w:p>
    <w:bookmarkStart w:id="253" w:name="page254"/>
    <w:bookmarkEnd w:id="253"/>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executed]</w:t>
      </w:r>
      <w:r>
        <w:rPr>
          <w:rFonts w:ascii="Arial" w:cs="Arial" w:eastAsia="Arial" w:hAnsi="Arial"/>
          <w:sz w:val="14"/>
          <w:szCs w:val="14"/>
          <w:color w:val="auto"/>
        </w:rPr>
        <w:t>8</w:t>
      </w:r>
      <w:r>
        <w:rPr>
          <w:rFonts w:ascii="Arial" w:cs="Arial" w:eastAsia="Arial" w:hAnsi="Arial"/>
          <w:sz w:val="17"/>
          <w:szCs w:val="17"/>
          <w:color w:val="auto"/>
        </w:rPr>
        <w:t>. Subject to the foregoing, references to the Indenture herein are references to the Indenture as in effect on the date of its execution, and if the Indenture is amended or supplemented following such date, any such amendment or supplement (other than any amendment or supplement (x) pursuant to Section 10.01(k) of the Indenture that, as reasonably determined by the Calculation Agent acting in good faith and in a commercially reasonable manner, conforms the Indenture to the description of the Convertible Notes in the Offering Memorandum or (y) pursuant to Section 13.07 of the Indenture, subject, in the case of this clause (y), to the second paragraph under “Method of Adjustment” in Section 3) will be disregarded for purposes of this Confirmation unless the parties agree otherwise in writing.</w:t>
      </w:r>
    </w:p>
    <w:p>
      <w:pPr>
        <w:spacing w:after="0" w:line="178"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89" w:lineRule="exact"/>
        <w:rPr>
          <w:sz w:val="20"/>
          <w:szCs w:val="20"/>
          <w:color w:val="auto"/>
        </w:rPr>
      </w:pPr>
    </w:p>
    <w:p>
      <w:pPr>
        <w:ind w:left="424" w:hanging="424"/>
        <w:spacing w:after="0" w:line="284" w:lineRule="auto"/>
        <w:tabs>
          <w:tab w:leader="none" w:pos="42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supplement, form a part of, and be subject to an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in the form of the 2002 ISDA Master Agreement as if Dealer and Counterparty had executed an agreement in such form on the date hereof (but without any Schedule except for (i) the election of US Dollars (“</w:t>
      </w:r>
      <w:r>
        <w:rPr>
          <w:rFonts w:ascii="Arial" w:cs="Arial" w:eastAsia="Arial" w:hAnsi="Arial"/>
          <w:sz w:val="16"/>
          <w:szCs w:val="16"/>
          <w:b w:val="1"/>
          <w:bCs w:val="1"/>
          <w:color w:val="auto"/>
        </w:rPr>
        <w:t>USD</w:t>
      </w:r>
      <w:r>
        <w:rPr>
          <w:rFonts w:ascii="Arial" w:cs="Arial" w:eastAsia="Arial" w:hAnsi="Arial"/>
          <w:sz w:val="16"/>
          <w:szCs w:val="16"/>
          <w:color w:val="auto"/>
        </w:rPr>
        <w:t>”) as the Termination Currency[, (ii) the election of an executed guarantee of [_________] (“</w:t>
      </w:r>
      <w:r>
        <w:rPr>
          <w:rFonts w:ascii="Arial" w:cs="Arial" w:eastAsia="Arial" w:hAnsi="Arial"/>
          <w:sz w:val="16"/>
          <w:szCs w:val="16"/>
          <w:b w:val="1"/>
          <w:bCs w:val="1"/>
          <w:color w:val="auto"/>
        </w:rPr>
        <w:t>Guarantor</w:t>
      </w:r>
      <w:r>
        <w:rPr>
          <w:rFonts w:ascii="Arial" w:cs="Arial" w:eastAsia="Arial" w:hAnsi="Arial"/>
          <w:sz w:val="16"/>
          <w:szCs w:val="16"/>
          <w:color w:val="auto"/>
        </w:rPr>
        <w:t>”) dated as of the Trade Date in substantially the form attached hereto as Annex A as a Credit Support Document, (iii) the designation of Guarantor as Credit Support Provider in relation to Dealer]</w:t>
      </w:r>
      <w:r>
        <w:rPr>
          <w:rFonts w:ascii="Arial" w:cs="Arial" w:eastAsia="Arial" w:hAnsi="Arial"/>
          <w:sz w:val="13"/>
          <w:szCs w:val="13"/>
          <w:color w:val="auto"/>
        </w:rPr>
        <w:t>9</w:t>
      </w:r>
      <w:r>
        <w:rPr>
          <w:rFonts w:ascii="Arial" w:cs="Arial" w:eastAsia="Arial" w:hAnsi="Arial"/>
          <w:sz w:val="16"/>
          <w:szCs w:val="16"/>
          <w:color w:val="auto"/>
        </w:rPr>
        <w:t xml:space="preserve"> and (iv) (a) the election that the “Cross Default” provisions of Section 5(a)(vi) of the Agreement shall apply to Dealer with a “Threshold Amount” of three percent of the shareholders’ equity of [</w:t>
      </w:r>
      <w:r>
        <w:rPr>
          <w:rFonts w:ascii="Arial" w:cs="Arial" w:eastAsia="Arial" w:hAnsi="Arial"/>
          <w:sz w:val="16"/>
          <w:szCs w:val="16"/>
          <w:i w:val="1"/>
          <w:iCs w:val="1"/>
          <w:color w:val="auto"/>
        </w:rPr>
        <w:t>Name of</w:t>
      </w:r>
      <w:r>
        <w:rPr>
          <w:rFonts w:ascii="Arial" w:cs="Arial" w:eastAsia="Arial" w:hAnsi="Arial"/>
          <w:sz w:val="16"/>
          <w:szCs w:val="16"/>
          <w:color w:val="auto"/>
        </w:rPr>
        <w:t xml:space="preserve"> </w:t>
      </w:r>
      <w:r>
        <w:rPr>
          <w:rFonts w:ascii="Arial" w:cs="Arial" w:eastAsia="Arial" w:hAnsi="Arial"/>
          <w:sz w:val="16"/>
          <w:szCs w:val="16"/>
          <w:i w:val="1"/>
          <w:iCs w:val="1"/>
          <w:color w:val="auto"/>
        </w:rPr>
        <w:t>Dealer’s Parent</w:t>
      </w:r>
      <w:r>
        <w:rPr>
          <w:rFonts w:ascii="Arial" w:cs="Arial" w:eastAsia="Arial" w:hAnsi="Arial"/>
          <w:sz w:val="16"/>
          <w:szCs w:val="16"/>
          <w:color w:val="auto"/>
        </w:rPr>
        <w:t>], (b) the phrase “or becoming capable at such time of being declared” shall be deleted from clause (1) of such Section 5(a)(vi), (c)</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(c) the term “Specified Indebtedness” shall have the meaning specified in Section 14 of the Agreement, except that such term shall not include obligations in respect of deposits received in the ordinary course of Dealer’s banking business]</w:t>
      </w:r>
      <w:r>
        <w:rPr>
          <w:rFonts w:ascii="Arial" w:cs="Arial" w:eastAsia="Arial" w:hAnsi="Arial"/>
          <w:sz w:val="13"/>
          <w:szCs w:val="13"/>
          <w:color w:val="auto"/>
        </w:rPr>
        <w:t>10</w:t>
      </w:r>
      <w:r>
        <w:rPr>
          <w:rFonts w:ascii="Arial" w:cs="Arial" w:eastAsia="Arial" w:hAnsi="Arial"/>
          <w:sz w:val="16"/>
          <w:szCs w:val="16"/>
          <w:color w:val="auto"/>
        </w:rPr>
        <w:t>. In the event of any inconsistency between provisions of the Agreement and this Confirmation, this Confirmation will prevail for the purpose of the Transaction to which this Confirmation relates. For the avoidance of doubt, except to the extent of an express conflict, the application of any provision of this Confirmation, the Agreement or the Equity Definitions shall not be construed to exclude or limit the application of any other provision of this Confirmation, the Agreement or the Equity Definitions. 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289"/>
        </w:numPr>
        <w:rPr>
          <w:rFonts w:ascii="Arial" w:cs="Arial" w:eastAsia="Arial" w:hAnsi="Arial"/>
          <w:sz w:val="13"/>
          <w:szCs w:val="13"/>
          <w:color w:val="auto"/>
        </w:rPr>
      </w:pPr>
      <w:r>
        <w:rPr>
          <w:rFonts w:ascii="Arial" w:cs="Arial" w:eastAsia="Arial" w:hAnsi="Arial"/>
          <w:sz w:val="16"/>
          <w:szCs w:val="16"/>
          <w:color w:val="auto"/>
        </w:rPr>
        <w:t>Include in the Additional Call Option Confirmation, but only if the Additional Call Option Confirmation is executed after closing of the base deal.</w:t>
      </w:r>
    </w:p>
    <w:p>
      <w:pPr>
        <w:spacing w:after="0" w:line="45" w:lineRule="exact"/>
        <w:rPr>
          <w:sz w:val="20"/>
          <w:szCs w:val="20"/>
          <w:color w:val="auto"/>
        </w:rPr>
      </w:pPr>
    </w:p>
    <w:p>
      <w:pPr>
        <w:ind w:left="424" w:hanging="424"/>
        <w:spacing w:after="0"/>
        <w:tabs>
          <w:tab w:leader="none" w:pos="424" w:val="left"/>
        </w:tabs>
        <w:numPr>
          <w:ilvl w:val="0"/>
          <w:numId w:val="290"/>
        </w:numPr>
        <w:rPr>
          <w:rFonts w:ascii="Arial" w:cs="Arial" w:eastAsia="Arial" w:hAnsi="Arial"/>
          <w:sz w:val="15"/>
          <w:szCs w:val="15"/>
          <w:color w:val="auto"/>
        </w:rPr>
      </w:pPr>
      <w:r>
        <w:rPr>
          <w:rFonts w:ascii="Arial" w:cs="Arial" w:eastAsia="Arial" w:hAnsi="Arial"/>
          <w:sz w:val="18"/>
          <w:szCs w:val="18"/>
          <w:color w:val="auto"/>
        </w:rPr>
        <w:t>Requested if Dealer is not the highest rated entity in group, typically from the parent.</w:t>
      </w:r>
    </w:p>
    <w:p>
      <w:pPr>
        <w:spacing w:after="0" w:line="9" w:lineRule="exact"/>
        <w:rPr>
          <w:sz w:val="20"/>
          <w:szCs w:val="20"/>
          <w:color w:val="auto"/>
        </w:rPr>
      </w:pPr>
    </w:p>
    <w:p>
      <w:pPr>
        <w:ind w:left="424" w:hanging="424"/>
        <w:spacing w:after="0"/>
        <w:tabs>
          <w:tab w:leader="none" w:pos="424" w:val="left"/>
        </w:tabs>
        <w:numPr>
          <w:ilvl w:val="0"/>
          <w:numId w:val="291"/>
        </w:numPr>
        <w:rPr>
          <w:rFonts w:ascii="Arial" w:cs="Arial" w:eastAsia="Arial" w:hAnsi="Arial"/>
          <w:sz w:val="15"/>
          <w:szCs w:val="15"/>
          <w:color w:val="auto"/>
        </w:rPr>
      </w:pPr>
      <w:r>
        <w:rPr>
          <w:rFonts w:ascii="Arial" w:cs="Arial" w:eastAsia="Arial" w:hAnsi="Arial"/>
          <w:sz w:val="18"/>
          <w:szCs w:val="18"/>
          <w:color w:val="auto"/>
        </w:rPr>
        <w:t>Include if applicable.</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54" w:name="page255"/>
    <w:bookmarkEnd w:id="254"/>
    <w:p>
      <w:pPr>
        <w:ind w:left="424" w:hanging="424"/>
        <w:spacing w:after="0"/>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terms of the particular Transaction to which this Confirmation relates are as follows:</w:t>
      </w:r>
    </w:p>
    <w:p>
      <w:pPr>
        <w:spacing w:after="0" w:line="208"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p>
        </w:tc>
        <w:tc>
          <w:tcPr>
            <w:tcW w:w="218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8"/>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Trade Date:</w:t>
            </w:r>
          </w:p>
        </w:tc>
        <w:tc>
          <w:tcPr>
            <w:tcW w:w="2180" w:type="dxa"/>
            <w:vAlign w:val="bottom"/>
          </w:tcPr>
          <w:p>
            <w:pPr>
              <w:ind w:left="1640"/>
              <w:spacing w:after="0"/>
              <w:rPr>
                <w:sz w:val="20"/>
                <w:szCs w:val="20"/>
                <w:color w:val="auto"/>
              </w:rPr>
            </w:pPr>
            <w:r>
              <w:rPr>
                <w:rFonts w:ascii="Arial" w:cs="Arial" w:eastAsia="Arial" w:hAnsi="Arial"/>
                <w:sz w:val="18"/>
                <w:szCs w:val="18"/>
                <w:color w:val="auto"/>
              </w:rPr>
              <w:t>[</w:t>
            </w:r>
          </w:p>
        </w:tc>
        <w:tc>
          <w:tcPr>
            <w:tcW w:w="4720" w:type="dxa"/>
            <w:vAlign w:val="bottom"/>
          </w:tcPr>
          <w:p>
            <w:pPr>
              <w:jc w:val="right"/>
              <w:ind w:right="4070"/>
              <w:spacing w:after="0"/>
              <w:rPr>
                <w:sz w:val="20"/>
                <w:szCs w:val="20"/>
                <w:color w:val="auto"/>
              </w:rPr>
            </w:pPr>
            <w:r>
              <w:rPr>
                <w:rFonts w:ascii="Arial" w:cs="Arial" w:eastAsia="Arial" w:hAnsi="Arial"/>
                <w:sz w:val="18"/>
                <w:szCs w:val="18"/>
                <w:color w:val="auto"/>
                <w:w w:val="98"/>
              </w:rPr>
              <w:t>], 2021</w:t>
            </w:r>
          </w:p>
        </w:tc>
      </w:tr>
      <w:tr>
        <w:trPr>
          <w:trHeight w:val="31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Effective Date:</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9"/>
              </w:rPr>
              <w:t>The closing date of the [initial]</w:t>
            </w:r>
            <w:r>
              <w:rPr>
                <w:rFonts w:ascii="Arial" w:cs="Arial" w:eastAsia="Arial" w:hAnsi="Arial"/>
                <w:sz w:val="15"/>
                <w:szCs w:val="15"/>
                <w:color w:val="auto"/>
                <w:w w:val="99"/>
              </w:rPr>
              <w:t>11</w:t>
            </w:r>
            <w:r>
              <w:rPr>
                <w:rFonts w:ascii="Arial" w:cs="Arial" w:eastAsia="Arial" w:hAnsi="Arial"/>
                <w:sz w:val="18"/>
                <w:szCs w:val="18"/>
                <w:color w:val="auto"/>
                <w:w w:val="99"/>
              </w:rPr>
              <w:t xml:space="preserve"> issuance of the Convertible Notes</w:t>
            </w:r>
          </w:p>
        </w:tc>
      </w:tr>
      <w:tr>
        <w:trPr>
          <w:trHeight w:val="216"/>
        </w:trPr>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2"/>
              </w:rPr>
              <w:t>[issued pursuant to the option to purchase additional Convertible Notes</w:t>
            </w:r>
          </w:p>
        </w:tc>
      </w:tr>
      <w:tr>
        <w:trPr>
          <w:trHeight w:val="230"/>
        </w:trPr>
        <w:tc>
          <w:tcPr>
            <w:tcW w:w="1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exercised on the date hereof]</w:t>
            </w:r>
            <w:r>
              <w:rPr>
                <w:rFonts w:ascii="Arial" w:cs="Arial" w:eastAsia="Arial" w:hAnsi="Arial"/>
                <w:sz w:val="15"/>
                <w:szCs w:val="15"/>
                <w:color w:val="auto"/>
              </w:rPr>
              <w:t>12</w:t>
            </w:r>
          </w:p>
        </w:tc>
      </w:tr>
      <w:tr>
        <w:trPr>
          <w:trHeight w:val="31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Option Style:</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8"/>
              </w:rPr>
              <w:t>“Modified American”, as described under “Procedures for Exercise”</w:t>
            </w:r>
          </w:p>
        </w:tc>
      </w:tr>
      <w:tr>
        <w:trPr>
          <w:trHeight w:val="230"/>
        </w:trPr>
        <w:tc>
          <w:tcPr>
            <w:tcW w:w="1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80" w:type="dxa"/>
            <w:vAlign w:val="bottom"/>
          </w:tcPr>
          <w:p>
            <w:pPr>
              <w:ind w:left="1640"/>
              <w:spacing w:after="0"/>
              <w:rPr>
                <w:sz w:val="20"/>
                <w:szCs w:val="20"/>
                <w:color w:val="auto"/>
              </w:rPr>
            </w:pPr>
            <w:r>
              <w:rPr>
                <w:rFonts w:ascii="Arial" w:cs="Arial" w:eastAsia="Arial" w:hAnsi="Arial"/>
                <w:sz w:val="18"/>
                <w:szCs w:val="18"/>
                <w:color w:val="auto"/>
              </w:rPr>
              <w:t>below</w:t>
            </w:r>
          </w:p>
        </w:tc>
        <w:tc>
          <w:tcPr>
            <w:tcW w:w="4720" w:type="dxa"/>
            <w:vAlign w:val="bottom"/>
          </w:tcPr>
          <w:p>
            <w:pPr>
              <w:spacing w:after="0"/>
              <w:rPr>
                <w:sz w:val="20"/>
                <w:szCs w:val="20"/>
                <w:color w:val="auto"/>
              </w:rPr>
            </w:pP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Option Type:</w:t>
            </w:r>
          </w:p>
        </w:tc>
        <w:tc>
          <w:tcPr>
            <w:tcW w:w="2180" w:type="dxa"/>
            <w:vAlign w:val="bottom"/>
          </w:tcPr>
          <w:p>
            <w:pPr>
              <w:ind w:left="1640"/>
              <w:spacing w:after="0"/>
              <w:rPr>
                <w:sz w:val="20"/>
                <w:szCs w:val="20"/>
                <w:color w:val="auto"/>
              </w:rPr>
            </w:pPr>
            <w:r>
              <w:rPr>
                <w:rFonts w:ascii="Arial" w:cs="Arial" w:eastAsia="Arial" w:hAnsi="Arial"/>
                <w:sz w:val="18"/>
                <w:szCs w:val="18"/>
                <w:color w:val="auto"/>
              </w:rPr>
              <w:t>Call</w:t>
            </w:r>
          </w:p>
        </w:tc>
        <w:tc>
          <w:tcPr>
            <w:tcW w:w="4720" w:type="dxa"/>
            <w:vAlign w:val="bottom"/>
          </w:tcPr>
          <w:p>
            <w:pPr>
              <w:spacing w:after="0"/>
              <w:rPr>
                <w:sz w:val="24"/>
                <w:szCs w:val="24"/>
                <w:color w:val="auto"/>
              </w:rPr>
            </w:pP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Buyer:</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Counterparty</w:t>
            </w: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Seller:</w:t>
            </w:r>
          </w:p>
        </w:tc>
        <w:tc>
          <w:tcPr>
            <w:tcW w:w="2180" w:type="dxa"/>
            <w:vAlign w:val="bottom"/>
          </w:tcPr>
          <w:p>
            <w:pPr>
              <w:ind w:left="1640"/>
              <w:spacing w:after="0"/>
              <w:rPr>
                <w:sz w:val="20"/>
                <w:szCs w:val="20"/>
                <w:color w:val="auto"/>
              </w:rPr>
            </w:pPr>
            <w:r>
              <w:rPr>
                <w:rFonts w:ascii="Arial" w:cs="Arial" w:eastAsia="Arial" w:hAnsi="Arial"/>
                <w:sz w:val="18"/>
                <w:szCs w:val="18"/>
                <w:color w:val="auto"/>
                <w:w w:val="98"/>
              </w:rPr>
              <w:t>Dealer</w:t>
            </w:r>
          </w:p>
        </w:tc>
        <w:tc>
          <w:tcPr>
            <w:tcW w:w="4720" w:type="dxa"/>
            <w:vAlign w:val="bottom"/>
          </w:tcPr>
          <w:p>
            <w:pPr>
              <w:spacing w:after="0"/>
              <w:rPr>
                <w:sz w:val="24"/>
                <w:szCs w:val="24"/>
                <w:color w:val="auto"/>
              </w:rPr>
            </w:pPr>
          </w:p>
        </w:tc>
      </w:tr>
      <w:tr>
        <w:trPr>
          <w:trHeight w:val="31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4"/>
              </w:rPr>
              <w:t>The Class A Common Stock of Counterparty, par value USD 0.00001</w:t>
            </w:r>
          </w:p>
        </w:tc>
      </w:tr>
      <w:tr>
        <w:trPr>
          <w:trHeight w:val="230"/>
        </w:trPr>
        <w:tc>
          <w:tcPr>
            <w:tcW w:w="1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per share (Exchange symbol “DBX”).</w:t>
            </w:r>
          </w:p>
        </w:tc>
      </w:tr>
      <w:tr>
        <w:trPr>
          <w:trHeight w:val="31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Number of Options:</w:t>
            </w:r>
          </w:p>
        </w:tc>
        <w:tc>
          <w:tcPr>
            <w:tcW w:w="2180" w:type="dxa"/>
            <w:vAlign w:val="bottom"/>
          </w:tcPr>
          <w:p>
            <w:pPr>
              <w:ind w:left="1640"/>
              <w:spacing w:after="0"/>
              <w:rPr>
                <w:sz w:val="20"/>
                <w:szCs w:val="20"/>
                <w:color w:val="auto"/>
              </w:rPr>
            </w:pPr>
            <w:r>
              <w:rPr>
                <w:rFonts w:ascii="Arial" w:cs="Arial" w:eastAsia="Arial" w:hAnsi="Arial"/>
                <w:sz w:val="18"/>
                <w:szCs w:val="18"/>
                <w:color w:val="auto"/>
              </w:rPr>
              <w:t>[</w:t>
            </w:r>
          </w:p>
        </w:tc>
        <w:tc>
          <w:tcPr>
            <w:tcW w:w="4720" w:type="dxa"/>
            <w:vAlign w:val="bottom"/>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5"/>
                <w:szCs w:val="15"/>
                <w:color w:val="auto"/>
                <w:w w:val="91"/>
              </w:rPr>
              <w:t>13</w:t>
            </w:r>
            <w:r>
              <w:rPr>
                <w:rFonts w:ascii="Arial" w:cs="Arial" w:eastAsia="Arial" w:hAnsi="Arial"/>
                <w:sz w:val="18"/>
                <w:szCs w:val="18"/>
                <w:color w:val="auto"/>
                <w:w w:val="91"/>
              </w:rPr>
              <w:t>. For the avoidance of doubt, the Number of Options shall be</w:t>
            </w:r>
          </w:p>
        </w:tc>
      </w:tr>
      <w:tr>
        <w:trPr>
          <w:trHeight w:val="216"/>
        </w:trPr>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reduced by any Options (or fractions of an Option) exercised by</w:t>
            </w:r>
          </w:p>
        </w:tc>
      </w:tr>
      <w:tr>
        <w:trPr>
          <w:trHeight w:val="216"/>
        </w:trPr>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6"/>
              </w:rPr>
              <w:t>Counterparty or that are terminated pursuant to Section 9(i)(ii) of this</w:t>
            </w:r>
          </w:p>
        </w:tc>
      </w:tr>
      <w:tr>
        <w:trPr>
          <w:trHeight w:val="216"/>
        </w:trPr>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1"/>
              </w:rPr>
              <w:t>Confirmation (but not, for the avoidance of doubt, by Options terminated</w:t>
            </w:r>
          </w:p>
        </w:tc>
      </w:tr>
      <w:tr>
        <w:trPr>
          <w:trHeight w:val="216"/>
        </w:trPr>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8"/>
              </w:rPr>
              <w:t>by Counterparty pursuant to the same section set forth in any other</w:t>
            </w:r>
          </w:p>
        </w:tc>
      </w:tr>
      <w:tr>
        <w:trPr>
          <w:trHeight w:val="216"/>
        </w:trPr>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4"/>
              </w:rPr>
              <w:t>confirmation between Counterparty and a dealer that is not Dealer). In</w:t>
            </w:r>
          </w:p>
        </w:tc>
      </w:tr>
      <w:tr>
        <w:trPr>
          <w:trHeight w:val="230"/>
        </w:trPr>
        <w:tc>
          <w:tcPr>
            <w:tcW w:w="1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no event will the Number of Options be less than zero.</w:t>
            </w: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Applicable Percentage:</w:t>
            </w:r>
          </w:p>
        </w:tc>
        <w:tc>
          <w:tcPr>
            <w:tcW w:w="2180" w:type="dxa"/>
            <w:vAlign w:val="bottom"/>
          </w:tcPr>
          <w:p>
            <w:pPr>
              <w:ind w:left="1640"/>
              <w:spacing w:after="0"/>
              <w:rPr>
                <w:sz w:val="20"/>
                <w:szCs w:val="20"/>
                <w:color w:val="auto"/>
              </w:rPr>
            </w:pPr>
            <w:r>
              <w:rPr>
                <w:rFonts w:ascii="Arial" w:cs="Arial" w:eastAsia="Arial" w:hAnsi="Arial"/>
                <w:sz w:val="18"/>
                <w:szCs w:val="18"/>
                <w:color w:val="auto"/>
              </w:rPr>
              <w:t>[</w:t>
            </w:r>
          </w:p>
        </w:tc>
        <w:tc>
          <w:tcPr>
            <w:tcW w:w="47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Option Entitlement:</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4"/>
              </w:rPr>
              <w:t>A number equal to the product of the Applicable Percentage and [ ]</w:t>
            </w:r>
            <w:r>
              <w:rPr>
                <w:rFonts w:ascii="Arial" w:cs="Arial" w:eastAsia="Arial" w:hAnsi="Arial"/>
                <w:sz w:val="15"/>
                <w:szCs w:val="15"/>
                <w:color w:val="auto"/>
                <w:w w:val="94"/>
              </w:rPr>
              <w:t>14</w:t>
            </w:r>
            <w:r>
              <w:rPr>
                <w:rFonts w:ascii="Arial" w:cs="Arial" w:eastAsia="Arial" w:hAnsi="Arial"/>
                <w:sz w:val="18"/>
                <w:szCs w:val="18"/>
                <w:color w:val="auto"/>
                <w:w w:val="94"/>
              </w:rPr>
              <w:t>.</w:t>
            </w: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Strike Price:</w:t>
            </w:r>
          </w:p>
        </w:tc>
        <w:tc>
          <w:tcPr>
            <w:tcW w:w="2180" w:type="dxa"/>
            <w:vAlign w:val="bottom"/>
          </w:tcPr>
          <w:p>
            <w:pPr>
              <w:ind w:left="1640"/>
              <w:spacing w:after="0"/>
              <w:rPr>
                <w:sz w:val="20"/>
                <w:szCs w:val="20"/>
                <w:color w:val="auto"/>
              </w:rPr>
            </w:pPr>
            <w:r>
              <w:rPr>
                <w:rFonts w:ascii="Arial" w:cs="Arial" w:eastAsia="Arial" w:hAnsi="Arial"/>
                <w:sz w:val="18"/>
                <w:szCs w:val="18"/>
                <w:color w:val="auto"/>
              </w:rPr>
              <w:t>[</w:t>
            </w:r>
          </w:p>
        </w:tc>
        <w:tc>
          <w:tcPr>
            <w:tcW w:w="47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15</w:t>
            </w: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Premium:</w:t>
            </w:r>
          </w:p>
        </w:tc>
        <w:tc>
          <w:tcPr>
            <w:tcW w:w="2180" w:type="dxa"/>
            <w:vAlign w:val="bottom"/>
          </w:tcPr>
          <w:p>
            <w:pPr>
              <w:ind w:left="1640"/>
              <w:spacing w:after="0"/>
              <w:rPr>
                <w:sz w:val="20"/>
                <w:szCs w:val="20"/>
                <w:color w:val="auto"/>
              </w:rPr>
            </w:pPr>
            <w:r>
              <w:rPr>
                <w:rFonts w:ascii="Arial" w:cs="Arial" w:eastAsia="Arial" w:hAnsi="Arial"/>
                <w:sz w:val="18"/>
                <w:szCs w:val="18"/>
                <w:color w:val="auto"/>
              </w:rPr>
              <w:t>USD [</w:t>
            </w:r>
          </w:p>
        </w:tc>
        <w:tc>
          <w:tcPr>
            <w:tcW w:w="4720" w:type="dxa"/>
            <w:vAlign w:val="bottom"/>
          </w:tcPr>
          <w:p>
            <w:pPr>
              <w:jc w:val="right"/>
              <w:ind w:right="4070"/>
              <w:spacing w:after="0"/>
              <w:rPr>
                <w:sz w:val="20"/>
                <w:szCs w:val="20"/>
                <w:color w:val="auto"/>
              </w:rPr>
            </w:pPr>
            <w:r>
              <w:rPr>
                <w:rFonts w:ascii="Arial" w:cs="Arial" w:eastAsia="Arial" w:hAnsi="Arial"/>
                <w:sz w:val="18"/>
                <w:szCs w:val="18"/>
                <w:color w:val="auto"/>
              </w:rPr>
              <w:t>]</w:t>
            </w: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Premium Payment Date:</w:t>
            </w:r>
          </w:p>
        </w:tc>
        <w:tc>
          <w:tcPr>
            <w:tcW w:w="2180" w:type="dxa"/>
            <w:vAlign w:val="bottom"/>
          </w:tcPr>
          <w:p>
            <w:pPr>
              <w:ind w:left="1640"/>
              <w:spacing w:after="0"/>
              <w:rPr>
                <w:sz w:val="20"/>
                <w:szCs w:val="20"/>
                <w:color w:val="auto"/>
              </w:rPr>
            </w:pPr>
            <w:r>
              <w:rPr>
                <w:rFonts w:ascii="Arial" w:cs="Arial" w:eastAsia="Arial" w:hAnsi="Arial"/>
                <w:sz w:val="18"/>
                <w:szCs w:val="18"/>
                <w:color w:val="auto"/>
              </w:rPr>
              <w:t>[</w:t>
            </w:r>
          </w:p>
        </w:tc>
        <w:tc>
          <w:tcPr>
            <w:tcW w:w="4720" w:type="dxa"/>
            <w:vAlign w:val="bottom"/>
          </w:tcPr>
          <w:p>
            <w:pPr>
              <w:ind w:left="100"/>
              <w:spacing w:after="0"/>
              <w:rPr>
                <w:sz w:val="20"/>
                <w:szCs w:val="20"/>
                <w:color w:val="auto"/>
              </w:rPr>
            </w:pPr>
            <w:r>
              <w:rPr>
                <w:rFonts w:ascii="Arial" w:cs="Arial" w:eastAsia="Arial" w:hAnsi="Arial"/>
                <w:sz w:val="18"/>
                <w:szCs w:val="18"/>
                <w:color w:val="auto"/>
              </w:rPr>
              <w:t>], 2021</w:t>
            </w:r>
          </w:p>
        </w:tc>
      </w:tr>
      <w:tr>
        <w:trPr>
          <w:trHeight w:val="324"/>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Exchange:</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The NASDAQ Stock Market</w:t>
            </w:r>
          </w:p>
        </w:tc>
      </w:tr>
      <w:tr>
        <w:trPr>
          <w:trHeight w:val="31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Related Exchange(s):</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2"/>
              </w:rPr>
              <w:t xml:space="preserve">All Exchanges;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Section 1.26 of the Equity Definitions shall</w:t>
            </w:r>
          </w:p>
        </w:tc>
      </w:tr>
      <w:tr>
        <w:trPr>
          <w:trHeight w:val="216"/>
        </w:trPr>
        <w:tc>
          <w:tcPr>
            <w:tcW w:w="1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be amended to add the words “United States” before the word</w:t>
            </w:r>
          </w:p>
        </w:tc>
      </w:tr>
      <w:tr>
        <w:trPr>
          <w:trHeight w:val="230"/>
        </w:trPr>
        <w:tc>
          <w:tcPr>
            <w:tcW w:w="1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“exchange” in the tenth line of such section.</w:t>
            </w:r>
          </w:p>
        </w:tc>
      </w:tr>
      <w:tr>
        <w:trPr>
          <w:trHeight w:val="310"/>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Excluded Provisions:</w:t>
            </w: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w w:val="96"/>
              </w:rPr>
              <w:t>Section 13.04(h) and Section 13.03 of the Indenture. Procedures for</w:t>
            </w:r>
          </w:p>
        </w:tc>
      </w:tr>
      <w:tr>
        <w:trPr>
          <w:trHeight w:val="230"/>
        </w:trPr>
        <w:tc>
          <w:tcPr>
            <w:tcW w:w="1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93"/>
        </w:numPr>
        <w:rPr>
          <w:rFonts w:ascii="Arial" w:cs="Arial" w:eastAsia="Arial" w:hAnsi="Arial"/>
          <w:sz w:val="15"/>
          <w:szCs w:val="15"/>
          <w:color w:val="auto"/>
        </w:rPr>
      </w:pPr>
      <w:r>
        <w:rPr>
          <w:rFonts w:ascii="Arial" w:cs="Arial" w:eastAsia="Arial" w:hAnsi="Arial"/>
          <w:sz w:val="18"/>
          <w:szCs w:val="18"/>
          <w:color w:val="auto"/>
        </w:rPr>
        <w:t>Include for base bond hedge.</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293"/>
        </w:numPr>
        <w:rPr>
          <w:rFonts w:ascii="Arial" w:cs="Arial" w:eastAsia="Arial" w:hAnsi="Arial"/>
          <w:sz w:val="15"/>
          <w:szCs w:val="15"/>
          <w:color w:val="auto"/>
        </w:rPr>
      </w:pPr>
      <w:r>
        <w:rPr>
          <w:rFonts w:ascii="Arial" w:cs="Arial" w:eastAsia="Arial" w:hAnsi="Arial"/>
          <w:sz w:val="18"/>
          <w:szCs w:val="18"/>
          <w:color w:val="auto"/>
        </w:rPr>
        <w:t>Include for additional bond hedge.</w:t>
      </w:r>
    </w:p>
    <w:p>
      <w:pPr>
        <w:spacing w:after="0" w:line="9" w:lineRule="exact"/>
        <w:rPr>
          <w:rFonts w:ascii="Arial" w:cs="Arial" w:eastAsia="Arial" w:hAnsi="Arial"/>
          <w:sz w:val="15"/>
          <w:szCs w:val="15"/>
          <w:color w:val="auto"/>
        </w:rPr>
      </w:pPr>
    </w:p>
    <w:p>
      <w:pPr>
        <w:ind w:left="424" w:hanging="424"/>
        <w:spacing w:after="0" w:line="250" w:lineRule="auto"/>
        <w:tabs>
          <w:tab w:leader="none" w:pos="424" w:val="left"/>
        </w:tabs>
        <w:numPr>
          <w:ilvl w:val="0"/>
          <w:numId w:val="293"/>
        </w:numPr>
        <w:rPr>
          <w:rFonts w:ascii="Arial" w:cs="Arial" w:eastAsia="Arial" w:hAnsi="Arial"/>
          <w:sz w:val="15"/>
          <w:szCs w:val="15"/>
          <w:color w:val="auto"/>
        </w:rPr>
      </w:pPr>
      <w:r>
        <w:rPr>
          <w:rFonts w:ascii="Arial" w:cs="Arial" w:eastAsia="Arial" w:hAnsi="Arial"/>
          <w:sz w:val="18"/>
          <w:szCs w:val="18"/>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293"/>
        </w:numPr>
        <w:rPr>
          <w:rFonts w:ascii="Arial" w:cs="Arial" w:eastAsia="Arial" w:hAnsi="Arial"/>
          <w:sz w:val="15"/>
          <w:szCs w:val="15"/>
          <w:color w:val="auto"/>
        </w:rPr>
      </w:pPr>
      <w:r>
        <w:rPr>
          <w:rFonts w:ascii="Arial" w:cs="Arial" w:eastAsia="Arial" w:hAnsi="Arial"/>
          <w:sz w:val="18"/>
          <w:szCs w:val="18"/>
          <w:color w:val="auto"/>
        </w:rPr>
        <w:t>Insert the initial Conversion Rate for the Convertible Notes.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293"/>
        </w:numPr>
        <w:rPr>
          <w:rFonts w:ascii="Arial" w:cs="Arial" w:eastAsia="Arial" w:hAnsi="Arial"/>
          <w:sz w:val="15"/>
          <w:szCs w:val="15"/>
          <w:color w:val="auto"/>
        </w:rPr>
      </w:pPr>
      <w:r>
        <w:rPr>
          <w:rFonts w:ascii="Arial" w:cs="Arial" w:eastAsia="Arial" w:hAnsi="Arial"/>
          <w:sz w:val="18"/>
          <w:szCs w:val="18"/>
          <w:color w:val="auto"/>
        </w:rPr>
        <w:t>Insert the initial Conversion Price for the Convertible Notes.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55" w:name="page256"/>
    <w:bookmarkEnd w:id="255"/>
    <w:p>
      <w:pPr>
        <w:ind w:left="444"/>
        <w:spacing w:after="0"/>
        <w:rPr>
          <w:sz w:val="20"/>
          <w:szCs w:val="20"/>
          <w:color w:val="auto"/>
        </w:rPr>
      </w:pPr>
      <w:r>
        <w:rPr>
          <w:rFonts w:ascii="Arial" w:cs="Arial" w:eastAsia="Arial" w:hAnsi="Arial"/>
          <w:sz w:val="18"/>
          <w:szCs w:val="18"/>
          <w:i w:val="1"/>
          <w:iCs w:val="1"/>
          <w:u w:val="single" w:color="auto"/>
          <w:color w:val="auto"/>
        </w:rPr>
        <w:t>Procedures for Exercise</w:t>
      </w:r>
      <w:r>
        <w:rPr>
          <w:rFonts w:ascii="Arial" w:cs="Arial" w:eastAsia="Arial" w:hAnsi="Arial"/>
          <w:sz w:val="18"/>
          <w:szCs w:val="18"/>
          <w:i w:val="1"/>
          <w:iCs w:val="1"/>
          <w:color w:val="auto"/>
        </w:rPr>
        <w:t>.</w:t>
      </w:r>
    </w:p>
    <w:p>
      <w:pPr>
        <w:spacing w:after="0" w:line="25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Conversion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Number of Relevant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Free Convertibility Date: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Expiration Time: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Multiple Exercise:</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Automatic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1746250</wp:posOffset>
            </wp:positionV>
            <wp:extent cx="7715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4"/>
          <w:szCs w:val="14"/>
          <w:color w:val="auto"/>
        </w:rPr>
      </w:pPr>
      <w:r>
        <w:rPr>
          <w:rFonts w:ascii="Arial" w:cs="Arial" w:eastAsia="Arial" w:hAnsi="Arial"/>
          <w:sz w:val="17"/>
          <w:szCs w:val="17"/>
          <w:color w:val="auto"/>
        </w:rPr>
        <w:t>Include for Additional Call Option Confirmation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With respect to any conversion of a Convertible Note, the date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-492760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Holder (as such term is defined in the Indenture) of such Convertible</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Note satisfies all of the requirements for conversion thereof as set forth</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Section 13.02(b) of the Indenture (such Convertible Notes, the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Convertible Notes</w:t>
      </w:r>
      <w:r>
        <w:rPr>
          <w:rFonts w:ascii="Arial" w:cs="Arial" w:eastAsia="Arial" w:hAnsi="Arial"/>
          <w:sz w:val="16"/>
          <w:szCs w:val="16"/>
          <w:color w:val="auto"/>
        </w:rPr>
        <w:t xml:space="preserve">” for such Conversion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if Counterparty has not delivered to Dealer a related Notice of Exercise,</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then in no event shall a Conversion Date be deemed to occur hereunder</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(and no Option shall be exercised or deemed to be exercised hereunder)</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with respect to any surrender of a Convertible Note for conversion in</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respect of which Counterparty has elected to designate a financial</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institution for exchange in lieu of conversion of such Convertible Note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pursuant to Section 13.13 of the Indenture.</w:t>
      </w:r>
    </w:p>
    <w:p>
      <w:pPr>
        <w:spacing w:after="0" w:line="103" w:lineRule="exact"/>
        <w:rPr>
          <w:sz w:val="20"/>
          <w:szCs w:val="20"/>
          <w:color w:val="auto"/>
        </w:rPr>
      </w:pPr>
    </w:p>
    <w:p>
      <w:pPr>
        <w:ind w:left="280"/>
        <w:spacing w:after="0" w:line="271" w:lineRule="auto"/>
        <w:rPr>
          <w:sz w:val="20"/>
          <w:szCs w:val="20"/>
          <w:color w:val="auto"/>
        </w:rPr>
      </w:pPr>
      <w:r>
        <w:rPr>
          <w:rFonts w:ascii="Arial" w:cs="Arial" w:eastAsia="Arial" w:hAnsi="Arial"/>
          <w:sz w:val="17"/>
          <w:szCs w:val="17"/>
          <w:color w:val="auto"/>
        </w:rPr>
        <w:t>With respect to any conversion of a Convertible Note, (x) the Number of Options, multiplied by (y) the principal amount of Relevant Convertible Notes, divided by (z) the principal amount of Convertible Notes outstanding (excluding Convertible Notes that have been converted prior to the conversion of the Relevant Convertible Notes but for which settlement has not yet occurred) prior to giving effect to such conversion. For the avoidance of doubt, the Number of Relevant Options may include a fraction of an Option.</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December 1, 2028</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Valuation Time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March 1, 2028, subject to earlier exercise.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Applicable, as described under “Automatic Exercise” below.</w:t>
      </w:r>
    </w:p>
    <w:p>
      <w:pPr>
        <w:spacing w:after="0" w:line="117" w:lineRule="exact"/>
        <w:rPr>
          <w:sz w:val="20"/>
          <w:szCs w:val="20"/>
          <w:color w:val="auto"/>
        </w:rPr>
      </w:pPr>
    </w:p>
    <w:p>
      <w:pPr>
        <w:ind w:left="280" w:right="40"/>
        <w:spacing w:after="0" w:line="284" w:lineRule="auto"/>
        <w:rPr>
          <w:sz w:val="20"/>
          <w:szCs w:val="20"/>
          <w:color w:val="auto"/>
        </w:rPr>
      </w:pPr>
      <w:r>
        <w:rPr>
          <w:rFonts w:ascii="Arial" w:cs="Arial" w:eastAsia="Arial" w:hAnsi="Arial"/>
          <w:sz w:val="16"/>
          <w:szCs w:val="16"/>
          <w:color w:val="auto"/>
        </w:rPr>
        <w:t>Notwithstanding Section 3.4 of the Equity Definitions, on each Conversion Date in respect of which a Notice of Conversion that is effective as to Counterparty has been delivered by the relevant converting Holder, a number of Options equal to [(i)] the Number of Relevant Options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Number of Relevant Options that are or are deemed to be automatically exercised on such Conversion Date under the Base Call Option Transaction Confirmation letter agreement</w:t>
      </w:r>
    </w:p>
    <w:p>
      <w:pPr>
        <w:spacing w:after="0" w:line="2" w:lineRule="exact"/>
        <w:rPr>
          <w:sz w:val="20"/>
          <w:szCs w:val="20"/>
          <w:color w:val="auto"/>
        </w:rPr>
      </w:pPr>
    </w:p>
    <w:p>
      <w:pPr>
        <w:ind w:left="280" w:right="80"/>
        <w:spacing w:after="0" w:line="270" w:lineRule="auto"/>
        <w:rPr>
          <w:sz w:val="20"/>
          <w:szCs w:val="20"/>
          <w:color w:val="auto"/>
        </w:rPr>
      </w:pPr>
      <w:r>
        <w:rPr>
          <w:rFonts w:ascii="Arial" w:cs="Arial" w:eastAsia="Arial" w:hAnsi="Arial"/>
          <w:sz w:val="17"/>
          <w:szCs w:val="17"/>
          <w:color w:val="auto"/>
        </w:rPr>
        <w:t>dated [ ], 2021 between Dealer and Counterparty (the “</w:t>
      </w:r>
      <w:r>
        <w:rPr>
          <w:rFonts w:ascii="Arial" w:cs="Arial" w:eastAsia="Arial" w:hAnsi="Arial"/>
          <w:sz w:val="17"/>
          <w:szCs w:val="17"/>
          <w:b w:val="1"/>
          <w:bCs w:val="1"/>
          <w:color w:val="auto"/>
        </w:rPr>
        <w:t>Base Call</w:t>
      </w:r>
      <w:r>
        <w:rPr>
          <w:rFonts w:ascii="Arial" w:cs="Arial" w:eastAsia="Arial" w:hAnsi="Arial"/>
          <w:sz w:val="17"/>
          <w:szCs w:val="17"/>
          <w:color w:val="auto"/>
        </w:rPr>
        <w:t xml:space="preserve"> </w:t>
      </w:r>
      <w:r>
        <w:rPr>
          <w:rFonts w:ascii="Arial" w:cs="Arial" w:eastAsia="Arial" w:hAnsi="Arial"/>
          <w:sz w:val="17"/>
          <w:szCs w:val="17"/>
          <w:b w:val="1"/>
          <w:bCs w:val="1"/>
          <w:color w:val="auto"/>
        </w:rPr>
        <w:t>Option Confirmation</w:t>
      </w:r>
      <w:r>
        <w:rPr>
          <w:rFonts w:ascii="Arial" w:cs="Arial" w:eastAsia="Arial" w:hAnsi="Arial"/>
          <w:sz w:val="17"/>
          <w:szCs w:val="17"/>
          <w:color w:val="auto"/>
        </w:rPr>
        <w:t>”),]</w:t>
      </w:r>
      <w:r>
        <w:rPr>
          <w:rFonts w:ascii="Arial" w:cs="Arial" w:eastAsia="Arial" w:hAnsi="Arial"/>
          <w:sz w:val="14"/>
          <w:szCs w:val="14"/>
          <w:color w:val="auto"/>
        </w:rPr>
        <w:t>16</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be automatically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Options shall be exercised or deemed exercised only if Counterparty or the Trustee (or other agent authorized by Counterparty and previously identified to Dealer by Counterparty in writing) on behalf</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4744" w:space="720"/>
            <w:col w:w="5540"/>
          </w:cols>
          <w:pgMar w:left="436" w:top="274" w:right="459" w:bottom="1440" w:gutter="0" w:footer="0" w:header="0"/>
        </w:sectPr>
      </w:pPr>
    </w:p>
    <w:bookmarkStart w:id="256" w:name="page257"/>
    <w:bookmarkEnd w:id="256"/>
    <w:p>
      <w:pPr>
        <w:ind w:left="50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Counterparty has provided a Notice of Exercise to Dealer in accordance with “Notice of Exercise” below. If the Trustee (or any other such agent) on behalf of Counterparty provides any Notice of Exercise to Dealer, Dealer shall be entitled to rely on the accuracy of such Notice of Exercise without any independent investigation, and the contents of such notice shall be binding on Counterparty.</w:t>
      </w:r>
    </w:p>
    <w:p>
      <w:pPr>
        <w:spacing w:after="0" w:line="70" w:lineRule="exact"/>
        <w:rPr>
          <w:sz w:val="20"/>
          <w:szCs w:val="20"/>
          <w:color w:val="auto"/>
        </w:rPr>
      </w:pPr>
    </w:p>
    <w:p>
      <w:pPr>
        <w:jc w:val="both"/>
        <w:ind w:left="5020" w:right="80"/>
        <w:spacing w:after="0" w:line="263" w:lineRule="auto"/>
        <w:rPr>
          <w:sz w:val="20"/>
          <w:szCs w:val="20"/>
          <w:color w:val="auto"/>
        </w:rPr>
      </w:pPr>
      <w:r>
        <w:rPr>
          <w:rFonts w:ascii="Arial" w:cs="Arial" w:eastAsia="Arial" w:hAnsi="Arial"/>
          <w:sz w:val="18"/>
          <w:szCs w:val="18"/>
          <w:color w:val="auto"/>
        </w:rPr>
        <w:t>Notwithstanding the foregoing, in no event shall the number of Options that are exercised or deemed exercised hereunder exceed the Number of Options.</w:t>
      </w:r>
    </w:p>
    <w:p>
      <w:pPr>
        <w:sectPr>
          <w:pgSz w:w="11900" w:h="16838" w:orient="portrait"/>
          <w:cols w:equalWidth="0" w:num="1">
            <w:col w:w="10280"/>
          </w:cols>
          <w:pgMar w:left="1160" w:top="274" w:right="45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Notice of Exercise: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Notwithstanding anything to the contrary in the Equity Definitions or under “Automatic Exercise” above, in order to exercise any Options, Counterparty or the Trustee (or other agent authorized by Counterparty and previously identified to Dealer by Counterparty in writing) on behalf of Counterparty must notify Dealer in writing before 5:00 p.m. (New York City time) on the Scheduled Valid Day immediately preceding the scheduled first day of the Settlement Averaging Period for the Options being exercised (the “</w:t>
      </w:r>
      <w:r>
        <w:rPr>
          <w:rFonts w:ascii="Arial" w:cs="Arial" w:eastAsia="Arial" w:hAnsi="Arial"/>
          <w:sz w:val="16"/>
          <w:szCs w:val="16"/>
          <w:b w:val="1"/>
          <w:bCs w:val="1"/>
          <w:color w:val="auto"/>
        </w:rPr>
        <w:t>Exercise Notice Deadline</w:t>
      </w:r>
      <w:r>
        <w:rPr>
          <w:rFonts w:ascii="Arial" w:cs="Arial" w:eastAsia="Arial" w:hAnsi="Arial"/>
          <w:sz w:val="16"/>
          <w:szCs w:val="16"/>
          <w:color w:val="auto"/>
        </w:rPr>
        <w:t>”) of (i) the Number of Relevant Options and the aggregate principal amount of Convertible Notes outstanding on such date immediately prior to such conversion (upon which Dealer shall be entitled to rely on the accuracy of such amount without any independent investigation), (ii) the scheduled first day of the Settlement Averaging Period and the scheduled Settlement Date, (iii) the Relevant Settlement Method for such Options, and (iv) if the Relevant Settlement Method for such Options is Combination Settlement, the percentage of the consideration due upon conversion per Convertible Note in excess of the principal amount thereof that Counterparty has elected to pay to Holders (as such term is defined in the Indenture) of the Relevant Convertible Notes in cash (the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notwithstanding the foregoing, such notice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related exercise of Options) shall be effective if given after the Exercise Notice Deadline, but prior to 4:00 p.m. (New York City time) on the fifth Scheduled Valid Day following the Exercise Notice Deadline;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respect of any Options relating to Relevant Convertible Notes with a Conversion Date occurring on or after the Free Convertibility Date, (A) such notice may be given on or prior to the second Scheduled Valid Day immediately preceding the Expiration Date and need only specify the information required in clause (i) above, and (B) if the Relevant Settlement Method for such Options is not Net Share Settlement, Dealer shall have received a separate notice (the “</w:t>
      </w:r>
      <w:r>
        <w:rPr>
          <w:rFonts w:ascii="Arial" w:cs="Arial" w:eastAsia="Arial" w:hAnsi="Arial"/>
          <w:sz w:val="16"/>
          <w:szCs w:val="16"/>
          <w:b w:val="1"/>
          <w:bCs w:val="1"/>
          <w:color w:val="auto"/>
        </w:rPr>
        <w:t>Notice of Final Settlement Method</w:t>
      </w:r>
      <w:r>
        <w:rPr>
          <w:rFonts w:ascii="Arial" w:cs="Arial" w:eastAsia="Arial" w:hAnsi="Arial"/>
          <w:sz w:val="16"/>
          <w:szCs w:val="16"/>
          <w:color w:val="auto"/>
        </w:rPr>
        <w:t>”) in respect of all such Convertible Notes before 5:00 p.m. (New York City time) on the Free Convertibility Date specifying the information required in clauses (iii) and, if applicable, (iv) above. If the Trustee (or any other such</w:t>
      </w:r>
    </w:p>
    <w:p>
      <w:pPr>
        <w:spacing w:after="0" w:line="20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line="133"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80"/>
          </w:cols>
          <w:pgMar w:left="1160" w:top="274" w:right="459" w:bottom="1440" w:gutter="0" w:footer="0" w:header="0"/>
          <w:type w:val="continuous"/>
        </w:sectPr>
      </w:pPr>
    </w:p>
    <w:bookmarkStart w:id="257" w:name="page258"/>
    <w:bookmarkEnd w:id="257"/>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2"/>
              </w:rPr>
              <w:t>agent) on behalf of Counterparty provides such notice to Dealer, Dealer</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4"/>
              </w:rPr>
              <w:t>shall be entitled to rely on the accuracy of any such notice without any</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8"/>
              </w:rPr>
              <w:t>independent investigation, and the contents of such notice shall be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6"/>
              </w:rPr>
              <w:t>binding on Counterparty. For the avoidance of doubt, if Counterparty</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3"/>
              </w:rPr>
              <w:t>fails to give notice as required above when due (such failure to provide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0"/>
              </w:rPr>
              <w:t>notice when due shall exclude, for these purposes, any notices delivered</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2"/>
              </w:rPr>
              <w:t>after the Exercise Notice Deadline but prior to 4:00 p.m. (New York City</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8"/>
              </w:rPr>
              <w:t>time) on the fifth scheduled Valid Day following the Exercise Notice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7"/>
              </w:rPr>
              <w:t>Deadline) in respect of any exercise of Options hereunder, Dealer’s</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3"/>
              </w:rPr>
              <w:t>obligation to make any payment or delivery in respect of such exercise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4"/>
              </w:rPr>
              <w:t>shall be permanently extinguished, and late notice shall not cure such</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rPr>
              <w:t>failure.</w:t>
            </w:r>
          </w:p>
        </w:tc>
      </w:tr>
      <w:tr>
        <w:trPr>
          <w:trHeight w:val="310"/>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Valuation Time:</w:t>
            </w:r>
          </w:p>
        </w:tc>
        <w:tc>
          <w:tcPr>
            <w:tcW w:w="6980" w:type="dxa"/>
            <w:vAlign w:val="bottom"/>
          </w:tcPr>
          <w:p>
            <w:pPr>
              <w:ind w:left="1720"/>
              <w:spacing w:after="0"/>
              <w:rPr>
                <w:sz w:val="20"/>
                <w:szCs w:val="20"/>
                <w:color w:val="auto"/>
              </w:rPr>
            </w:pPr>
            <w:r>
              <w:rPr>
                <w:rFonts w:ascii="Arial" w:cs="Arial" w:eastAsia="Arial" w:hAnsi="Arial"/>
                <w:sz w:val="18"/>
                <w:szCs w:val="18"/>
                <w:color w:val="auto"/>
                <w:w w:val="94"/>
              </w:rPr>
              <w:t>At the close of trading of the regular trading session on the Exchange;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i w:val="1"/>
                <w:iCs w:val="1"/>
                <w:color w:val="auto"/>
                <w:w w:val="90"/>
              </w:rPr>
              <w:t xml:space="preserve">provided </w:t>
            </w:r>
            <w:r>
              <w:rPr>
                <w:rFonts w:ascii="Arial" w:cs="Arial" w:eastAsia="Arial" w:hAnsi="Arial"/>
                <w:sz w:val="18"/>
                <w:szCs w:val="18"/>
                <w:color w:val="auto"/>
                <w:w w:val="90"/>
              </w:rPr>
              <w:t>that if the principal trading session is extended past the close of</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5"/>
              </w:rPr>
              <w:t>the regular trading session for such Exchange, the Calculation Agent</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rPr>
              <w:t>shall determine the Valuation Time in its commercially reasonable</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rPr>
              <w:t>discretion.</w:t>
            </w:r>
          </w:p>
        </w:tc>
      </w:tr>
      <w:tr>
        <w:trPr>
          <w:trHeight w:val="310"/>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Market Disruption Event:</w:t>
            </w:r>
          </w:p>
        </w:tc>
        <w:tc>
          <w:tcPr>
            <w:tcW w:w="6980" w:type="dxa"/>
            <w:vAlign w:val="bottom"/>
          </w:tcPr>
          <w:p>
            <w:pPr>
              <w:ind w:left="1720"/>
              <w:spacing w:after="0"/>
              <w:rPr>
                <w:sz w:val="20"/>
                <w:szCs w:val="20"/>
                <w:color w:val="auto"/>
              </w:rPr>
            </w:pPr>
            <w:r>
              <w:rPr>
                <w:rFonts w:ascii="Arial" w:cs="Arial" w:eastAsia="Arial" w:hAnsi="Arial"/>
                <w:sz w:val="18"/>
                <w:szCs w:val="18"/>
                <w:color w:val="auto"/>
                <w:w w:val="92"/>
              </w:rPr>
              <w:t>Section 6.3(a) of the Equity Definitions is hereby replaced in its entirety</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rPr>
              <w:t>by the following:</w:t>
            </w:r>
          </w:p>
        </w:tc>
      </w:tr>
      <w:tr>
        <w:trPr>
          <w:trHeight w:val="310"/>
        </w:trPr>
        <w:tc>
          <w:tcPr>
            <w:tcW w:w="1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8"/>
              </w:rPr>
              <w:t>“‘Market Disruption Event’ means (i) a failure by the primary United</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3"/>
              </w:rPr>
              <w:t>States national or regional securities exchange or market on which the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6"/>
              </w:rPr>
              <w:t>Shares are listed or admitted for trading to open for trading during its</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4"/>
              </w:rPr>
              <w:t>regular trading session or (ii) the occurrence or existence prior to 1:00</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4"/>
              </w:rPr>
              <w:t>p.m. (New York City time) on any Scheduled Valid Day for the Shares</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9"/>
              </w:rPr>
              <w:t>for more than one half-hour period in the aggregate during regular</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6"/>
              </w:rPr>
              <w:t>trading hours of any suspension or limitation imposed on trading (by</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3"/>
              </w:rPr>
              <w:t>reason of movements in price exceeding limits permitted by such stock</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8"/>
              </w:rPr>
              <w:t>exchange or otherwise) in the Shares or in any options contracts or</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8"/>
              </w:rPr>
              <w:t>futures contracts on any Related Exchange relating to the Shares.”</w:t>
            </w:r>
          </w:p>
        </w:tc>
      </w:tr>
      <w:tr>
        <w:trPr>
          <w:trHeight w:val="283"/>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Settlement Terms</w:t>
            </w:r>
            <w:r>
              <w:rPr>
                <w:rFonts w:ascii="Arial" w:cs="Arial" w:eastAsia="Arial" w:hAnsi="Arial"/>
                <w:sz w:val="18"/>
                <w:szCs w:val="18"/>
                <w:color w:val="auto"/>
              </w:rPr>
              <w:t>.</w:t>
            </w:r>
          </w:p>
        </w:tc>
        <w:tc>
          <w:tcPr>
            <w:tcW w:w="698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330"/>
        </w:trPr>
        <w:tc>
          <w:tcPr>
            <w:tcW w:w="3660" w:type="dxa"/>
            <w:vAlign w:val="bottom"/>
            <w:gridSpan w:val="2"/>
          </w:tcPr>
          <w:p>
            <w:pPr>
              <w:ind w:left="360"/>
              <w:spacing w:after="0"/>
              <w:rPr>
                <w:sz w:val="20"/>
                <w:szCs w:val="20"/>
                <w:color w:val="auto"/>
              </w:rPr>
            </w:pPr>
            <w:r>
              <w:rPr>
                <w:rFonts w:ascii="Arial" w:cs="Arial" w:eastAsia="Arial" w:hAnsi="Arial"/>
                <w:sz w:val="18"/>
                <w:szCs w:val="18"/>
                <w:color w:val="auto"/>
              </w:rPr>
              <w:t>Settlement Method:</w:t>
            </w:r>
          </w:p>
        </w:tc>
        <w:tc>
          <w:tcPr>
            <w:tcW w:w="6980" w:type="dxa"/>
            <w:vAlign w:val="bottom"/>
          </w:tcPr>
          <w:p>
            <w:pPr>
              <w:ind w:left="1720"/>
              <w:spacing w:after="0"/>
              <w:rPr>
                <w:sz w:val="20"/>
                <w:szCs w:val="20"/>
                <w:color w:val="auto"/>
              </w:rPr>
            </w:pPr>
            <w:r>
              <w:rPr>
                <w:rFonts w:ascii="Arial" w:cs="Arial" w:eastAsia="Arial" w:hAnsi="Arial"/>
                <w:sz w:val="18"/>
                <w:szCs w:val="18"/>
                <w:color w:val="auto"/>
                <w:w w:val="97"/>
              </w:rPr>
              <w:t xml:space="preserve">For any Option, Net Share Settlement;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if the Relevant</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8"/>
              </w:rPr>
              <w:t>Settlement Method set forth below for such Option is not Net Share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4"/>
              </w:rPr>
              <w:t>Settlement, then the Settlement Method for such Option shall be such</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7"/>
              </w:rPr>
              <w:t>Relevant Settlement Method, but only if Counterparty or Trustee (or</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8"/>
              </w:rPr>
              <w:t>other agent authorized by Counterparty and previously identified to</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9"/>
              </w:rPr>
              <w:t>Dealer by Counterparty in writing) shall have notified Dealer of the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2"/>
              </w:rPr>
              <w:t>Relevant Settlement Method in the Notice of Exercise or Notice of Final</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1"/>
              </w:rPr>
              <w:t>Settlement Method, as applicable, for such Option. If the Trustee (or any</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4"/>
              </w:rPr>
              <w:t>other such agent) on behalf of Counterparty provides any such notice,</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5"/>
              </w:rPr>
              <w:t>Dealer shall be entitled to rely on the accuracy of such notice without</w:t>
            </w:r>
          </w:p>
        </w:tc>
      </w:tr>
      <w:tr>
        <w:trPr>
          <w:trHeight w:val="216"/>
        </w:trPr>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w w:val="92"/>
              </w:rPr>
              <w:t>any independent investigation, and the contents of such notice shall be</w:t>
            </w:r>
          </w:p>
        </w:tc>
      </w:tr>
      <w:tr>
        <w:trPr>
          <w:trHeight w:val="230"/>
        </w:trPr>
        <w:tc>
          <w:tcPr>
            <w:tcW w:w="1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80" w:type="dxa"/>
            <w:vAlign w:val="bottom"/>
          </w:tcPr>
          <w:p>
            <w:pPr>
              <w:ind w:left="1720"/>
              <w:spacing w:after="0"/>
              <w:rPr>
                <w:sz w:val="20"/>
                <w:szCs w:val="20"/>
                <w:color w:val="auto"/>
              </w:rPr>
            </w:pPr>
            <w:r>
              <w:rPr>
                <w:rFonts w:ascii="Arial" w:cs="Arial" w:eastAsia="Arial" w:hAnsi="Arial"/>
                <w:sz w:val="18"/>
                <w:szCs w:val="18"/>
                <w:color w:val="auto"/>
              </w:rPr>
              <w:t>binding on Counterparty. Counterparty acknowledges its</w:t>
            </w:r>
          </w:p>
        </w:tc>
      </w:tr>
      <w:tr>
        <w:trPr>
          <w:trHeight w:val="365"/>
        </w:trPr>
        <w:tc>
          <w:tcPr>
            <w:tcW w:w="1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980" w:type="dxa"/>
            <w:vAlign w:val="bottom"/>
          </w:tcPr>
          <w:p>
            <w:pPr>
              <w:ind w:left="1440"/>
              <w:spacing w:after="0"/>
              <w:rPr>
                <w:sz w:val="20"/>
                <w:szCs w:val="20"/>
                <w:color w:val="auto"/>
              </w:rPr>
            </w:pPr>
            <w:r>
              <w:rPr>
                <w:rFonts w:ascii="Arial" w:cs="Arial" w:eastAsia="Arial" w:hAnsi="Arial"/>
                <w:sz w:val="18"/>
                <w:szCs w:val="18"/>
                <w:color w:val="auto"/>
              </w:rPr>
              <w:t>6</w:t>
            </w:r>
          </w:p>
        </w:tc>
      </w:tr>
    </w:tbl>
    <w:p>
      <w:pPr>
        <w:ind w:left="1440"/>
        <w:spacing w:after="0"/>
        <w:rPr>
          <w:sz w:val="20"/>
          <w:szCs w:val="20"/>
          <w:color w:val="auto"/>
        </w:rPr>
        <w:sectPr>
          <w:pgSz w:w="11900" w:h="16838" w:orient="portrait"/>
          <w:cols w:equalWidth="0" w:num="1">
            <w:col w:w="10640"/>
          </w:cols>
          <w:pgMar w:left="80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58" w:name="page259"/>
    <w:bookmarkEnd w:id="258"/>
    <w:p>
      <w:pPr>
        <w:ind w:left="5020"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responsibilities under applicable securities laws, and in particular Section 9 and Section 10(b) of the Exchange Act (as defined below) and the rules and regulations thereunder, in respect of any election of a settlement method with respect to the Relevant Convertible Notes.</w:t>
      </w:r>
    </w:p>
    <w:p>
      <w:pPr>
        <w:sectPr>
          <w:pgSz w:w="11900" w:h="16838" w:orient="portrait"/>
          <w:cols w:equalWidth="0" w:num="1">
            <w:col w:w="10280"/>
          </w:cols>
          <w:pgMar w:left="1160" w:top="274" w:right="45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Relevant Settlement Method:</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 respect of any Option:</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5360" w:right="20" w:hanging="359"/>
        <w:spacing w:after="0" w:line="272" w:lineRule="auto"/>
        <w:tabs>
          <w:tab w:leader="none" w:pos="53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if Counterparty has not elected to settle all or any portion of its conversion obligations in respect of the Relevant Convertible Note in excess of its principal amount in cash either by specifying a Cash Percentage of 0% or not timely specifying a Cash Percentage, in each case, pursuant to Section [13.02(a)(iii)] of the Indenture, then the Relevant Settlement Method for such Option shall be Net Share Settlement;</w:t>
      </w:r>
    </w:p>
    <w:p>
      <w:pPr>
        <w:spacing w:after="0" w:line="69" w:lineRule="exact"/>
        <w:rPr>
          <w:sz w:val="20"/>
          <w:szCs w:val="20"/>
          <w:color w:val="auto"/>
        </w:rPr>
      </w:pPr>
    </w:p>
    <w:p>
      <w:pPr>
        <w:ind w:left="5380" w:right="80" w:hanging="359"/>
        <w:spacing w:after="0" w:line="293" w:lineRule="auto"/>
        <w:rPr>
          <w:sz w:val="20"/>
          <w:szCs w:val="20"/>
          <w:color w:val="auto"/>
        </w:rPr>
      </w:pPr>
      <w:r>
        <w:rPr>
          <w:rFonts w:ascii="Arial" w:cs="Arial" w:eastAsia="Arial" w:hAnsi="Arial"/>
          <w:sz w:val="16"/>
          <w:szCs w:val="16"/>
          <w:color w:val="auto"/>
        </w:rPr>
        <w:t>(ii) if Counterparty has elected to settle its conversion obligations in respect of the Relevant Convertible Note in excess of its principal amount in a combination of cash and Shares by specifying a Cash Percentage less than 100% but greater than 0% pursuant to Section [13.02(a)(iii)] of the Indenture, then the Relevant Settlement Method for such Option shall be Combination Settlement; and</w:t>
      </w:r>
    </w:p>
    <w:p>
      <w:pPr>
        <w:spacing w:after="0" w:line="56" w:lineRule="exact"/>
        <w:rPr>
          <w:sz w:val="20"/>
          <w:szCs w:val="20"/>
          <w:color w:val="auto"/>
        </w:rPr>
      </w:pPr>
    </w:p>
    <w:p>
      <w:pPr>
        <w:ind w:left="5380" w:right="60" w:hanging="359"/>
        <w:spacing w:after="0" w:line="293" w:lineRule="auto"/>
        <w:rPr>
          <w:sz w:val="20"/>
          <w:szCs w:val="20"/>
          <w:color w:val="auto"/>
        </w:rPr>
      </w:pPr>
      <w:r>
        <w:rPr>
          <w:rFonts w:ascii="Arial" w:cs="Arial" w:eastAsia="Arial" w:hAnsi="Arial"/>
          <w:sz w:val="16"/>
          <w:szCs w:val="16"/>
          <w:color w:val="auto"/>
        </w:rPr>
        <w:t>(iii) if Counterparty has elected to settle its conversion obligations in respect of the Relevant Convertible Note in excess of its principal amount entirely in cash by specifying a Cash Percentage of 100% pursuant to Section [13.02(a)(iii)] of the Indenture (such settlement method, “</w:t>
      </w:r>
      <w:r>
        <w:rPr>
          <w:rFonts w:ascii="Arial" w:cs="Arial" w:eastAsia="Arial" w:hAnsi="Arial"/>
          <w:sz w:val="16"/>
          <w:szCs w:val="16"/>
          <w:b w:val="1"/>
          <w:bCs w:val="1"/>
          <w:color w:val="auto"/>
        </w:rPr>
        <w:t>Settlement in Cash”),</w:t>
      </w:r>
      <w:r>
        <w:rPr>
          <w:rFonts w:ascii="Arial" w:cs="Arial" w:eastAsia="Arial" w:hAnsi="Arial"/>
          <w:sz w:val="16"/>
          <w:szCs w:val="16"/>
          <w:color w:val="auto"/>
        </w:rPr>
        <w:t xml:space="preserve"> then the Relevant Settlement Method for such Option shall be Cash Settlement.</w:t>
      </w:r>
    </w:p>
    <w:p>
      <w:pPr>
        <w:sectPr>
          <w:pgSz w:w="11900" w:h="16838" w:orient="portrait"/>
          <w:cols w:equalWidth="0" w:num="1">
            <w:col w:w="10280"/>
          </w:cols>
          <w:pgMar w:left="1160" w:top="274" w:right="45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Net Share Settlement: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Net Share Settlement is applicable to any Option exercised or deemed exercised hereunder, Dealer will deliver to Counterparty, on the relevant Settlement Date for each such Option, a number of Shares (the “</w:t>
      </w:r>
      <w:r>
        <w:rPr>
          <w:rFonts w:ascii="Arial" w:cs="Arial" w:eastAsia="Arial" w:hAnsi="Arial"/>
          <w:sz w:val="16"/>
          <w:szCs w:val="16"/>
          <w:b w:val="1"/>
          <w:b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color w:val="auto"/>
        </w:rPr>
        <w:t>Share Settlement Amount</w:t>
      </w:r>
      <w:r>
        <w:rPr>
          <w:rFonts w:ascii="Arial" w:cs="Arial" w:eastAsia="Arial" w:hAnsi="Arial"/>
          <w:sz w:val="16"/>
          <w:szCs w:val="16"/>
          <w:color w:val="auto"/>
        </w:rPr>
        <w:t>”) equal to the sum, for each Valid Day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during the Settlement Averaging Period for each such Option, of (i) (a) the Daily Option Value for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Relevant Price on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number of Valid Days in the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Net Share Settlement Amount for any Option exceed a number of Shares equal to the Applicable Limit for such Option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Applicable Limit Price on the Settlement Date for such Option.</w:t>
      </w:r>
    </w:p>
    <w:p>
      <w:pPr>
        <w:spacing w:after="0" w:line="64"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5020"/>
        <w:spacing w:after="0" w:line="311" w:lineRule="auto"/>
        <w:rPr>
          <w:sz w:val="20"/>
          <w:szCs w:val="20"/>
          <w:color w:val="auto"/>
        </w:rPr>
      </w:pPr>
      <w:r>
        <w:rPr>
          <w:rFonts w:ascii="Arial" w:cs="Arial" w:eastAsia="Arial" w:hAnsi="Arial"/>
          <w:sz w:val="16"/>
          <w:szCs w:val="16"/>
          <w:color w:val="auto"/>
        </w:rPr>
        <w:t>Dealer will pay cash in lieu of delivering any fractional Shares to be delivered with respect to any Net Share Settlement Amount valued at the Relevant Price for the last Valid Day of the Settlement Averaging Period.</w:t>
      </w:r>
    </w:p>
    <w:p>
      <w:pPr>
        <w:spacing w:after="0" w:line="8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80"/>
          </w:cols>
          <w:pgMar w:left="1160" w:top="274" w:right="459" w:bottom="1440" w:gutter="0" w:footer="0" w:header="0"/>
          <w:type w:val="continuous"/>
        </w:sectPr>
      </w:pPr>
    </w:p>
    <w:bookmarkStart w:id="259" w:name="page260"/>
    <w:bookmarkEnd w:id="259"/>
    <w:p>
      <w:pPr>
        <w:spacing w:after="0"/>
        <w:rPr>
          <w:sz w:val="20"/>
          <w:szCs w:val="20"/>
          <w:color w:val="auto"/>
        </w:rPr>
      </w:pPr>
      <w:r>
        <w:rPr>
          <w:rFonts w:ascii="Arial" w:cs="Arial" w:eastAsia="Arial" w:hAnsi="Arial"/>
          <w:sz w:val="16"/>
          <w:szCs w:val="16"/>
          <w:color w:val="auto"/>
        </w:rPr>
        <w:t>Combination Settlement: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-652145</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4300" w:space="720"/>
            <w:col w:w="5260"/>
          </w:cols>
          <w:pgMar w:left="1160" w:top="274" w:right="459" w:bottom="1440" w:gutter="0" w:footer="0" w:header="0"/>
        </w:sectPr>
      </w:pPr>
    </w:p>
    <w:p>
      <w:pPr>
        <w:ind w:left="5360" w:hanging="359"/>
        <w:spacing w:after="0" w:line="253" w:lineRule="auto"/>
        <w:tabs>
          <w:tab w:leader="none" w:pos="5340" w:val="left"/>
        </w:tabs>
        <w:rPr>
          <w:sz w:val="20"/>
          <w:szCs w:val="20"/>
          <w:color w:val="auto"/>
        </w:rPr>
      </w:pPr>
      <w:r>
        <w:rPr>
          <w:rFonts w:ascii="Arial" w:cs="Arial" w:eastAsia="Arial" w:hAnsi="Arial"/>
          <w:sz w:val="18"/>
          <w:szCs w:val="18"/>
          <w:color w:val="auto"/>
        </w:rPr>
        <w:t>(i)</w:t>
        <w:tab/>
        <w:t>cash (the “</w:t>
      </w:r>
      <w:r>
        <w:rPr>
          <w:rFonts w:ascii="Arial" w:cs="Arial" w:eastAsia="Arial" w:hAnsi="Arial"/>
          <w:sz w:val="18"/>
          <w:szCs w:val="18"/>
          <w:b w:val="1"/>
          <w:bCs w:val="1"/>
          <w:color w:val="auto"/>
        </w:rPr>
        <w:t>Combination Settlement Cash Amount</w:t>
      </w:r>
      <w:r>
        <w:rPr>
          <w:rFonts w:ascii="Arial" w:cs="Arial" w:eastAsia="Arial" w:hAnsi="Arial"/>
          <w:sz w:val="18"/>
          <w:szCs w:val="18"/>
          <w:color w:val="auto"/>
        </w:rPr>
        <w:t>”) equal to the sum, for each Valid Day during the Settlement Averaging Period for such Option, of (A) an amount (the “</w:t>
      </w:r>
      <w:r>
        <w:rPr>
          <w:rFonts w:ascii="Arial" w:cs="Arial" w:eastAsia="Arial" w:hAnsi="Arial"/>
          <w:sz w:val="18"/>
          <w:szCs w:val="18"/>
          <w:b w:val="1"/>
          <w:bCs w:val="1"/>
          <w:color w:val="auto"/>
        </w:rPr>
        <w:t>Daily Combination</w:t>
      </w:r>
      <w:r>
        <w:rPr>
          <w:rFonts w:ascii="Arial" w:cs="Arial" w:eastAsia="Arial" w:hAnsi="Arial"/>
          <w:sz w:val="18"/>
          <w:szCs w:val="18"/>
          <w:color w:val="auto"/>
        </w:rPr>
        <w:t xml:space="preserve"> </w:t>
      </w:r>
      <w:r>
        <w:rPr>
          <w:rFonts w:ascii="Arial" w:cs="Arial" w:eastAsia="Arial" w:hAnsi="Arial"/>
          <w:sz w:val="18"/>
          <w:szCs w:val="18"/>
          <w:b w:val="1"/>
          <w:bCs w:val="1"/>
          <w:color w:val="auto"/>
        </w:rPr>
        <w:t>Settlement Cash Amount</w:t>
      </w:r>
      <w:r>
        <w:rPr>
          <w:rFonts w:ascii="Arial" w:cs="Arial" w:eastAsia="Arial" w:hAnsi="Arial"/>
          <w:sz w:val="18"/>
          <w:szCs w:val="18"/>
          <w:color w:val="auto"/>
        </w:rPr>
        <w:t>”) equal to the product of (1)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Percentage and (2) the Daily Option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number of Valid Days in the Settlement Averaging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calculation in clause (A) above results in zero or a negative number for any Valid Day, the Daily Combination Settlement Cash Amount for such Valid Day shall be deemed to be zero; and</w:t>
      </w:r>
    </w:p>
    <w:p>
      <w:pPr>
        <w:spacing w:after="0" w:line="8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(ii)  Shares (the “</w:t>
      </w:r>
      <w:r>
        <w:rPr>
          <w:rFonts w:ascii="Arial" w:cs="Arial" w:eastAsia="Arial" w:hAnsi="Arial"/>
          <w:sz w:val="17"/>
          <w:szCs w:val="17"/>
          <w:b w:val="1"/>
          <w:bCs w:val="1"/>
          <w:color w:val="auto"/>
        </w:rPr>
        <w:t>Combination Settlement Share Amount</w:t>
      </w:r>
      <w:r>
        <w:rPr>
          <w:rFonts w:ascii="Arial" w:cs="Arial" w:eastAsia="Arial" w:hAnsi="Arial"/>
          <w:sz w:val="17"/>
          <w:szCs w:val="17"/>
          <w:color w:val="auto"/>
        </w:rPr>
        <w:t>”) equal to</w:t>
      </w:r>
    </w:p>
    <w:p>
      <w:pPr>
        <w:spacing w:after="0" w:line="3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the sum, for each Valid Day during the Settlement Averaging Period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for such Option, of a number of Shares for such Valid Day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Combination Settlement Share Amount</w:t>
      </w:r>
      <w:r>
        <w:rPr>
          <w:rFonts w:ascii="Arial" w:cs="Arial" w:eastAsia="Arial" w:hAnsi="Arial"/>
          <w:sz w:val="16"/>
          <w:szCs w:val="16"/>
          <w:color w:val="auto"/>
        </w:rPr>
        <w:t>”) equal to (A) (1)</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xml:space="preserve">the Daily Option Value on such Valid Day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Daily</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 xml:space="preserve">Combination Settlement Cash Amount for such Valid Day, </w:t>
      </w:r>
      <w:r>
        <w:rPr>
          <w:rFonts w:ascii="Arial" w:cs="Arial" w:eastAsia="Arial" w:hAnsi="Arial"/>
          <w:sz w:val="16"/>
          <w:szCs w:val="16"/>
          <w:i w:val="1"/>
          <w:iCs w:val="1"/>
          <w:color w:val="auto"/>
        </w:rPr>
        <w:t>divided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i w:val="1"/>
          <w:iCs w:val="1"/>
          <w:color w:val="auto"/>
        </w:rPr>
        <w:t xml:space="preserve">by </w:t>
      </w:r>
      <w:r>
        <w:rPr>
          <w:rFonts w:ascii="Arial" w:cs="Arial" w:eastAsia="Arial" w:hAnsi="Arial"/>
          <w:sz w:val="17"/>
          <w:szCs w:val="17"/>
          <w:color w:val="auto"/>
        </w:rPr>
        <w:t>(2) the Relevant Price on such Valid Day,</w:t>
      </w:r>
      <w:r>
        <w:rPr>
          <w:rFonts w:ascii="Arial" w:cs="Arial" w:eastAsia="Arial" w:hAnsi="Arial"/>
          <w:sz w:val="17"/>
          <w:szCs w:val="17"/>
          <w:i w:val="1"/>
          <w:iCs w:val="1"/>
          <w:color w:val="auto"/>
        </w:rPr>
        <w:t xml:space="preserve"> divided by </w:t>
      </w:r>
      <w:r>
        <w:rPr>
          <w:rFonts w:ascii="Arial" w:cs="Arial" w:eastAsia="Arial" w:hAnsi="Arial"/>
          <w:sz w:val="17"/>
          <w:szCs w:val="17"/>
          <w:color w:val="auto"/>
        </w:rPr>
        <w:t>(B)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 xml:space="preserve">number of Valid Days in the Settlement Averaging Period; </w:t>
      </w:r>
      <w:r>
        <w:rPr>
          <w:rFonts w:ascii="Arial" w:cs="Arial" w:eastAsia="Arial" w:hAnsi="Arial"/>
          <w:sz w:val="16"/>
          <w:szCs w:val="16"/>
          <w:i w:val="1"/>
          <w:iCs w:val="1"/>
          <w:color w:val="auto"/>
        </w:rPr>
        <w:t>provided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that if the calculation in sub-clause (A)(1) above results in zero or a</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negative number for any Valid Day, the Daily Combination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Settlement Share Amount for such Valid Day shall be deemed to be</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zero;</w:t>
      </w:r>
    </w:p>
    <w:p>
      <w:pPr>
        <w:spacing w:after="0" w:line="103" w:lineRule="exact"/>
        <w:rPr>
          <w:sz w:val="20"/>
          <w:szCs w:val="20"/>
          <w:color w:val="auto"/>
        </w:rPr>
      </w:pPr>
    </w:p>
    <w:p>
      <w:pPr>
        <w:ind w:left="5020" w:right="20"/>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event shall the sum of (x) the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Cash Amount for any Option and (y) the Combination Settlement Share Amount for such Option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Applicable Limit Price on the Settlement Date for such Option, exceed the Applicable Limit for such Option. If any reduction is made to the delivery obligation hereunder as a result of the foregoing, such reduction shall first be made to any Combination Settlement Share Amount.</w:t>
      </w:r>
    </w:p>
    <w:p>
      <w:pPr>
        <w:spacing w:after="0" w:line="58" w:lineRule="exact"/>
        <w:rPr>
          <w:sz w:val="20"/>
          <w:szCs w:val="20"/>
          <w:color w:val="auto"/>
        </w:rPr>
      </w:pPr>
    </w:p>
    <w:p>
      <w:pPr>
        <w:ind w:left="5020"/>
        <w:spacing w:after="0" w:line="311" w:lineRule="auto"/>
        <w:rPr>
          <w:sz w:val="20"/>
          <w:szCs w:val="20"/>
          <w:color w:val="auto"/>
        </w:rPr>
      </w:pPr>
      <w:r>
        <w:rPr>
          <w:rFonts w:ascii="Arial" w:cs="Arial" w:eastAsia="Arial" w:hAnsi="Arial"/>
          <w:sz w:val="16"/>
          <w:szCs w:val="16"/>
          <w:color w:val="auto"/>
        </w:rPr>
        <w:t>Dealer will deliver cash in lieu of any fractional Shares to be delivered with respect to any Combination Settlement Share Amount valued at the Relevant Price for the last Valid Day of the Settlement Averaging Period.</w:t>
      </w:r>
    </w:p>
    <w:p>
      <w:pPr>
        <w:sectPr>
          <w:pgSz w:w="11900" w:h="16838" w:orient="portrait"/>
          <w:cols w:equalWidth="0" w:num="1">
            <w:col w:w="10280"/>
          </w:cols>
          <w:pgMar w:left="1160" w:top="274" w:right="4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Cash Settlement: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Cash Settlement is applicable to any Option exercised or deemed exercised hereunder, in lieu of Section 8.1 of the Equity Definitions, Dealer will pay to Counterparty, on the relevant Settlement Date for each such Option, an amount of cash (the “</w:t>
      </w:r>
      <w:r>
        <w:rPr>
          <w:rFonts w:ascii="Arial" w:cs="Arial" w:eastAsia="Arial" w:hAnsi="Arial"/>
          <w:sz w:val="17"/>
          <w:szCs w:val="17"/>
          <w:b w:val="1"/>
          <w:bCs w:val="1"/>
          <w:color w:val="auto"/>
        </w:rPr>
        <w:t>Cash Settlement Amount</w:t>
      </w:r>
      <w:r>
        <w:rPr>
          <w:rFonts w:ascii="Arial" w:cs="Arial" w:eastAsia="Arial" w:hAnsi="Arial"/>
          <w:sz w:val="17"/>
          <w:szCs w:val="17"/>
          <w:color w:val="auto"/>
        </w:rPr>
        <w:t>”) equal to the sum, for each Valid Day during the Settlement</w:t>
      </w:r>
    </w:p>
    <w:p>
      <w:pPr>
        <w:spacing w:after="0" w:line="109"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80"/>
          </w:cols>
          <w:pgMar w:left="1160" w:top="274" w:right="459" w:bottom="1440" w:gutter="0" w:footer="0" w:header="0"/>
          <w:type w:val="continuous"/>
        </w:sectPr>
      </w:pPr>
    </w:p>
    <w:bookmarkStart w:id="260" w:name="page261"/>
    <w:bookmarkEnd w:id="260"/>
    <w:p>
      <w:pPr>
        <w:ind w:left="5020"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Averaging Period for such Option, of (i) the Daily Option Value for such Valid Day,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number of Valid Days in the Settlement Averaging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Cash Settlement Amount for any Option exceed the Applicable Limit for such Option.</w:t>
      </w:r>
    </w:p>
    <w:p>
      <w:pPr>
        <w:sectPr>
          <w:pgSz w:w="11900" w:h="16838" w:orient="portrait"/>
          <w:cols w:equalWidth="0" w:num="1">
            <w:col w:w="10280"/>
          </w:cols>
          <w:pgMar w:left="1160" w:top="274" w:right="45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Daily Option Value: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For any Valid Day, an amount equal to (i) the Option Entitlement on such Valid Day,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(a) the Relevant Price on such Valid Day less (b) the Strike Price on such Valid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7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Make-Whole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Notwithstanding anything to the contrary herein, in respect of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exercise of Options relating to a conversion of Convertible Notes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 Make-Whole Fundamental Change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 or a Notice of Redemption (as defined in the Indenture),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each case, for which additional Shares (the “</w:t>
      </w:r>
      <w:r>
        <w:rPr>
          <w:rFonts w:ascii="Arial" w:cs="Arial" w:eastAsia="Arial" w:hAnsi="Arial"/>
          <w:sz w:val="16"/>
          <w:szCs w:val="16"/>
          <w:b w:val="1"/>
          <w:bCs w:val="1"/>
          <w:color w:val="auto"/>
        </w:rPr>
        <w:t>Additional Shares</w:t>
      </w:r>
      <w:r>
        <w:rPr>
          <w:rFonts w:ascii="Arial" w:cs="Arial" w:eastAsia="Arial" w:hAnsi="Arial"/>
          <w:sz w:val="16"/>
          <w:szCs w:val="16"/>
          <w:color w:val="auto"/>
        </w:rPr>
        <w:t>”)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to the “Conversion Rate” (as defined in the Indenture)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determined pursuant to Section 13.03 of the Indenture, the Daily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shall be calculated as if the Option Entitlement included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Applicable Percentage of the number of such Additional Shares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determined with reference to the adjustment set forth in such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13.03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sum of (i) the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 the number of Shares (if any) deliverable by Dealer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Counterparty per exercised Option and (b) the Applicable Limit Price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Date and (ii) the amount of cash (if any) payable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Dealer to Counterparty per exercised Option would otherwise exceed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per Option, as determined by the Calculation Agent, that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payable by Dealer under Section 6 of the Agreement if (x)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relevant Conversion Date were an Early Termination Date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Additional Termination Event with respect to which the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 the sole Affected Transaction and Counterparty was the sole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Affected Party and (y) Section 13.03 of the Indenture were deleted,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Daily Option Value shall be proportionately reduced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eliminate such excess, with such reduction first being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any Shares deliverable hereunder.</w:t>
      </w:r>
    </w:p>
    <w:p>
      <w:pPr>
        <w:spacing w:after="0" w:line="103"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Applicable Limit:</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 xml:space="preserve">For any Option, an amount of cash equal to the Applicable Percentage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the excess of (i) the sum of (A) the amount of cash, if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payable to the Holder of the Relevant Convertible Note upon conversion of such Convertible Note and (B) the number of Shares, if any, deliverable to the Holder of the Relevant Convertible Note upon conversion of such Convertible Note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Applicable Limit Price on the Settlement Date for such Option, over (ii) USD 1,000.</w:t>
      </w:r>
    </w:p>
    <w:p>
      <w:pPr>
        <w:spacing w:after="0" w:line="99"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280"/>
          </w:cols>
          <w:pgMar w:left="1160" w:top="274" w:right="459"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7"/>
          <w:szCs w:val="17"/>
          <w:color w:val="auto"/>
        </w:rPr>
        <w:t>Applicable Limit Price:</w:t>
      </w:r>
    </w:p>
    <w:p>
      <w:pPr>
        <w:spacing w:after="0" w:line="20" w:lineRule="exact"/>
        <w:rPr>
          <w:sz w:val="20"/>
          <w:szCs w:val="20"/>
          <w:color w:val="auto"/>
        </w:rPr>
      </w:pPr>
      <w:r>
        <w:rPr>
          <w:sz w:val="20"/>
          <w:szCs w:val="20"/>
          <w:color w:val="auto"/>
        </w:rPr>
        <w:br w:type="column"/>
      </w:r>
    </w:p>
    <w:p>
      <w:pPr>
        <w:ind w:right="220"/>
        <w:spacing w:after="0" w:line="308" w:lineRule="auto"/>
        <w:rPr>
          <w:sz w:val="20"/>
          <w:szCs w:val="20"/>
          <w:color w:val="auto"/>
        </w:rPr>
      </w:pPr>
      <w:r>
        <w:rPr>
          <w:rFonts w:ascii="Arial" w:cs="Arial" w:eastAsia="Arial" w:hAnsi="Arial"/>
          <w:sz w:val="17"/>
          <w:szCs w:val="17"/>
          <w:color w:val="auto"/>
        </w:rPr>
        <w:t>On any day, the opening price as displayed under the heading “Op” on Bloomberg page DBX &lt;equity&gt;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-403225</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300" w:space="720"/>
            <w:col w:w="5280"/>
          </w:cols>
          <w:pgMar w:left="1160" w:top="274" w:right="439" w:bottom="1440" w:gutter="0" w:footer="0" w:header="0"/>
        </w:sectPr>
      </w:pPr>
    </w:p>
    <w:p>
      <w:pPr>
        <w:spacing w:after="0"/>
        <w:rPr>
          <w:sz w:val="20"/>
          <w:szCs w:val="20"/>
          <w:color w:val="auto"/>
        </w:rPr>
      </w:pPr>
      <w:r>
        <w:rPr>
          <w:rFonts w:ascii="Arial" w:cs="Arial" w:eastAsia="Arial" w:hAnsi="Arial"/>
          <w:sz w:val="17"/>
          <w:szCs w:val="17"/>
          <w:color w:val="auto"/>
        </w:rPr>
        <w:t>Valid Day:</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A day on which (i) there is no Market Disruption Event and (ii) trading in the Shares generally occurs on the Exchange or, if the Shares are not then listed on the Exchange, on the principal other United States national or regional securities exchange on which the Shares are then listed or, if the Shares are not then listed on a United States national or regional securities exchange, on the principal other United States market on which the Shares are then listed or admitted for trading. If the Shares are not so listed or admitted for trading, “Valid Day” means a Business Day.</w:t>
      </w:r>
    </w:p>
    <w:p>
      <w:pPr>
        <w:spacing w:after="0" w:line="57"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Scheduled Valid Day:</w:t>
      </w:r>
    </w:p>
    <w:p>
      <w:pPr>
        <w:spacing w:after="0" w:line="20" w:lineRule="exact"/>
        <w:rPr>
          <w:sz w:val="20"/>
          <w:szCs w:val="20"/>
          <w:color w:val="auto"/>
        </w:rPr>
      </w:pPr>
      <w:r>
        <w:rPr>
          <w:sz w:val="20"/>
          <w:szCs w:val="20"/>
          <w:color w:val="auto"/>
        </w:rPr>
        <w:br w:type="column"/>
      </w:r>
    </w:p>
    <w:p>
      <w:pPr>
        <w:ind w:right="120"/>
        <w:spacing w:after="0" w:line="301" w:lineRule="auto"/>
        <w:rPr>
          <w:sz w:val="20"/>
          <w:szCs w:val="20"/>
          <w:color w:val="auto"/>
        </w:rPr>
      </w:pPr>
      <w:r>
        <w:rPr>
          <w:rFonts w:ascii="Arial" w:cs="Arial" w:eastAsia="Arial" w:hAnsi="Arial"/>
          <w:sz w:val="16"/>
          <w:szCs w:val="16"/>
          <w:color w:val="auto"/>
        </w:rPr>
        <w:t>A day that is scheduled to be a Valid Day on the principal United States national or regional securities exchange or market on which the Shares are listed or admitted for trading. If the Shares are not so listed or admitted for trading, “Scheduled Valid Day” means a Business Day.</w:t>
      </w:r>
    </w:p>
    <w:p>
      <w:pPr>
        <w:spacing w:after="0" w:line="49"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Business Day:</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Any day other than a Saturday, a Sunday or a day on which the Federal Reserve Bank of New York is authorized or required by law or executive order to close or be closed.</w:t>
      </w:r>
    </w:p>
    <w:p>
      <w:pPr>
        <w:spacing w:after="0" w:line="76"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Relevant Price:</w:t>
      </w:r>
    </w:p>
    <w:p>
      <w:pPr>
        <w:spacing w:after="0" w:line="20" w:lineRule="exact"/>
        <w:rPr>
          <w:sz w:val="20"/>
          <w:szCs w:val="20"/>
          <w:color w:val="auto"/>
        </w:rPr>
      </w:pPr>
      <w:r>
        <w:rPr>
          <w:sz w:val="20"/>
          <w:szCs w:val="20"/>
          <w:color w:val="auto"/>
        </w:rPr>
        <w:br w:type="column"/>
      </w:r>
    </w:p>
    <w:p>
      <w:pPr>
        <w:ind w:right="100"/>
        <w:spacing w:after="0" w:line="287" w:lineRule="auto"/>
        <w:rPr>
          <w:sz w:val="20"/>
          <w:szCs w:val="20"/>
          <w:color w:val="auto"/>
        </w:rPr>
      </w:pPr>
      <w:r>
        <w:rPr>
          <w:rFonts w:ascii="Arial" w:cs="Arial" w:eastAsia="Arial" w:hAnsi="Arial"/>
          <w:sz w:val="16"/>
          <w:szCs w:val="16"/>
          <w:color w:val="auto"/>
        </w:rPr>
        <w:t>On any Valid Day, the per Share volume-weighted average price as displayed under the heading “Bloomberg VWAP” on Bloomberg page DBX &lt;equity&gt; AQR (or any successor thereto) in respect of the period from the scheduled opening time of the Exchange to the Scheduled Closing Time of the Exchange on such Valid Day (or if such volume-weighted average price is unavailable at such time, the market value of one Share on such Valid Day, as determined by the Calculation Agent in good faith and in a commercially reasonable manner using, if practicable, a volume-weighted average method). The Relevant Price will be determined without regard to after hours trading or any other trading outside of the regular trading session trading hours.</w:t>
      </w:r>
    </w:p>
    <w:p>
      <w:pPr>
        <w:spacing w:after="0" w:line="64"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Averaging Period:</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For any Option, and regardless of the Settlement Method applicable to such Option:</w:t>
      </w:r>
    </w:p>
    <w:p>
      <w:pPr>
        <w:spacing w:after="0" w:line="62" w:lineRule="exact"/>
        <w:rPr>
          <w:sz w:val="20"/>
          <w:szCs w:val="20"/>
          <w:color w:val="auto"/>
        </w:rPr>
      </w:pPr>
    </w:p>
    <w:p>
      <w:pPr>
        <w:sectPr>
          <w:pgSz w:w="11900" w:h="16838" w:orient="portrait"/>
          <w:cols w:equalWidth="0" w:num="2">
            <w:col w:w="4300" w:space="720"/>
            <w:col w:w="5280"/>
          </w:cols>
          <w:pgMar w:left="1160" w:top="274" w:right="439" w:bottom="1440" w:gutter="0" w:footer="0" w:header="0"/>
          <w:type w:val="continuous"/>
        </w:sectPr>
      </w:pPr>
    </w:p>
    <w:p>
      <w:pPr>
        <w:ind w:left="5360" w:right="60" w:hanging="359"/>
        <w:spacing w:after="0" w:line="259" w:lineRule="auto"/>
        <w:tabs>
          <w:tab w:leader="none" w:pos="5340" w:val="left"/>
        </w:tabs>
        <w:rPr>
          <w:sz w:val="20"/>
          <w:szCs w:val="20"/>
          <w:color w:val="auto"/>
        </w:rPr>
      </w:pPr>
      <w:r>
        <w:rPr>
          <w:rFonts w:ascii="Arial" w:cs="Arial" w:eastAsia="Arial" w:hAnsi="Arial"/>
          <w:sz w:val="18"/>
          <w:szCs w:val="18"/>
          <w:color w:val="auto"/>
        </w:rPr>
        <w:t>(i)</w:t>
        <w:tab/>
        <w:t>subject to clause (ii) below, if the related Conversion Date occurs prior to the Free Convertibility Date, the 25 consecutive Valid Days commencing on, and including, the second Valid Day following such Conversion Date;</w:t>
      </w:r>
    </w:p>
    <w:p>
      <w:pPr>
        <w:spacing w:after="0" w:line="79" w:lineRule="exact"/>
        <w:rPr>
          <w:sz w:val="20"/>
          <w:szCs w:val="20"/>
          <w:color w:val="auto"/>
        </w:rPr>
      </w:pPr>
    </w:p>
    <w:p>
      <w:pPr>
        <w:ind w:left="5380" w:hanging="359"/>
        <w:spacing w:after="0" w:line="255" w:lineRule="auto"/>
        <w:rPr>
          <w:sz w:val="20"/>
          <w:szCs w:val="20"/>
          <w:color w:val="auto"/>
        </w:rPr>
      </w:pPr>
      <w:r>
        <w:rPr>
          <w:rFonts w:ascii="Arial" w:cs="Arial" w:eastAsia="Arial" w:hAnsi="Arial"/>
          <w:sz w:val="18"/>
          <w:szCs w:val="18"/>
          <w:color w:val="auto"/>
        </w:rPr>
        <w:t>(ii) if the related Conversion Date occurs on or after the date of a Notice of Redemption (as defined in the Indenture) and prior to the relevant Redemption Date (as defined in the Indenture), the 25 consecutive Valid Days beginning on and including, the 26th Scheduled Valid Day immediately preceding such Redemption Date;</w:t>
      </w:r>
    </w:p>
    <w:p>
      <w:pPr>
        <w:spacing w:after="0" w:line="1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00"/>
          </w:cols>
          <w:pgMar w:left="1160" w:top="274" w:right="439" w:bottom="1440" w:gutter="0" w:footer="0" w:header="0"/>
          <w:type w:val="continuous"/>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Date:</w:t>
      </w:r>
    </w:p>
    <w:p>
      <w:pPr>
        <w:spacing w:after="0" w:line="33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Currency:</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4" w:hanging="424"/>
        <w:spacing w:after="0"/>
        <w:tabs>
          <w:tab w:leader="none" w:pos="424"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Terms applicable to the Transaction</w:t>
      </w:r>
      <w:r>
        <w:rPr>
          <w:rFonts w:ascii="Arial" w:cs="Arial" w:eastAsia="Arial" w:hAnsi="Arial"/>
          <w:sz w:val="16"/>
          <w:szCs w:val="16"/>
          <w:b w:val="1"/>
          <w:bCs w:val="1"/>
          <w:color w:val="auto"/>
        </w:rPr>
        <w:t>.</w:t>
      </w:r>
    </w:p>
    <w:p>
      <w:pPr>
        <w:spacing w:after="0" w:line="158" w:lineRule="exact"/>
        <w:rPr>
          <w:sz w:val="20"/>
          <w:szCs w:val="20"/>
          <w:color w:val="auto"/>
        </w:rPr>
      </w:pPr>
    </w:p>
    <w:p>
      <w:pPr>
        <w:ind w:left="364"/>
        <w:spacing w:after="0"/>
        <w:rPr>
          <w:sz w:val="20"/>
          <w:szCs w:val="20"/>
          <w:color w:val="auto"/>
        </w:rPr>
      </w:pPr>
      <w:r>
        <w:rPr>
          <w:rFonts w:ascii="Arial" w:cs="Arial" w:eastAsia="Arial" w:hAnsi="Arial"/>
          <w:sz w:val="18"/>
          <w:szCs w:val="18"/>
          <w:color w:val="auto"/>
        </w:rPr>
        <w:t>Adjustments applicable to the Transaction:</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Potential Adjustment Events:</w:t>
      </w:r>
    </w:p>
    <w:p>
      <w:pPr>
        <w:spacing w:after="0" w:line="20" w:lineRule="exact"/>
        <w:rPr>
          <w:sz w:val="20"/>
          <w:szCs w:val="20"/>
          <w:color w:val="auto"/>
        </w:rPr>
      </w:pPr>
      <w:r>
        <w:rPr>
          <w:sz w:val="20"/>
          <w:szCs w:val="20"/>
          <w:color w:val="auto"/>
        </w:rPr>
        <w:br w:type="column"/>
      </w:r>
    </w:p>
    <w:p>
      <w:pPr>
        <w:ind w:left="680" w:hanging="367"/>
        <w:spacing w:after="0" w:line="279" w:lineRule="auto"/>
        <w:tabs>
          <w:tab w:leader="none" w:pos="66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subject to clause (ii) above, if the related Conversion Date occurs on or following the Free Convertibility Date, the 25 consecutive Valid Days commencing on, and including, the 26th Scheduled Valid Day immediately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-661670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3" w:lineRule="exact"/>
        <w:rPr>
          <w:sz w:val="20"/>
          <w:szCs w:val="20"/>
          <w:color w:val="auto"/>
        </w:rPr>
      </w:pPr>
    </w:p>
    <w:p>
      <w:pPr>
        <w:jc w:val="both"/>
        <w:ind w:left="320" w:right="320"/>
        <w:spacing w:after="0" w:line="342" w:lineRule="auto"/>
        <w:rPr>
          <w:sz w:val="20"/>
          <w:szCs w:val="20"/>
          <w:color w:val="auto"/>
        </w:rPr>
      </w:pPr>
      <w:r>
        <w:rPr>
          <w:rFonts w:ascii="Arial" w:cs="Arial" w:eastAsia="Arial" w:hAnsi="Arial"/>
          <w:sz w:val="16"/>
          <w:szCs w:val="16"/>
          <w:color w:val="auto"/>
        </w:rPr>
        <w:t>For any Option, the second Business Day immediately following the final Valid Day of the Settlement Averaging Period for such Option.</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ind w:left="320" w:right="80"/>
        <w:spacing w:after="0" w:line="293" w:lineRule="auto"/>
        <w:rPr>
          <w:sz w:val="20"/>
          <w:szCs w:val="20"/>
          <w:color w:val="auto"/>
        </w:rPr>
      </w:pPr>
      <w:r>
        <w:rPr>
          <w:rFonts w:ascii="Arial" w:cs="Arial" w:eastAsia="Arial" w:hAnsi="Arial"/>
          <w:sz w:val="16"/>
          <w:szCs w:val="16"/>
          <w:color w:val="auto"/>
        </w:rPr>
        <w:t>To the extent Dealer is obligated to deliver Shares hereunder, 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56" w:lineRule="exact"/>
        <w:rPr>
          <w:sz w:val="20"/>
          <w:szCs w:val="20"/>
          <w:color w:val="auto"/>
        </w:rPr>
      </w:pPr>
    </w:p>
    <w:p>
      <w:pPr>
        <w:ind w:left="320" w:right="40"/>
        <w:spacing w:after="0" w:line="286" w:lineRule="auto"/>
        <w:rPr>
          <w:sz w:val="20"/>
          <w:szCs w:val="20"/>
          <w:color w:val="auto"/>
        </w:rPr>
      </w:pPr>
      <w:r>
        <w:rPr>
          <w:rFonts w:ascii="Arial" w:cs="Arial" w:eastAsia="Arial" w:hAnsi="Arial"/>
          <w:sz w:val="16"/>
          <w:szCs w:val="16"/>
          <w:color w:val="auto"/>
        </w:rPr>
        <w:t>Notwithstanding anything to the contrary in Equity Definitions (including, but not limited to, Section 9.11 thereof), the parties acknowledge that (i) any Shares delivered to Counterparty shall, upon delivery, be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With respect to any such certificated Shares (as described in clause (ii) above), the Representation and Agreement contained in Section 9.11 of the Equity Definitions shall be modified by deleting the remainder of the provision after the word “encumbrance” in the fourth line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line="272" w:lineRule="auto"/>
        <w:rPr>
          <w:sz w:val="20"/>
          <w:szCs w:val="20"/>
          <w:color w:val="auto"/>
        </w:rPr>
      </w:pPr>
      <w:r>
        <w:rPr>
          <w:rFonts w:ascii="Arial" w:cs="Arial" w:eastAsia="Arial" w:hAnsi="Arial"/>
          <w:sz w:val="17"/>
          <w:szCs w:val="17"/>
          <w:color w:val="auto"/>
        </w:rPr>
        <w:t>Notwithstanding Section 11.2(e) of the Equity Definitions, a “Potential Adjustment Event” means an occurrence of any event or condition, as set forth in any Dilution Adjustment Provision, that would result in an adjustment under the Indenture (as determined by the Calculation Agent by reference to the Dilution Adjustment Provisions) to the “Conversion Rate” or the composition of a “unit of Reference Property” or to any “Last Reported Sale Price”, “Daily VWAP,” “Daily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4704" w:space="720"/>
            <w:col w:w="5580"/>
          </w:cols>
          <w:pgMar w:left="436" w:top="274" w:right="459" w:bottom="1440" w:gutter="0" w:footer="0" w:header="0"/>
        </w:sectPr>
      </w:pPr>
    </w:p>
    <w:bookmarkStart w:id="263" w:name="page264"/>
    <w:bookmarkEnd w:id="263"/>
    <w:p>
      <w:pPr>
        <w:ind w:left="502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Conversion Value” or “Daily Net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fourth sentence of Section 13.04(c) of the Indenture or the fourth sentence of Section 13.04(d) of the Indenture).</w:t>
      </w:r>
    </w:p>
    <w:p>
      <w:pPr>
        <w:sectPr>
          <w:pgSz w:w="11900" w:h="16838" w:orient="portrait"/>
          <w:cols w:equalWidth="0" w:num="1">
            <w:col w:w="10280"/>
          </w:cols>
          <w:pgMar w:left="1160" w:top="274" w:right="45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Calculation Agent Adjustment, which means that, notwithstanding Section 11.2(c) of the Equity Definitions (and, for the avoidance of doubt, in lieu of any adjustments pursuant to such Section), upon any Potential Adjustment Event, the Calculation Agent shall make a corresponding adjustment in respect of any adjustment to the Convertible Notes under the Indenture to any one or more of the Strike Price, Number of Options, Option Entitlement, the composition of the Shares and any other variable relevant to the exercise, settlement or payment for the Transaction, in a commercially reasonable manner, as determined by reference to the Dilution Adjustment Provisions, to the extent an adjustment is required under the Indenture.</w:t>
      </w:r>
    </w:p>
    <w:p>
      <w:pPr>
        <w:spacing w:after="0" w:line="64"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5020"/>
        <w:spacing w:after="0"/>
        <w:rPr>
          <w:sz w:val="20"/>
          <w:szCs w:val="20"/>
          <w:color w:val="auto"/>
        </w:rPr>
      </w:pPr>
      <w:r>
        <w:rPr>
          <w:rFonts w:ascii="Arial" w:cs="Arial" w:eastAsia="Arial" w:hAnsi="Arial"/>
          <w:sz w:val="18"/>
          <w:szCs w:val="18"/>
          <w:color w:val="auto"/>
        </w:rPr>
        <w:t>Notwithstanding the foregoing:</w:t>
      </w:r>
    </w:p>
    <w:p>
      <w:pPr>
        <w:spacing w:after="0" w:line="117" w:lineRule="exact"/>
        <w:rPr>
          <w:sz w:val="20"/>
          <w:szCs w:val="20"/>
          <w:color w:val="auto"/>
        </w:rPr>
      </w:pPr>
    </w:p>
    <w:p>
      <w:pPr>
        <w:ind w:left="5360" w:hanging="359"/>
        <w:spacing w:after="0" w:line="267" w:lineRule="auto"/>
        <w:tabs>
          <w:tab w:leader="none" w:pos="53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 xml:space="preserve">if the Calculation Agent acting in good faith and in a commercially reasonable manner disagrees with any adjustment pursuant to the terms of the Indenture that is the basis of any adjustment hereunder and that involves an exercise of discretion by Counterparty or its board of directors (including, without limitation, pursuant to Section 13.05 of the Indenture, Section 13.07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composition of the Shares, Strike Price, Number of Options, Option Entitlement and any other variable relevant to the exercise, settlement or payment for the Transaction in a commercially reasonable manner;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if any Potential Adjustment Event occurs during the Settlement Averaging Period but no adjustment is made</w:t>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80"/>
          </w:cols>
          <w:pgMar w:left="1160" w:top="274" w:right="459" w:bottom="1440" w:gutter="0" w:footer="0" w:header="0"/>
          <w:type w:val="continuous"/>
        </w:sectPr>
      </w:pPr>
    </w:p>
    <w:bookmarkStart w:id="264" w:name="page265"/>
    <w:bookmarkEnd w:id="264"/>
    <w:p>
      <w:pPr>
        <w:ind w:left="5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Indenture because the relevant Holder (as such term is</w:t>
      </w:r>
    </w:p>
    <w:p>
      <w:pPr>
        <w:spacing w:after="0" w:line="46"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defined in the Indenture) was deemed to be a record owner of the</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underlying Shares on the related Conversion Date, then the</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Calculation Agent shall make an adjustment in good faith and in a</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commercially reasonable manner, as determined by reference to the</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Potential Adjustment Event and consistent with the methodology</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set forth in the Indenture, to the terms hereof in order to account for</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such Potential Adjustment Event;</w:t>
      </w:r>
    </w:p>
    <w:p>
      <w:pPr>
        <w:spacing w:after="0" w:line="103" w:lineRule="exact"/>
        <w:rPr>
          <w:sz w:val="20"/>
          <w:szCs w:val="20"/>
          <w:color w:val="auto"/>
        </w:rPr>
      </w:pPr>
    </w:p>
    <w:p>
      <w:pPr>
        <w:ind w:left="5100" w:hanging="367"/>
        <w:spacing w:after="0" w:line="285" w:lineRule="auto"/>
        <w:tabs>
          <w:tab w:leader="none" w:pos="508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in connection with any Potential Adjustment Event as a result of an event or condition set forth in Section 13.04(b) of the Indenture or Section 13.04(c) of the Indenture where, in either case, the period for determining “Y” (as such term is used in Section 13.04(b) of the Indenture) or “SP</w:t>
      </w:r>
      <w:r>
        <w:rPr>
          <w:rFonts w:ascii="Arial" w:cs="Arial" w:eastAsia="Arial" w:hAnsi="Arial"/>
          <w:sz w:val="13"/>
          <w:szCs w:val="13"/>
          <w:color w:val="auto"/>
        </w:rPr>
        <w:t>0</w:t>
      </w:r>
      <w:r>
        <w:rPr>
          <w:rFonts w:ascii="Arial" w:cs="Arial" w:eastAsia="Arial" w:hAnsi="Arial"/>
          <w:sz w:val="16"/>
          <w:szCs w:val="16"/>
          <w:color w:val="auto"/>
        </w:rPr>
        <w:t>” (as such term is used in Section 13.04(c) of the Indenture), as the case may be, begins before Counterparty has publicly announced the event or condition giving rise to such Potential Adjustment Event, then the Calculation Agent shall adjust any variable relevant to the exercise, settlement or payment for the Transaction in a commercially reasonable manner to reflect the commercially reasonable costs and benefits (including, but not limited to, hedging mismatches and market gains and losses) and commercially reasonable gains and losses incurred by Dealer in connection with its commercially reasonable hedging activities (subject to the requirements set forth under Hedging Adjustments below) as a result of such event or condition not having been publicly announced prior to the beginning of such period; and</w:t>
      </w:r>
    </w:p>
    <w:p>
      <w:pPr>
        <w:spacing w:after="0" w:line="65" w:lineRule="exact"/>
        <w:rPr>
          <w:rFonts w:ascii="Arial" w:cs="Arial" w:eastAsia="Arial" w:hAnsi="Arial"/>
          <w:sz w:val="16"/>
          <w:szCs w:val="16"/>
          <w:color w:val="auto"/>
        </w:rPr>
      </w:pPr>
    </w:p>
    <w:p>
      <w:pPr>
        <w:ind w:left="5100" w:right="40" w:hanging="367"/>
        <w:spacing w:after="0" w:line="267" w:lineRule="auto"/>
        <w:tabs>
          <w:tab w:leader="none" w:pos="508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if the terms of any Potential Adjustment Event are declared by Counterparty and (a) the event or condition giving rise to such Potential Adjustment Event is subsequently amended, modified, cancelled or abandoned (whether or not there has been a “Conversion Rate” adjustment under the Indenture for such Potential Adjustment Event), (b) the “Conversion Rate” (as defined in the Indenture) is otherwise not adjusted at the time or in the manner contemplated by the relevant Dilution Adjustment Provision other than pursuant to the fourth sentence of</w:t>
      </w:r>
    </w:p>
    <w:p>
      <w:pPr>
        <w:spacing w:after="0" w:line="1" w:lineRule="exact"/>
        <w:rPr>
          <w:rFonts w:ascii="Arial" w:cs="Arial" w:eastAsia="Arial" w:hAnsi="Arial"/>
          <w:sz w:val="17"/>
          <w:szCs w:val="17"/>
          <w:color w:val="auto"/>
        </w:rPr>
      </w:pPr>
    </w:p>
    <w:p>
      <w:pPr>
        <w:ind w:left="5100" w:right="400"/>
        <w:spacing w:after="0" w:line="281" w:lineRule="auto"/>
        <w:rPr>
          <w:rFonts w:ascii="Arial" w:cs="Arial" w:eastAsia="Arial" w:hAnsi="Arial"/>
          <w:sz w:val="17"/>
          <w:szCs w:val="17"/>
          <w:color w:val="auto"/>
        </w:rPr>
      </w:pPr>
      <w:r>
        <w:rPr>
          <w:rFonts w:ascii="Arial" w:cs="Arial" w:eastAsia="Arial" w:hAnsi="Arial"/>
          <w:sz w:val="16"/>
          <w:szCs w:val="16"/>
          <w:color w:val="auto"/>
        </w:rPr>
        <w:t>Section 13.04(c) of the Indenture or the fourth sentence of Section 13.04(d) of the Indenture based on such declaration or</w:t>
      </w:r>
    </w:p>
    <w:p>
      <w:pPr>
        <w:spacing w:after="0" w:line="1" w:lineRule="exact"/>
        <w:rPr>
          <w:rFonts w:ascii="Arial" w:cs="Arial" w:eastAsia="Arial" w:hAnsi="Arial"/>
          <w:sz w:val="17"/>
          <w:szCs w:val="17"/>
          <w:color w:val="auto"/>
        </w:rPr>
      </w:pPr>
    </w:p>
    <w:p>
      <w:pPr>
        <w:ind w:left="5100" w:right="120"/>
        <w:spacing w:after="0" w:line="260" w:lineRule="auto"/>
        <w:rPr>
          <w:rFonts w:ascii="Arial" w:cs="Arial" w:eastAsia="Arial" w:hAnsi="Arial"/>
          <w:sz w:val="17"/>
          <w:szCs w:val="17"/>
          <w:color w:val="auto"/>
        </w:rPr>
      </w:pPr>
      <w:r>
        <w:rPr>
          <w:rFonts w:ascii="Arial" w:cs="Arial" w:eastAsia="Arial" w:hAnsi="Arial"/>
          <w:sz w:val="18"/>
          <w:szCs w:val="18"/>
          <w:color w:val="auto"/>
        </w:rPr>
        <w:t>(c) the “Conversion Rate” (as defined in the Indenture) is adjusted as a result of such Potential Adjustment Event and</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80"/>
          </w:cols>
          <w:pgMar w:left="1440" w:top="274" w:right="47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Dilution Adjustment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Extraordinary Events applicable to the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Events: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Tender Offers:</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Consequence of Merger Events /</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Tender Offers:</w:t>
      </w:r>
    </w:p>
    <w:p>
      <w:pPr>
        <w:spacing w:after="0" w:line="20" w:lineRule="exact"/>
        <w:rPr>
          <w:sz w:val="20"/>
          <w:szCs w:val="20"/>
          <w:color w:val="auto"/>
        </w:rPr>
      </w:pPr>
      <w:r>
        <w:rPr>
          <w:sz w:val="20"/>
          <w:szCs w:val="20"/>
          <w:color w:val="auto"/>
        </w:rPr>
        <w:br w:type="column"/>
      </w:r>
    </w:p>
    <w:p>
      <w:pPr>
        <w:ind w:left="680" w:right="60"/>
        <w:spacing w:after="0" w:line="286" w:lineRule="auto"/>
        <w:rPr>
          <w:sz w:val="20"/>
          <w:szCs w:val="20"/>
          <w:color w:val="auto"/>
        </w:rPr>
      </w:pPr>
      <w:r>
        <w:rPr>
          <w:rFonts w:ascii="Arial" w:cs="Arial" w:eastAsia="Arial" w:hAnsi="Arial"/>
          <w:sz w:val="16"/>
          <w:szCs w:val="16"/>
          <w:color w:val="auto"/>
        </w:rPr>
        <w:t>subsequently such adjustment, in respect of such Potential Adjustment Event, is modified, amended, altered or corrected (each of clauses (a), (b) and (c), a “</w:t>
      </w:r>
      <w:r>
        <w:rPr>
          <w:rFonts w:ascii="Arial" w:cs="Arial" w:eastAsia="Arial" w:hAnsi="Arial"/>
          <w:sz w:val="16"/>
          <w:szCs w:val="16"/>
          <w:b w:val="1"/>
          <w:bCs w:val="1"/>
          <w:color w:val="auto"/>
        </w:rPr>
        <w:t>Potential Adjustment Event</w:t>
      </w:r>
      <w:r>
        <w:rPr>
          <w:rFonts w:ascii="Arial" w:cs="Arial" w:eastAsia="Arial" w:hAnsi="Arial"/>
          <w:sz w:val="16"/>
          <w:szCs w:val="16"/>
          <w:color w:val="auto"/>
        </w:rPr>
        <w:t xml:space="preserve"> </w:t>
      </w:r>
      <w:r>
        <w:rPr>
          <w:rFonts w:ascii="Arial" w:cs="Arial" w:eastAsia="Arial" w:hAnsi="Arial"/>
          <w:sz w:val="16"/>
          <w:szCs w:val="16"/>
          <w:b w:val="1"/>
          <w:bCs w:val="1"/>
          <w:color w:val="auto"/>
        </w:rPr>
        <w:t>Change</w:t>
      </w:r>
      <w:r>
        <w:rPr>
          <w:rFonts w:ascii="Arial" w:cs="Arial" w:eastAsia="Arial" w:hAnsi="Arial"/>
          <w:sz w:val="16"/>
          <w:szCs w:val="16"/>
          <w:color w:val="auto"/>
        </w:rPr>
        <w:t>”) then, in each case, but without duplication,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Agent shall adjust any variable relevant to the exercise, settlement or payment for the Transaction in a commercially reasonable manner to reflect the commercially reasonable costs and benefits (including, but not limited to, hedging mismatches and market gains and losses) and commercially reasonable gains and losses incurred by Dealer in connection with its commercially reasonable hedging activities (subject to the requirements set forth under Hedging Adjustments below) as a result of such Potential Adjustment Event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-1894205</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Sections 13.04(a), (b), (c), (d) and (e) and Section 13.05 of the Indenture.</w:t>
      </w:r>
    </w:p>
    <w:p>
      <w:pPr>
        <w:spacing w:after="0" w:line="200" w:lineRule="exact"/>
        <w:rPr>
          <w:sz w:val="20"/>
          <w:szCs w:val="20"/>
          <w:color w:val="auto"/>
        </w:rPr>
      </w:pPr>
    </w:p>
    <w:p>
      <w:pPr>
        <w:spacing w:after="0" w:line="264" w:lineRule="exact"/>
        <w:rPr>
          <w:sz w:val="20"/>
          <w:szCs w:val="20"/>
          <w:color w:val="auto"/>
        </w:rPr>
      </w:pPr>
    </w:p>
    <w:p>
      <w:pPr>
        <w:ind w:left="320" w:right="120"/>
        <w:spacing w:after="0" w:line="259"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Section 12.1(b) of the Equity Definitions, a “Merger Event” means the occurrence of any event or condition set forth in the definition of “Merger Event” in Section 13.07(a) of the Indenture.</w:t>
      </w:r>
    </w:p>
    <w:p>
      <w:pPr>
        <w:spacing w:after="0" w:line="79" w:lineRule="exact"/>
        <w:rPr>
          <w:sz w:val="20"/>
          <w:szCs w:val="20"/>
          <w:color w:val="auto"/>
        </w:rPr>
      </w:pPr>
    </w:p>
    <w:p>
      <w:pPr>
        <w:ind w:left="320" w:right="120"/>
        <w:spacing w:after="0" w:line="263"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Section 12.1(d) of the Equity Definitions, a “Tender Offer” means the occurrence of any event or condition set forth in Section 13.04(e) of the Indenture.</w:t>
      </w:r>
    </w:p>
    <w:p>
      <w:pPr>
        <w:spacing w:after="0" w:line="292"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 xml:space="preserve">Notwithstanding Section 12.2 and Section 12.3 of the Equity Definitions, upon the occurrence of a Merger Event or a Tender Offer, the Calculation Agent shall make an adjustment in respect of any adjustment required to be made under the Indenture to any one or more of the nature of the Shares (in the case of a Merger Event), Strike Price, Number of Options, Option Entitlement and any other variable relevant to the exercise, settlement or payment for the Transaction (as determined by the Calculation Agent acting in good faith and in a commercially reasonable manner by reference to the relevant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such adjustment shall be made without regard to any adjustment to the Conversion Rate pursuant to any Excluded Provision and (y) the Calculation Agent shall limit or alter any such adjustment referenced in this paragraph to maintain the fair value of the Transaction as a result of such adjustment;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the foregoing, if the Calculation Agent in good faith disagrees with any adjustment pursuant to the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4340" w:space="720"/>
            <w:col w:w="5600"/>
          </w:cols>
          <w:pgMar w:left="800" w:top="274" w:right="439" w:bottom="1440" w:gutter="0" w:footer="0" w:header="0"/>
        </w:sectPr>
      </w:pPr>
    </w:p>
    <w:bookmarkStart w:id="266" w:name="page267"/>
    <w:bookmarkEnd w:id="266"/>
    <w:p>
      <w:pPr>
        <w:ind w:left="50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terms of the Indenture that is the basis of any adjustment hereunder and that involves an exercise of discretion by Counterparty or its board of directors (including, without limitation, pursuant to Section 13.07 of the Indenture or any supplemental indenture entered into pursuant to Section 10.01(j) of the Indenture of the Indenture), then the Calculation Agent acting in good faith and in a commercially reasonable manner will determine the adjustment to be made to any one or more of the nature of the Shares, Strike Price, Number of Options, Option Entitlement, Regular Dividend and any other variable relevant to the exercise, settlement or payment for the Transaction in a commercially reasonable manner;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 will not be the Issuer following such Merger Event or Tender Offer, then Dealer, in its commercially reasonable discretion, may elect for Cancellation and Payment (Calculation Agent Determination) to apply.</w:t>
      </w:r>
    </w:p>
    <w:p>
      <w:pPr>
        <w:sectPr>
          <w:pgSz w:w="11900" w:h="16838" w:orient="portrait"/>
          <w:cols w:equalWidth="0" w:num="1">
            <w:col w:w="10280"/>
          </w:cols>
          <w:pgMar w:left="1160" w:top="274" w:right="45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64"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Disruption Events: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Law:</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Section 12.9(a)(ii) of the Equity Definitions is hereby amended by replacing the parenthetical beginning after the word “regulation” in</w:t>
      </w:r>
    </w:p>
    <w:p>
      <w:pPr>
        <w:spacing w:after="0" w:line="118"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0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280"/>
          </w:cols>
          <w:pgMar w:left="1160" w:top="274" w:right="459" w:bottom="1440" w:gutter="0" w:footer="0" w:header="0"/>
          <w:type w:val="continuous"/>
        </w:sectPr>
      </w:pPr>
    </w:p>
    <w:bookmarkStart w:id="267" w:name="page268"/>
    <w:bookmarkEnd w:id="267"/>
    <w:p>
      <w:pPr>
        <w:ind w:left="5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second line thereof with the phrase “(including, for the avoidance of</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doubt and without limitation, (x) any tax law or (y) adoption 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promulgation of new regulations authorized or mandated by existing</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statute)”.</w:t>
      </w:r>
    </w:p>
    <w:p>
      <w:pPr>
        <w:sectPr>
          <w:pgSz w:w="11900" w:h="16838" w:orient="portrait"/>
          <w:cols w:equalWidth="0" w:num="1">
            <w:col w:w="10640"/>
          </w:cols>
          <w:pgMar w:left="800" w:top="274" w:right="459" w:bottom="1440" w:gutter="0" w:footer="0" w:header="0"/>
        </w:sectPr>
      </w:pP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5740"/>
        <w:spacing w:after="0"/>
        <w:rPr>
          <w:sz w:val="20"/>
          <w:szCs w:val="20"/>
          <w:color w:val="auto"/>
        </w:rPr>
      </w:pPr>
      <w:r>
        <w:rPr>
          <w:rFonts w:ascii="Arial" w:cs="Arial" w:eastAsia="Arial" w:hAnsi="Arial"/>
          <w:sz w:val="17"/>
          <w:szCs w:val="17"/>
          <w:color w:val="auto"/>
        </w:rPr>
        <w:t>(i) Section 12.9(a)(v) of the Equity Definitions is hereby amended</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 (a) inserting the following words at the end of clause (A) thereof: “in</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the manner contemplated by the Hedging Party on the Trade Date (other</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than for purposes of such provision any repurchase, redemption or</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conversion of the Convertible Notes prior to the maturity of the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Convertible Notes)” and (b) inserting the following sentence at the end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of such Section:</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“For the avoidance of doubt, (i) the term “equity price risk” shall be</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deemed to include, but shall not be limited to, stock price and volatility</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risk, and (ii) any such transactions or assets referred to in clause (A) or</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 above must be available on commercially reasonable pricing terms.”;</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(ii) Section 12.9(b)(iii) of the Equity Definitions is hereby amended</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by inserting in the third line thereof, after the words “to terminate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Transaction”, the words “or a portion of the Transaction affected by such</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Hedging Disruption”.</w:t>
      </w:r>
    </w:p>
    <w:p>
      <w:pPr>
        <w:sectPr>
          <w:pgSz w:w="11900" w:h="16838" w:orient="portrait"/>
          <w:cols w:equalWidth="0" w:num="1">
            <w:col w:w="10640"/>
          </w:cols>
          <w:pgMar w:left="800" w:top="274" w:right="459" w:bottom="1440" w:gutter="0" w:footer="0" w:header="0"/>
          <w:type w:val="continuous"/>
        </w:sectPr>
      </w:pP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Additional Disruption Events, Dealer.</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 xml:space="preserve">For all applicable Extraordinary Events, Dealer. All calculations and determinations by the Determining Party shall be made in good faith and in a commercially reasonable manner. Following any calculation by the Determining Party hereunder, upon written request by Counterparty, the Determining Party will provide to Counterparty by email to the email address provided to Counterparty in such written request a report (in a commonly used file format for the storage and manipulation of financial data) displaying in reasonable detail the basis for such calculation;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in no event will the Determining Party be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obligated to share with Counterparty any proprietary or confidential data or information or information or any proprietary or confidential models used by it.</w:t>
      </w:r>
    </w:p>
    <w:p>
      <w:pPr>
        <w:spacing w:after="0" w:line="71"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Non-Reliance: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Agreements and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504"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640"/>
          </w:cols>
          <w:pgMar w:left="800" w:top="274" w:right="459" w:bottom="1440" w:gutter="0" w:footer="0" w:header="0"/>
          <w:type w:val="continuous"/>
        </w:sectPr>
      </w:pPr>
    </w:p>
    <w:bookmarkStart w:id="268" w:name="page269"/>
    <w:bookmarkEnd w:id="268"/>
    <w:p>
      <w:pPr>
        <w:ind w:left="364"/>
        <w:spacing w:after="0"/>
        <w:rPr>
          <w:sz w:val="20"/>
          <w:szCs w:val="20"/>
          <w:color w:val="auto"/>
        </w:rPr>
      </w:pPr>
      <w:r>
        <w:rPr>
          <w:rFonts w:ascii="Arial" w:cs="Arial" w:eastAsia="Arial" w:hAnsi="Arial"/>
          <w:sz w:val="16"/>
          <w:szCs w:val="16"/>
          <w:color w:val="auto"/>
        </w:rPr>
        <w:t>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-201295</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024" w:space="720"/>
            <w:col w:w="5260"/>
          </w:cols>
          <w:pgMar w:left="436" w:top="274" w:right="459" w:bottom="1440" w:gutter="0" w:footer="0" w:header="0"/>
        </w:sectPr>
      </w:pPr>
    </w:p>
    <w:p>
      <w:pPr>
        <w:ind w:left="364"/>
        <w:spacing w:after="0"/>
        <w:rPr>
          <w:sz w:val="20"/>
          <w:szCs w:val="20"/>
          <w:color w:val="auto"/>
        </w:rPr>
      </w:pPr>
      <w:r>
        <w:rPr>
          <w:rFonts w:ascii="Arial" w:cs="Arial" w:eastAsia="Arial" w:hAnsi="Arial"/>
          <w:sz w:val="18"/>
          <w:szCs w:val="18"/>
          <w:color w:val="auto"/>
        </w:rPr>
        <w:t>Hedging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4"/>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the avoidance of doubt, whenever the Calculation Agent, Hedging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Party or Determining Party, as the case may be, is permitted to make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determination, calculation or adjustment pursuant to the terms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Confirmation or the Equity Definitions to take into account the effect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event, the Calculation Agent Hedging Party or Determining Party,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shall make such adjustment, if any, in a commercially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reasonable manner and by reference to the effect of such event on Dealer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assuming that Dealer maintains a commercially reasonable hedge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0" w:lineRule="exact"/>
        <w:rPr>
          <w:sz w:val="20"/>
          <w:szCs w:val="20"/>
          <w:color w:val="auto"/>
        </w:rPr>
      </w:pPr>
    </w:p>
    <w:p>
      <w:pPr>
        <w:sectPr>
          <w:pgSz w:w="11900" w:h="16838" w:orient="portrait"/>
          <w:cols w:equalWidth="0" w:num="2">
            <w:col w:w="5024" w:space="720"/>
            <w:col w:w="5260"/>
          </w:cols>
          <w:pgMar w:left="436" w:top="274" w:right="459" w:bottom="1440" w:gutter="0" w:footer="0" w:header="0"/>
          <w:type w:val="continuous"/>
        </w:sectPr>
      </w:pPr>
    </w:p>
    <w:p>
      <w:pPr>
        <w:spacing w:after="0" w:line="34" w:lineRule="exact"/>
        <w:rPr>
          <w:sz w:val="20"/>
          <w:szCs w:val="20"/>
          <w:color w:val="auto"/>
        </w:rPr>
      </w:pPr>
    </w:p>
    <w:p>
      <w:pPr>
        <w:ind w:left="424" w:hanging="424"/>
        <w:spacing w:after="0" w:line="287" w:lineRule="auto"/>
        <w:tabs>
          <w:tab w:leader="none" w:pos="424" w:val="left"/>
        </w:tabs>
        <w:numPr>
          <w:ilvl w:val="0"/>
          <w:numId w:val="298"/>
        </w:numPr>
        <w:rPr>
          <w:rFonts w:ascii="Arial" w:cs="Arial" w:eastAsia="Arial" w:hAnsi="Arial"/>
          <w:sz w:val="16"/>
          <w:szCs w:val="16"/>
          <w:color w:val="auto"/>
        </w:rPr>
      </w:pPr>
      <w:r>
        <w:rPr>
          <w:rFonts w:ascii="Arial" w:cs="Arial" w:eastAsia="Arial" w:hAnsi="Arial"/>
          <w:sz w:val="16"/>
          <w:szCs w:val="16"/>
          <w:b w:val="1"/>
          <w:bCs w:val="1"/>
          <w:u w:val="single" w:color="auto"/>
          <w:color w:val="auto"/>
        </w:rPr>
        <w:t>Calculation Agent</w:t>
      </w:r>
      <w:r>
        <w:rPr>
          <w:rFonts w:ascii="Arial" w:cs="Arial" w:eastAsia="Arial" w:hAnsi="Arial"/>
          <w:sz w:val="16"/>
          <w:szCs w:val="16"/>
          <w:color w:val="auto"/>
        </w:rPr>
        <w:t>. Dealer;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following the occurrence and during the continuance of an Event of Default of the type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 All calculations and determinations by the Calculation Agent shall be made in good faith and in a commercially reasonable manner. Following any calculation by the Calculation Agent hereunder, upon written request by Counterparty, the Calculation Agent will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Dealer be obligated to share with Counterparty any proprietary or confidential data or information or any proprietary or confidential models used by it.</w:t>
      </w:r>
    </w:p>
    <w:p>
      <w:pPr>
        <w:spacing w:after="0" w:line="190" w:lineRule="exact"/>
        <w:rPr>
          <w:rFonts w:ascii="Arial" w:cs="Arial" w:eastAsia="Arial" w:hAnsi="Arial"/>
          <w:sz w:val="16"/>
          <w:szCs w:val="16"/>
          <w:color w:val="auto"/>
        </w:rPr>
      </w:pPr>
    </w:p>
    <w:p>
      <w:pPr>
        <w:ind w:left="424" w:hanging="424"/>
        <w:spacing w:after="0"/>
        <w:tabs>
          <w:tab w:leader="none" w:pos="424" w:val="left"/>
        </w:tabs>
        <w:numPr>
          <w:ilvl w:val="0"/>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Account for payments to Counterparty:</w:t>
      </w:r>
    </w:p>
    <w:p>
      <w:pPr>
        <w:spacing w:after="0" w:line="252" w:lineRule="exact"/>
        <w:rPr>
          <w:sz w:val="20"/>
          <w:szCs w:val="20"/>
          <w:color w:val="auto"/>
        </w:rPr>
      </w:pPr>
    </w:p>
    <w:tbl>
      <w:tblPr>
        <w:tblLayout w:type="fixed"/>
        <w:tblInd w:w="984"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Bank:</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ABA#:</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Acct No.:</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Beneficiary:</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Ref:</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Account for delivery of Shares to Counterparty:</w:t>
      </w:r>
    </w:p>
    <w:p>
      <w:pPr>
        <w:spacing w:after="0" w:line="11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964" w:hanging="532"/>
        <w:spacing w:after="0"/>
        <w:tabs>
          <w:tab w:leader="none" w:pos="9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Account for payments to Dealer:</w:t>
      </w:r>
    </w:p>
    <w:p>
      <w:pPr>
        <w:spacing w:after="0" w:line="252" w:lineRule="exact"/>
        <w:rPr>
          <w:sz w:val="20"/>
          <w:szCs w:val="20"/>
          <w:color w:val="auto"/>
        </w:rPr>
      </w:pPr>
    </w:p>
    <w:tbl>
      <w:tblPr>
        <w:tblLayout w:type="fixed"/>
        <w:tblInd w:w="984"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[Bank:</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ABA#:</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Acct No.:</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Beneficiary:</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Ref:</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type w:val="continuous"/>
        </w:sectPr>
      </w:pPr>
    </w:p>
    <w:bookmarkStart w:id="269" w:name="page270"/>
    <w:bookmarkEnd w:id="26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 for delivery of Shares from Dealer:</w:t>
      </w:r>
    </w:p>
    <w:p>
      <w:pPr>
        <w:spacing w:after="0" w:line="11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ind w:left="424" w:hanging="424"/>
        <w:spacing w:after="0"/>
        <w:tabs>
          <w:tab w:leader="none" w:pos="424"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Office of Counterparty for the Transaction is: Inapplicable, Counterparty is not a Multibranch Party.</w:t>
      </w:r>
    </w:p>
    <w:p>
      <w:pPr>
        <w:spacing w:after="0" w:line="154" w:lineRule="exact"/>
        <w:rPr>
          <w:sz w:val="20"/>
          <w:szCs w:val="20"/>
          <w:color w:val="auto"/>
        </w:rPr>
      </w:pPr>
    </w:p>
    <w:p>
      <w:pPr>
        <w:ind w:left="424"/>
        <w:spacing w:after="0"/>
        <w:tabs>
          <w:tab w:leader="none" w:pos="944" w:val="left"/>
          <w:tab w:leader="none" w:pos="4724"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Office of Dealer for the Transaction is: [</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424" w:hanging="424"/>
        <w:spacing w:after="0"/>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Dropbox, Inc.</w:t>
      </w:r>
    </w:p>
    <w:p>
      <w:pPr>
        <w:spacing w:after="0" w:line="23"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1800 Owens Street</w:t>
      </w:r>
    </w:p>
    <w:p>
      <w:pPr>
        <w:spacing w:after="0" w:line="9"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San Francisco, California 94158</w:t>
      </w:r>
    </w:p>
    <w:p>
      <w:pPr>
        <w:sectPr>
          <w:pgSz w:w="11900" w:h="16838" w:orient="portrait"/>
          <w:cols w:equalWidth="0" w:num="1">
            <w:col w:w="11004"/>
          </w:cols>
          <w:pgMar w:left="436" w:top="274" w:right="459" w:bottom="1440" w:gutter="0" w:footer="0" w:header="0"/>
        </w:sectPr>
      </w:pPr>
    </w:p>
    <w:p>
      <w:pPr>
        <w:spacing w:after="0" w:line="103" w:lineRule="exact"/>
        <w:rPr>
          <w:sz w:val="20"/>
          <w:szCs w:val="20"/>
          <w:color w:val="auto"/>
        </w:rPr>
      </w:pPr>
    </w:p>
    <w:p>
      <w:pPr>
        <w:ind w:left="984"/>
        <w:spacing w:after="0"/>
        <w:rPr>
          <w:sz w:val="20"/>
          <w:szCs w:val="20"/>
          <w:color w:val="auto"/>
        </w:rPr>
      </w:pPr>
      <w:r>
        <w:rPr>
          <w:rFonts w:ascii="Arial" w:cs="Arial" w:eastAsia="Arial" w:hAnsi="Arial"/>
          <w:sz w:val="16"/>
          <w:szCs w:val="16"/>
          <w:color w:val="auto"/>
        </w:rPr>
        <w:t>(415) 857-6800</w:t>
      </w:r>
    </w:p>
    <w:p>
      <w:pPr>
        <w:spacing w:after="0" w:line="4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ectPr>
          <w:pgSz w:w="11900" w:h="16838" w:orient="portrait"/>
          <w:cols w:equalWidth="0" w:num="2">
            <w:col w:w="2124" w:space="180"/>
            <w:col w:w="8700"/>
          </w:cols>
          <w:pgMar w:left="436" w:top="274" w:right="459" w:bottom="1440" w:gutter="0" w:footer="0" w:header="0"/>
          <w:type w:val="continuous"/>
        </w:sectPr>
      </w:pPr>
    </w:p>
    <w:p>
      <w:pPr>
        <w:ind w:left="424"/>
        <w:spacing w:after="0"/>
        <w:tabs>
          <w:tab w:leader="none" w:pos="944"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Address for notices or communications to Dealer: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ectPr>
          <w:pgSz w:w="11900" w:h="16838" w:orient="portrait"/>
          <w:cols w:equalWidth="0" w:num="2">
            <w:col w:w="4664" w:space="540"/>
            <w:col w:w="5800"/>
          </w:cols>
          <w:pgMar w:left="436" w:top="274" w:right="459" w:bottom="1440" w:gutter="0" w:footer="0" w:header="0"/>
          <w:type w:val="continuous"/>
        </w:sect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60" w:hanging="532"/>
        <w:spacing w:after="0" w:line="275" w:lineRule="auto"/>
        <w:tabs>
          <w:tab w:leader="none" w:pos="964" w:val="left"/>
        </w:tabs>
        <w:numPr>
          <w:ilvl w:val="1"/>
          <w:numId w:val="302"/>
        </w:numPr>
        <w:rPr>
          <w:rFonts w:ascii="Arial" w:cs="Arial" w:eastAsia="Arial" w:hAnsi="Arial"/>
          <w:sz w:val="17"/>
          <w:szCs w:val="17"/>
          <w:color w:val="auto"/>
        </w:rPr>
      </w:pPr>
      <w:r>
        <w:rPr>
          <w:rFonts w:ascii="Arial" w:cs="Arial" w:eastAsia="Arial" w:hAnsi="Arial"/>
          <w:sz w:val="17"/>
          <w:szCs w:val="17"/>
          <w:i w:val="1"/>
          <w:iCs w:val="1"/>
          <w:color w:val="auto"/>
        </w:rPr>
        <w:t>Representations, Warranties and Covenants of Counterparty</w:t>
      </w:r>
      <w:r>
        <w:rPr>
          <w:rFonts w:ascii="Arial" w:cs="Arial" w:eastAsia="Arial" w:hAnsi="Arial"/>
          <w:sz w:val="17"/>
          <w:szCs w:val="17"/>
          <w:color w:val="auto"/>
        </w:rPr>
        <w:t>. Counterparty hereby represents and warrants to Dealer that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and warranties of Counterparty set forth in Section 1 of the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dated as of [•], 2021, among Counterparty and [Banks] as representatives of the several Purchasers named in Schedule I thereto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Purchasers</w:t>
      </w:r>
      <w:r>
        <w:rPr>
          <w:rFonts w:ascii="Arial" w:cs="Arial" w:eastAsia="Arial" w:hAnsi="Arial"/>
          <w:sz w:val="17"/>
          <w:szCs w:val="17"/>
          <w:color w:val="auto"/>
        </w:rPr>
        <w:t>”), is true and correct and is hereby deemed to be repeated to Dealer as if set forth herein. Counterparty hereby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and warrants to Dealer on the date hereof and on and as of the Premium Payment Date that:</w:t>
      </w:r>
    </w:p>
    <w:p>
      <w:pPr>
        <w:spacing w:after="0" w:line="82" w:lineRule="exact"/>
        <w:rPr>
          <w:sz w:val="20"/>
          <w:szCs w:val="20"/>
          <w:color w:val="auto"/>
        </w:rPr>
      </w:pPr>
    </w:p>
    <w:p>
      <w:pPr>
        <w:ind w:left="964" w:right="320" w:hanging="532"/>
        <w:spacing w:after="0" w:line="277" w:lineRule="auto"/>
        <w:tabs>
          <w:tab w:leader="none" w:pos="96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964" w:hanging="532"/>
        <w:spacing w:after="0" w:line="273" w:lineRule="auto"/>
        <w:tabs>
          <w:tab w:leader="none" w:pos="964" w:val="left"/>
        </w:tabs>
        <w:numPr>
          <w:ilvl w:val="0"/>
          <w:numId w:val="303"/>
        </w:numPr>
        <w:rPr>
          <w:rFonts w:ascii="Arial" w:cs="Arial" w:eastAsia="Arial" w:hAnsi="Arial"/>
          <w:sz w:val="17"/>
          <w:szCs w:val="17"/>
          <w:color w:val="auto"/>
        </w:rPr>
      </w:pPr>
      <w:r>
        <w:rPr>
          <w:rFonts w:ascii="Arial" w:cs="Arial" w:eastAsia="Arial" w:hAnsi="Arial"/>
          <w:sz w:val="17"/>
          <w:szCs w:val="17"/>
          <w:color w:val="auto"/>
        </w:rPr>
        <w:t>Each of Counterparty and its affiliates is not, on the date hereof, aware of any material non-public information with respect to Counterparty or the Shares. All reports and other documents filed by Counterparty with the Securities and Exchange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83" w:lineRule="exact"/>
        <w:rPr>
          <w:rFonts w:ascii="Arial" w:cs="Arial" w:eastAsia="Arial" w:hAnsi="Arial"/>
          <w:sz w:val="17"/>
          <w:szCs w:val="17"/>
          <w:color w:val="auto"/>
        </w:rPr>
      </w:pPr>
    </w:p>
    <w:p>
      <w:pPr>
        <w:ind w:left="964" w:hanging="532"/>
        <w:spacing w:after="0" w:line="301" w:lineRule="auto"/>
        <w:tabs>
          <w:tab w:leader="none" w:pos="964"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regulation that Dealer would be subject to as a result of its being a regulated entity under various applicable laws, including U.S. securities laws and FINRA.</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type w:val="continuous"/>
        </w:sectPr>
      </w:pPr>
    </w:p>
    <w:bookmarkStart w:id="270" w:name="page271"/>
    <w:bookmarkEnd w:id="270"/>
    <w:p>
      <w:pPr>
        <w:ind w:left="540" w:right="60" w:hanging="532"/>
        <w:spacing w:after="0" w:line="259"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Counterparty (i) is an “institutional account” as defined in FINRA Rule 4512(c); (ii) is capable of evaluating investment risks independently, both in general and with regard to all transactions and investment strategies involving a security or securities, and will exercise independent judgment in evaluating the recommendations of Dealer or its associated persons; and (iii) will notify Dealer if any of the statements contained in clause (i) or (ii) of this Section 8I(e) ceases to be true.</w:t>
      </w:r>
    </w:p>
    <w:p>
      <w:pPr>
        <w:spacing w:after="0" w:line="92" w:lineRule="exact"/>
        <w:rPr>
          <w:rFonts w:ascii="Arial" w:cs="Arial" w:eastAsia="Arial" w:hAnsi="Arial"/>
          <w:sz w:val="18"/>
          <w:szCs w:val="18"/>
          <w:color w:val="auto"/>
        </w:rPr>
      </w:pPr>
    </w:p>
    <w:p>
      <w:pPr>
        <w:ind w:left="540" w:right="120" w:hanging="532"/>
        <w:spacing w:after="0" w:line="257"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D</w:t>
      </w:r>
      <w:r>
        <w:rPr>
          <w:rFonts w:ascii="Arial" w:cs="Arial" w:eastAsia="Arial" w:hAnsi="Arial"/>
          <w:sz w:val="18"/>
          <w:szCs w:val="18"/>
          <w:i w:val="1"/>
          <w:iCs w:val="1"/>
          <w:color w:val="auto"/>
        </w:rPr>
        <w:t>erivatives and Hedging – Contracts in Entity’s Own Equity</w:t>
      </w:r>
      <w:r>
        <w:rPr>
          <w:rFonts w:ascii="Arial" w:cs="Arial" w:eastAsia="Arial" w:hAnsi="Arial"/>
          <w:sz w:val="18"/>
          <w:szCs w:val="18"/>
          <w:color w:val="auto"/>
        </w:rPr>
        <w:t xml:space="preserve"> (or any successor issue statements).</w:t>
      </w:r>
    </w:p>
    <w:p>
      <w:pPr>
        <w:spacing w:after="0" w:line="93" w:lineRule="exact"/>
        <w:rPr>
          <w:rFonts w:ascii="Arial" w:cs="Arial" w:eastAsia="Arial" w:hAnsi="Arial"/>
          <w:sz w:val="18"/>
          <w:szCs w:val="18"/>
          <w:color w:val="auto"/>
        </w:rPr>
      </w:pPr>
    </w:p>
    <w:p>
      <w:pPr>
        <w:ind w:left="540" w:right="180" w:hanging="532"/>
        <w:spacing w:after="0" w:line="263"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Counterparty is not engaged in an “issuer tender offer” as such term is defined in Rule 13e-4 under the Exchange Act with respect to any Shares or any security convertible into or exchangeable or exercisable for any Shares nor is it aware of any third party tender offer with respect to any such securities within the meaning of Rule 13e-1 under the Exchange Act.</w:t>
      </w:r>
    </w:p>
    <w:p>
      <w:pPr>
        <w:spacing w:after="0" w:line="89" w:lineRule="exact"/>
        <w:rPr>
          <w:rFonts w:ascii="Arial" w:cs="Arial" w:eastAsia="Arial" w:hAnsi="Arial"/>
          <w:sz w:val="18"/>
          <w:szCs w:val="18"/>
          <w:color w:val="auto"/>
        </w:rPr>
      </w:pPr>
    </w:p>
    <w:p>
      <w:pPr>
        <w:ind w:left="540" w:right="20" w:hanging="532"/>
        <w:spacing w:after="0" w:line="263"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in violation of the Exchange Act.</w:t>
      </w:r>
    </w:p>
    <w:p>
      <w:pPr>
        <w:spacing w:after="0" w:line="89" w:lineRule="exact"/>
        <w:rPr>
          <w:rFonts w:ascii="Arial" w:cs="Arial" w:eastAsia="Arial" w:hAnsi="Arial"/>
          <w:sz w:val="18"/>
          <w:szCs w:val="18"/>
          <w:color w:val="auto"/>
        </w:rPr>
      </w:pPr>
    </w:p>
    <w:p>
      <w:pPr>
        <w:ind w:left="540" w:right="80" w:hanging="532"/>
        <w:spacing w:after="0" w:line="285" w:lineRule="auto"/>
        <w:tabs>
          <w:tab w:leader="none" w:pos="5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On each of the Trade Date, the Premium Payment Date and immediately after giving effect to the Transaction on the Premium Payment Date, (A) the present fair market value (or present fair saleable value) of the total assets of Counterparty is not less than the total amount required to pay the probable total liabilities (including contingent liabilities) of Counterparty as they mature and become absolute, (B) the capital of Counterparty is adequate to conduct its business in the manner described in the Offering Memorandum relating to the sale of the Convertible Notes and to enter into the Transaction, (C) Counterparty has the ability to pay its debts and obligations as such debts mature,</w:t>
      </w:r>
    </w:p>
    <w:p>
      <w:pPr>
        <w:spacing w:after="0" w:line="1" w:lineRule="exact"/>
        <w:rPr>
          <w:rFonts w:ascii="Arial" w:cs="Arial" w:eastAsia="Arial" w:hAnsi="Arial"/>
          <w:sz w:val="16"/>
          <w:szCs w:val="16"/>
          <w:color w:val="auto"/>
        </w:rPr>
      </w:pPr>
    </w:p>
    <w:p>
      <w:pPr>
        <w:ind w:left="540" w:right="300"/>
        <w:spacing w:after="0" w:line="273" w:lineRule="auto"/>
        <w:rPr>
          <w:rFonts w:ascii="Arial" w:cs="Arial" w:eastAsia="Arial" w:hAnsi="Arial"/>
          <w:sz w:val="16"/>
          <w:szCs w:val="16"/>
          <w:color w:val="auto"/>
        </w:rPr>
      </w:pPr>
      <w:r>
        <w:rPr>
          <w:rFonts w:ascii="Arial" w:cs="Arial" w:eastAsia="Arial" w:hAnsi="Arial"/>
          <w:sz w:val="17"/>
          <w:szCs w:val="17"/>
          <w:color w:val="auto"/>
        </w:rPr>
        <w:t>(D) Counterparty is not “insolvent” (as such term is defined under Section 101(32) of the U.S. Bankruptcy Code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(E) 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p>
      <w:pPr>
        <w:spacing w:after="0" w:line="81"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spacing w:after="0" w:line="92" w:lineRule="exact"/>
        <w:rPr>
          <w:rFonts w:ascii="Arial" w:cs="Arial" w:eastAsia="Arial" w:hAnsi="Arial"/>
          <w:sz w:val="18"/>
          <w:szCs w:val="18"/>
          <w:color w:val="auto"/>
        </w:rPr>
      </w:pPr>
    </w:p>
    <w:p>
      <w:pPr>
        <w:ind w:left="540" w:hanging="532"/>
        <w:spacing w:after="0" w:line="253"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Counterparty acknowledges that the Transaction may constitute a purchase of its equity securities. Counterparty further acknowledges that, pursuant to the provisions of the Coronavirus Aid, Relief and Economic Security Act (the “</w:t>
      </w:r>
      <w:r>
        <w:rPr>
          <w:rFonts w:ascii="Arial" w:cs="Arial" w:eastAsia="Arial" w:hAnsi="Arial"/>
          <w:sz w:val="18"/>
          <w:szCs w:val="18"/>
          <w:b w:val="1"/>
          <w:bCs w:val="1"/>
          <w:color w:val="auto"/>
        </w:rPr>
        <w:t>CARES Act</w:t>
      </w:r>
      <w:r>
        <w:rPr>
          <w:rFonts w:ascii="Arial" w:cs="Arial" w:eastAsia="Arial" w:hAnsi="Arial"/>
          <w:sz w:val="18"/>
          <w:szCs w:val="18"/>
          <w:color w:val="auto"/>
        </w:rPr>
        <w:t>”), the Counterparty would be required to agree to certain time-bound restrictions on its ability to purchase its equity securities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if it receives loans, loan guarantees or direct loans (as that term is defined in the CARES Act) under programs or facilities established by the Board of Governors of the Federal Reserve System for the purpose of providing liquidity to the financial system (together with loans, loan guarantees or direct loans under section 4003(b) of the CARES Act and any other form of investment, financial assistance or relief under any governmental program or</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60" w:top="274" w:right="459" w:bottom="1440" w:gutter="0" w:footer="0" w:header="0"/>
        </w:sectPr>
      </w:pPr>
    </w:p>
    <w:bookmarkStart w:id="271" w:name="page272"/>
    <w:bookmarkEnd w:id="271"/>
    <w:p>
      <w:pPr>
        <w:ind w:left="984"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facility, “</w:t>
      </w:r>
      <w:r>
        <w:rPr>
          <w:rFonts w:ascii="Arial" w:cs="Arial" w:eastAsia="Arial" w:hAnsi="Arial"/>
          <w:sz w:val="16"/>
          <w:szCs w:val="16"/>
          <w:b w:val="1"/>
          <w:bCs w:val="1"/>
          <w:color w:val="auto"/>
        </w:rPr>
        <w:t>Governmental Financial Assistance</w:t>
      </w:r>
      <w:r>
        <w:rPr>
          <w:rFonts w:ascii="Arial" w:cs="Arial" w:eastAsia="Arial" w:hAnsi="Arial"/>
          <w:sz w:val="16"/>
          <w:szCs w:val="16"/>
          <w:color w:val="auto"/>
        </w:rPr>
        <w:t>”). Accordingly, Counterparty represents and warrants that it and any of its subsidiaries has not applied for and has no present intention to apply, prior to the termination or settlement of this Transaction, apply for any Governmental Financial Assistance under any governmental program or facility that (a) is established under the CARES Act or the Federal Reserve Act, as amended, and (b) requires, as a condition of such Governmental Financial Assistance, that the Counterparty agree, attest, certify or warrant that it has not, as of the date specified in such condition, repurchased, or will not repurchase, any equity security of Counterparty.</w:t>
      </w:r>
    </w:p>
    <w:p>
      <w:pPr>
        <w:spacing w:after="0" w:line="63" w:lineRule="exact"/>
        <w:rPr>
          <w:sz w:val="20"/>
          <w:szCs w:val="20"/>
          <w:color w:val="auto"/>
        </w:rPr>
      </w:pPr>
    </w:p>
    <w:p>
      <w:pPr>
        <w:ind w:left="964" w:right="100" w:hanging="532"/>
        <w:spacing w:after="0" w:line="277" w:lineRule="auto"/>
        <w:tabs>
          <w:tab w:leader="none" w:pos="964"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Covenants of Counterparty and Dealer</w:t>
      </w:r>
      <w:r>
        <w:rPr>
          <w:rFonts w:ascii="Arial" w:cs="Arial" w:eastAsia="Arial" w:hAnsi="Arial"/>
          <w:sz w:val="18"/>
          <w:szCs w:val="18"/>
          <w:color w:val="auto"/>
        </w:rPr>
        <w:t>. Counterparty and Dealer hereby represent and warrant to Dealer</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Counterparty, respectively, on the date hereof and on and as of the Premium Payment Date that:</w:t>
      </w:r>
    </w:p>
    <w:p>
      <w:pPr>
        <w:spacing w:after="0" w:line="76" w:lineRule="exact"/>
        <w:rPr>
          <w:sz w:val="20"/>
          <w:szCs w:val="20"/>
          <w:color w:val="auto"/>
        </w:rPr>
      </w:pPr>
    </w:p>
    <w:p>
      <w:pPr>
        <w:ind w:left="964" w:right="260" w:hanging="532"/>
        <w:spacing w:after="0" w:line="308" w:lineRule="auto"/>
        <w:tabs>
          <w:tab w:leader="none" w:pos="964" w:val="left"/>
        </w:tabs>
        <w:numPr>
          <w:ilvl w:val="1"/>
          <w:numId w:val="306"/>
        </w:numPr>
        <w:rPr>
          <w:rFonts w:ascii="Arial" w:cs="Arial" w:eastAsia="Arial" w:hAnsi="Arial"/>
          <w:sz w:val="17"/>
          <w:szCs w:val="17"/>
          <w:color w:val="auto"/>
        </w:rPr>
      </w:pPr>
      <w:r>
        <w:rPr>
          <w:rFonts w:ascii="Arial" w:cs="Arial" w:eastAsia="Arial" w:hAnsi="Arial"/>
          <w:sz w:val="17"/>
          <w:szCs w:val="17"/>
          <w:color w:val="auto"/>
        </w:rPr>
        <w:t>Each is an “eligible contract participant” (as such term is defined in Section 1a(18) of the Commodity Exchange Act, as amended, other than a person that is an eligible contract participant under Section 1a(18)(C) of the Commodity Exchange Act).</w:t>
      </w:r>
    </w:p>
    <w:p>
      <w:pPr>
        <w:spacing w:after="0" w:line="51" w:lineRule="exact"/>
        <w:rPr>
          <w:rFonts w:ascii="Arial" w:cs="Arial" w:eastAsia="Arial" w:hAnsi="Arial"/>
          <w:sz w:val="17"/>
          <w:szCs w:val="17"/>
          <w:color w:val="auto"/>
        </w:rPr>
      </w:pPr>
    </w:p>
    <w:p>
      <w:pPr>
        <w:ind w:left="964" w:hanging="532"/>
        <w:spacing w:after="0" w:line="285" w:lineRule="auto"/>
        <w:tabs>
          <w:tab w:leader="none" w:pos="964" w:val="left"/>
        </w:tabs>
        <w:numPr>
          <w:ilvl w:val="1"/>
          <w:numId w:val="306"/>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w:t>
      </w:r>
    </w:p>
    <w:p>
      <w:pPr>
        <w:spacing w:after="0" w:line="1" w:lineRule="exact"/>
        <w:rPr>
          <w:rFonts w:ascii="Arial" w:cs="Arial" w:eastAsia="Arial" w:hAnsi="Arial"/>
          <w:sz w:val="16"/>
          <w:szCs w:val="16"/>
          <w:color w:val="auto"/>
        </w:rPr>
      </w:pPr>
    </w:p>
    <w:p>
      <w:pPr>
        <w:ind w:left="964" w:firstLine="8"/>
        <w:spacing w:after="0" w:line="269" w:lineRule="auto"/>
        <w:tabs>
          <w:tab w:leader="none" w:pos="1229" w:val="left"/>
        </w:tabs>
        <w:numPr>
          <w:ilvl w:val="2"/>
          <w:numId w:val="306"/>
        </w:numPr>
        <w:rPr>
          <w:rFonts w:ascii="Arial" w:cs="Arial" w:eastAsia="Arial" w:hAnsi="Arial"/>
          <w:sz w:val="17"/>
          <w:szCs w:val="17"/>
          <w:color w:val="auto"/>
        </w:rPr>
      </w:pPr>
      <w:r>
        <w:rPr>
          <w:rFonts w:ascii="Arial" w:cs="Arial" w:eastAsia="Arial" w:hAnsi="Arial"/>
          <w:sz w:val="17"/>
          <w:szCs w:val="17"/>
          <w:color w:val="auto"/>
        </w:rPr>
        <w:t>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203" w:lineRule="exact"/>
        <w:rPr>
          <w:rFonts w:ascii="Arial" w:cs="Arial" w:eastAsia="Arial" w:hAnsi="Arial"/>
          <w:sz w:val="17"/>
          <w:szCs w:val="17"/>
          <w:color w:val="auto"/>
        </w:rPr>
      </w:pPr>
    </w:p>
    <w:p>
      <w:pPr>
        <w:ind w:left="424" w:hanging="424"/>
        <w:spacing w:after="0"/>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20" w:hanging="532"/>
        <w:spacing w:after="0" w:line="293" w:lineRule="auto"/>
        <w:tabs>
          <w:tab w:leader="none" w:pos="964" w:val="left"/>
        </w:tabs>
        <w:numPr>
          <w:ilvl w:val="1"/>
          <w:numId w:val="307"/>
        </w:numPr>
        <w:rPr>
          <w:rFonts w:ascii="Arial" w:cs="Arial" w:eastAsia="Arial" w:hAnsi="Arial"/>
          <w:sz w:val="16"/>
          <w:szCs w:val="16"/>
          <w:color w:val="auto"/>
        </w:rPr>
      </w:pPr>
      <w:r>
        <w:rPr>
          <w:rFonts w:ascii="Arial" w:cs="Arial" w:eastAsia="Arial" w:hAnsi="Arial"/>
          <w:sz w:val="16"/>
          <w:szCs w:val="16"/>
          <w:i w:val="1"/>
          <w:iCs w:val="1"/>
          <w:u w:val="single" w:color="auto"/>
          <w:color w:val="auto"/>
        </w:rPr>
        <w:t>Opinions</w:t>
      </w:r>
      <w:r>
        <w:rPr>
          <w:rFonts w:ascii="Arial" w:cs="Arial" w:eastAsia="Arial" w:hAnsi="Arial"/>
          <w:sz w:val="16"/>
          <w:szCs w:val="16"/>
          <w:color w:val="auto"/>
        </w:rPr>
        <w:t>. On or prior to the Premium Payment Date, Counterparty shall deliver to Dealer an opinion of counsel, dated as of the Trade</w:t>
      </w:r>
      <w:r>
        <w:rPr>
          <w:rFonts w:ascii="Arial" w:cs="Arial" w:eastAsia="Arial" w:hAnsi="Arial"/>
          <w:sz w:val="16"/>
          <w:szCs w:val="16"/>
          <w:i w:val="1"/>
          <w:iCs w:val="1"/>
          <w:color w:val="auto"/>
        </w:rPr>
        <w:t xml:space="preserve"> </w:t>
      </w:r>
      <w:r>
        <w:rPr>
          <w:rFonts w:ascii="Arial" w:cs="Arial" w:eastAsia="Arial" w:hAnsi="Arial"/>
          <w:sz w:val="16"/>
          <w:szCs w:val="16"/>
          <w:color w:val="auto"/>
        </w:rPr>
        <w:t>Date, with respect to the due incorporation, existence and good standing of Counterparty in Delaware, the due authorization, execution and delivery of this Confirmation, and, in respect of the execution, delivery and performance of this Confirmation, the absence of any conflict with or breach of any material agreement required to be filed as an exhibit to Counterparty’s Annual Report on Form 10-K, Counterparty’s certificate of incorporation or Counterparty’s by-laws. Delivery of such opinion to Dealer shall be a condition precedent for the purpose of Section 2(a)(iii) of the Agreement with respect to each obligation of Dealer under Section 2(a)(i) of the Agreement.</w:t>
      </w:r>
    </w:p>
    <w:p>
      <w:pPr>
        <w:spacing w:after="0" w:line="69" w:lineRule="exact"/>
        <w:rPr>
          <w:rFonts w:ascii="Arial" w:cs="Arial" w:eastAsia="Arial" w:hAnsi="Arial"/>
          <w:sz w:val="16"/>
          <w:szCs w:val="16"/>
          <w:color w:val="auto"/>
        </w:rPr>
      </w:pPr>
    </w:p>
    <w:p>
      <w:pPr>
        <w:ind w:left="964" w:hanging="532"/>
        <w:spacing w:after="0" w:line="285" w:lineRule="auto"/>
        <w:tabs>
          <w:tab w:leader="none" w:pos="964" w:val="left"/>
        </w:tabs>
        <w:numPr>
          <w:ilvl w:val="1"/>
          <w:numId w:val="307"/>
        </w:numPr>
        <w:rPr>
          <w:rFonts w:ascii="Arial" w:cs="Arial" w:eastAsia="Arial" w:hAnsi="Arial"/>
          <w:sz w:val="16"/>
          <w:szCs w:val="16"/>
          <w:color w:val="auto"/>
        </w:rPr>
      </w:pPr>
      <w:r>
        <w:rPr>
          <w:rFonts w:ascii="Arial" w:cs="Arial" w:eastAsia="Arial" w:hAnsi="Arial"/>
          <w:sz w:val="16"/>
          <w:szCs w:val="16"/>
          <w:i w:val="1"/>
          <w:iCs w:val="1"/>
          <w:u w:val="single" w:color="auto"/>
          <w:color w:val="auto"/>
        </w:rPr>
        <w:t>Repurchase/Adjustment Notices</w:t>
      </w:r>
      <w:r>
        <w:rPr>
          <w:rFonts w:ascii="Arial" w:cs="Arial" w:eastAsia="Arial" w:hAnsi="Arial"/>
          <w:sz w:val="16"/>
          <w:szCs w:val="16"/>
          <w:color w:val="auto"/>
        </w:rPr>
        <w:t>. Counterparty shall, at least one Exchange Business Day prior to any day on which Counterparty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any repurchase of Shares or consummates or otherwise engages in any transaction or event (a “</w:t>
      </w:r>
      <w:r>
        <w:rPr>
          <w:rFonts w:ascii="Arial" w:cs="Arial" w:eastAsia="Arial" w:hAnsi="Arial"/>
          <w:sz w:val="16"/>
          <w:szCs w:val="16"/>
          <w:b w:val="1"/>
          <w:bCs w:val="1"/>
          <w:color w:val="auto"/>
        </w:rPr>
        <w:t>Conversion Rate Adjustment Event</w:t>
      </w:r>
      <w:r>
        <w:rPr>
          <w:rFonts w:ascii="Arial" w:cs="Arial" w:eastAsia="Arial" w:hAnsi="Arial"/>
          <w:sz w:val="16"/>
          <w:szCs w:val="16"/>
          <w:color w:val="auto"/>
        </w:rPr>
        <w:t>”) that could reasonably be expected to lead to an increase in the Conversion Rate (as such term is defined in the Indenture), give Dealer a written notice of such repurchase or Conversion Rate Adjustment Event (a “</w:t>
      </w:r>
      <w:r>
        <w:rPr>
          <w:rFonts w:ascii="Arial" w:cs="Arial" w:eastAsia="Arial" w:hAnsi="Arial"/>
          <w:sz w:val="16"/>
          <w:szCs w:val="16"/>
          <w:b w:val="1"/>
          <w:bCs w:val="1"/>
          <w:color w:val="auto"/>
        </w:rPr>
        <w:t>Repurchase/Adjustment Notice</w:t>
      </w:r>
      <w:r>
        <w:rPr>
          <w:rFonts w:ascii="Arial" w:cs="Arial" w:eastAsia="Arial" w:hAnsi="Arial"/>
          <w:sz w:val="16"/>
          <w:szCs w:val="16"/>
          <w:color w:val="auto"/>
        </w:rPr>
        <w:t>”) on such day if, following such repurchase or Conversion Rate Adjustment Event, the Notice Percentage would reasonably be expected to be (i) greater than [__]</w:t>
      </w:r>
      <w:r>
        <w:rPr>
          <w:rFonts w:ascii="Arial" w:cs="Arial" w:eastAsia="Arial" w:hAnsi="Arial"/>
          <w:sz w:val="13"/>
          <w:szCs w:val="13"/>
          <w:color w:val="auto"/>
        </w:rPr>
        <w:t>17</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244" w:hanging="272"/>
        <w:spacing w:after="0"/>
        <w:tabs>
          <w:tab w:leader="none" w:pos="1244" w:val="left"/>
        </w:tabs>
        <w:numPr>
          <w:ilvl w:val="2"/>
          <w:numId w:val="307"/>
        </w:numPr>
        <w:rPr>
          <w:rFonts w:ascii="Arial" w:cs="Arial" w:eastAsia="Arial" w:hAnsi="Arial"/>
          <w:sz w:val="18"/>
          <w:szCs w:val="18"/>
          <w:color w:val="auto"/>
        </w:rPr>
      </w:pPr>
      <w:r>
        <w:rPr>
          <w:rFonts w:ascii="Arial" w:cs="Arial" w:eastAsia="Arial" w:hAnsi="Arial"/>
          <w:sz w:val="18"/>
          <w:szCs w:val="18"/>
          <w:color w:val="auto"/>
        </w:rPr>
        <w:t>greater by 0.5%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5" w:lineRule="exact"/>
        <w:rPr>
          <w:sz w:val="20"/>
          <w:szCs w:val="20"/>
          <w:color w:val="auto"/>
        </w:rPr>
      </w:pPr>
    </w:p>
    <w:p>
      <w:pPr>
        <w:ind w:left="424" w:right="420" w:hanging="424"/>
        <w:spacing w:after="0" w:line="277" w:lineRule="auto"/>
        <w:tabs>
          <w:tab w:leader="none" w:pos="424" w:val="left"/>
        </w:tabs>
        <w:numPr>
          <w:ilvl w:val="0"/>
          <w:numId w:val="308"/>
        </w:numPr>
        <w:rPr>
          <w:rFonts w:ascii="Arial" w:cs="Arial" w:eastAsia="Arial" w:hAnsi="Arial"/>
          <w:sz w:val="15"/>
          <w:szCs w:val="15"/>
          <w:color w:val="auto"/>
        </w:rPr>
      </w:pPr>
      <w:r>
        <w:rPr>
          <w:rFonts w:ascii="Arial" w:cs="Arial" w:eastAsia="Arial" w:hAnsi="Arial"/>
          <w:sz w:val="18"/>
          <w:szCs w:val="18"/>
          <w:color w:val="auto"/>
        </w:rPr>
        <w:t>To be 0.5% higher than the number of Shares underlying the capped call (including any additional capped call) of the Dealer with the highest Applicable Percentage.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72" w:name="page273"/>
    <w:bookmarkEnd w:id="272"/>
    <w:p>
      <w:pPr>
        <w:ind w:left="5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Notice Percentage included in the immediately preceding Repurchase/Adjustment Notice (or, in the case of the first such Repurchase/Adjustment Notice, greater by 0.5% than the Notice Percentage as of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shall not deliver any material non-public information to any employee of Dealer unless that employee has been identified to Counterparty as being on the “private side”. The “</w:t>
      </w:r>
      <w:r>
        <w:rPr>
          <w:rFonts w:ascii="Arial" w:cs="Arial" w:eastAsia="Arial" w:hAnsi="Arial"/>
          <w:sz w:val="16"/>
          <w:szCs w:val="16"/>
          <w:b w:val="1"/>
          <w:bCs w:val="1"/>
          <w:color w:val="auto"/>
        </w:rPr>
        <w:t>Notice Percentage</w:t>
      </w:r>
      <w:r>
        <w:rPr>
          <w:rFonts w:ascii="Arial" w:cs="Arial" w:eastAsia="Arial" w:hAnsi="Arial"/>
          <w:sz w:val="16"/>
          <w:szCs w:val="16"/>
          <w:color w:val="auto"/>
        </w:rPr>
        <w:t>” as of any day is the fraction, expressed as a percentage, the numerator of which is the sum of (a) the product of the Number of Options and the Option Entitlement and (b) the number of Shares underlying any other similar call option transaction sold by Dealer to Counterparty and the denominator of which is the number of Shares outstanding on such day. Counterparty agrees to indemnify and hold harmless Dealer and its affiliates and their respective officers, directors, employees, affiliates, advisors, agents and controlling persons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from and against any and all losses (including losses relating to Dealer’s commercially reasonable hedging activities as a consequence of becoming, or of the risk of becoming, a Section 16 “insider”, including without limitation, any forbearance from hedging activities or cessation of hedging activities in a commercially reasonable manner and any losses in connection therewith with respect to the Transaction), claims, damages, judgments, liabilities, expenses and fees (including reasonable attorney’s fees), joint or several, which an Indemnified Person may become subject to, as a result of Counterparty’s failure to provide Dealer with a Repurchase/Adjustment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Repurchase/Adjustment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reasonable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expects to be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reasonable losses, claims, damages, liabilities, expenses or fees referred to therein, then Counterparty, in lieu of indemnifying such Indemnified Person hereunder, shall contribute to the amount paid or payable by such Indemnified Person as a result of such reasonable losses, claims, damages, liabilities, expenses or fees. The remedies provided for in this paragraph (b) are not exclusive and shall not limit any rights or remedies that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90" w:lineRule="exact"/>
        <w:rPr>
          <w:sz w:val="20"/>
          <w:szCs w:val="20"/>
          <w:color w:val="auto"/>
        </w:rPr>
      </w:pPr>
    </w:p>
    <w:p>
      <w:pPr>
        <w:ind w:left="540" w:hanging="532"/>
        <w:spacing w:after="0" w:line="259"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i w:val="1"/>
          <w:iCs w:val="1"/>
          <w:u w:val="single" w:color="auto"/>
          <w:color w:val="auto"/>
        </w:rPr>
        <w:t>Regulation M</w:t>
      </w:r>
      <w:r>
        <w:rPr>
          <w:rFonts w:ascii="Arial" w:cs="Arial" w:eastAsia="Arial" w:hAnsi="Arial"/>
          <w:sz w:val="18"/>
          <w:szCs w:val="18"/>
          <w:color w:val="auto"/>
        </w:rPr>
        <w:t>. Counterparty is not on the Trade Date engaged in a distribution, as such term is used in Regulation M under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of any securities of Counterparty, other than a distribution meeting the requirements of the exception set forth in Rules 101(b)(10) and 102(b)(7) of Regulation M. Counterparty shall not, until the second Scheduled Trading Day immediately following the Trade Date, engage in any such distribution.</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 or Assignment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80" w:hanging="439"/>
        <w:spacing w:after="0" w:line="286" w:lineRule="auto"/>
        <w:tabs>
          <w:tab w:leader="none" w:pos="10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7"/>
          <w:szCs w:val="17"/>
          <w:b w:val="1"/>
          <w:bCs w:val="1"/>
          <w:color w:val="auto"/>
        </w:rPr>
        <w:t>Transfer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transfer or assignment shall be subject to reasonable conditions that Dealer may impose, including but not limited, to the following conditions:</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60" w:top="274" w:right="479" w:bottom="1440" w:gutter="0" w:footer="0" w:header="0"/>
        </w:sectPr>
      </w:pPr>
    </w:p>
    <w:bookmarkStart w:id="273" w:name="page274"/>
    <w:bookmarkEnd w:id="273"/>
    <w:p>
      <w:pPr>
        <w:ind w:left="979" w:right="380" w:hanging="533"/>
        <w:spacing w:after="0" w:line="277" w:lineRule="auto"/>
        <w:tabs>
          <w:tab w:leader="none" w:pos="979" w:val="left"/>
        </w:tabs>
        <w:numPr>
          <w:ilvl w:val="2"/>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Transfer Options, Counterparty shall not be released from its notice and indemnification obligations pursuant to Section 9(b) or any obligations under Section 9(n) or 9(s) of this Confirmation;</w:t>
      </w:r>
    </w:p>
    <w:p>
      <w:pPr>
        <w:spacing w:after="0" w:line="75" w:lineRule="exact"/>
        <w:rPr>
          <w:rFonts w:ascii="Arial" w:cs="Arial" w:eastAsia="Arial" w:hAnsi="Arial"/>
          <w:sz w:val="18"/>
          <w:szCs w:val="18"/>
          <w:color w:val="auto"/>
        </w:rPr>
      </w:pPr>
    </w:p>
    <w:p>
      <w:pPr>
        <w:ind w:left="979" w:right="260" w:hanging="533"/>
        <w:spacing w:after="0" w:line="277" w:lineRule="auto"/>
        <w:tabs>
          <w:tab w:leader="none" w:pos="979" w:val="left"/>
        </w:tabs>
        <w:numPr>
          <w:ilvl w:val="2"/>
          <w:numId w:val="310"/>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United States person (as defined in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79" w:right="20" w:hanging="533"/>
        <w:spacing w:after="0" w:line="257" w:lineRule="auto"/>
        <w:tabs>
          <w:tab w:leader="none" w:pos="979" w:val="left"/>
        </w:tabs>
        <w:numPr>
          <w:ilvl w:val="2"/>
          <w:numId w:val="310"/>
        </w:numPr>
        <w:rPr>
          <w:rFonts w:ascii="Arial" w:cs="Arial" w:eastAsia="Arial" w:hAnsi="Arial"/>
          <w:sz w:val="18"/>
          <w:szCs w:val="18"/>
          <w:color w:val="auto"/>
        </w:rPr>
      </w:pPr>
      <w:r>
        <w:rPr>
          <w:rFonts w:ascii="Arial" w:cs="Arial" w:eastAsia="Arial" w:hAnsi="Arial"/>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93" w:lineRule="exact"/>
        <w:rPr>
          <w:rFonts w:ascii="Arial" w:cs="Arial" w:eastAsia="Arial" w:hAnsi="Arial"/>
          <w:sz w:val="18"/>
          <w:szCs w:val="18"/>
          <w:color w:val="auto"/>
        </w:rPr>
      </w:pPr>
    </w:p>
    <w:p>
      <w:pPr>
        <w:ind w:left="979" w:right="40" w:hanging="533"/>
        <w:spacing w:after="0" w:line="259" w:lineRule="auto"/>
        <w:tabs>
          <w:tab w:leader="none" w:pos="979" w:val="left"/>
        </w:tabs>
        <w:numPr>
          <w:ilvl w:val="2"/>
          <w:numId w:val="310"/>
        </w:numPr>
        <w:rPr>
          <w:rFonts w:ascii="Arial" w:cs="Arial" w:eastAsia="Arial" w:hAnsi="Arial"/>
          <w:sz w:val="18"/>
          <w:szCs w:val="18"/>
          <w:color w:val="auto"/>
        </w:rPr>
      </w:pPr>
      <w:r>
        <w:rPr>
          <w:rFonts w:ascii="Arial" w:cs="Arial" w:eastAsia="Arial" w:hAnsi="Arial"/>
          <w:sz w:val="18"/>
          <w:szCs w:val="18"/>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 except to the extent that the greater amount is due to a Change in Tax Law after the date of such transfer or assignment;</w:t>
      </w:r>
    </w:p>
    <w:p>
      <w:pPr>
        <w:spacing w:after="0" w:line="92" w:lineRule="exact"/>
        <w:rPr>
          <w:rFonts w:ascii="Arial" w:cs="Arial" w:eastAsia="Arial" w:hAnsi="Arial"/>
          <w:sz w:val="18"/>
          <w:szCs w:val="18"/>
          <w:color w:val="auto"/>
        </w:rPr>
      </w:pPr>
    </w:p>
    <w:p>
      <w:pPr>
        <w:ind w:left="979" w:right="720" w:hanging="533"/>
        <w:spacing w:after="0" w:line="277" w:lineRule="auto"/>
        <w:tabs>
          <w:tab w:leader="none" w:pos="979" w:val="left"/>
        </w:tabs>
        <w:numPr>
          <w:ilvl w:val="2"/>
          <w:numId w:val="310"/>
        </w:numPr>
        <w:rPr>
          <w:rFonts w:ascii="Arial" w:cs="Arial" w:eastAsia="Arial" w:hAnsi="Arial"/>
          <w:sz w:val="18"/>
          <w:szCs w:val="18"/>
          <w:color w:val="auto"/>
        </w:rPr>
      </w:pPr>
      <w:r>
        <w:rPr>
          <w:rFonts w:ascii="Arial" w:cs="Arial" w:eastAsia="Arial" w:hAnsi="Arial"/>
          <w:sz w:val="18"/>
          <w:szCs w:val="18"/>
          <w:color w:val="auto"/>
        </w:rPr>
        <w:t>An Event of Default, Potential Event of Default or Termination Event will not occur as a result of such transfer and assignment;</w:t>
      </w:r>
    </w:p>
    <w:p>
      <w:pPr>
        <w:spacing w:after="0" w:line="75" w:lineRule="exact"/>
        <w:rPr>
          <w:rFonts w:ascii="Arial" w:cs="Arial" w:eastAsia="Arial" w:hAnsi="Arial"/>
          <w:sz w:val="18"/>
          <w:szCs w:val="18"/>
          <w:color w:val="auto"/>
        </w:rPr>
      </w:pPr>
    </w:p>
    <w:p>
      <w:pPr>
        <w:ind w:left="979" w:right="540" w:hanging="533"/>
        <w:spacing w:after="0" w:line="311" w:lineRule="auto"/>
        <w:tabs>
          <w:tab w:leader="none" w:pos="979" w:val="left"/>
        </w:tabs>
        <w:numPr>
          <w:ilvl w:val="2"/>
          <w:numId w:val="310"/>
        </w:numPr>
        <w:rPr>
          <w:rFonts w:ascii="Arial" w:cs="Arial" w:eastAsia="Arial" w:hAnsi="Arial"/>
          <w:sz w:val="16"/>
          <w:szCs w:val="16"/>
          <w:color w:val="auto"/>
        </w:rPr>
      </w:pPr>
      <w:r>
        <w:rPr>
          <w:rFonts w:ascii="Arial" w:cs="Arial" w:eastAsia="Arial" w:hAnsi="Arial"/>
          <w:sz w:val="16"/>
          <w:szCs w:val="16"/>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54" w:lineRule="exact"/>
        <w:rPr>
          <w:rFonts w:ascii="Arial" w:cs="Arial" w:eastAsia="Arial" w:hAnsi="Arial"/>
          <w:sz w:val="16"/>
          <w:szCs w:val="16"/>
          <w:color w:val="auto"/>
        </w:rPr>
      </w:pPr>
    </w:p>
    <w:p>
      <w:pPr>
        <w:ind w:left="979" w:right="240" w:hanging="533"/>
        <w:spacing w:after="0" w:line="277" w:lineRule="auto"/>
        <w:tabs>
          <w:tab w:leader="none" w:pos="979" w:val="left"/>
        </w:tabs>
        <w:numPr>
          <w:ilvl w:val="2"/>
          <w:numId w:val="310"/>
        </w:numPr>
        <w:rPr>
          <w:rFonts w:ascii="Arial" w:cs="Arial" w:eastAsia="Arial" w:hAnsi="Arial"/>
          <w:sz w:val="18"/>
          <w:szCs w:val="18"/>
          <w:color w:val="auto"/>
        </w:rPr>
      </w:pPr>
      <w:r>
        <w:rPr>
          <w:rFonts w:ascii="Arial" w:cs="Arial" w:eastAsia="Arial" w:hAnsi="Arial"/>
          <w:sz w:val="18"/>
          <w:szCs w:val="18"/>
          <w:color w:val="auto"/>
        </w:rPr>
        <w:t>Counterparty shall be responsible for all commercially reasonable costs and expenses, including commercially reasonable counsel fees, incurred by Dealer in connection with such transfer or assignment.</w:t>
      </w:r>
    </w:p>
    <w:p>
      <w:pPr>
        <w:spacing w:after="0" w:line="71" w:lineRule="exact"/>
        <w:rPr>
          <w:rFonts w:ascii="Arial" w:cs="Arial" w:eastAsia="Arial" w:hAnsi="Arial"/>
          <w:sz w:val="18"/>
          <w:szCs w:val="18"/>
          <w:color w:val="auto"/>
        </w:rPr>
      </w:pPr>
    </w:p>
    <w:p>
      <w:pPr>
        <w:ind w:left="439" w:right="180" w:hanging="439"/>
        <w:spacing w:after="0" w:line="293" w:lineRule="auto"/>
        <w:tabs>
          <w:tab w:leader="none" w:pos="43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Dealer may transfer or assign (a “</w:t>
      </w:r>
      <w:r>
        <w:rPr>
          <w:rFonts w:ascii="Arial" w:cs="Arial" w:eastAsia="Arial" w:hAnsi="Arial"/>
          <w:sz w:val="16"/>
          <w:szCs w:val="16"/>
          <w:b w:val="1"/>
          <w:bCs w:val="1"/>
          <w:color w:val="auto"/>
        </w:rPr>
        <w:t>Transfer</w:t>
      </w:r>
      <w:r>
        <w:rPr>
          <w:rFonts w:ascii="Arial" w:cs="Arial" w:eastAsia="Arial" w:hAnsi="Arial"/>
          <w:sz w:val="16"/>
          <w:szCs w:val="16"/>
          <w:color w:val="auto"/>
        </w:rPr>
        <w:t>”) all or any part of its rights or obligations under the Transaction to (A) without Counterparty’s consent, to any affiliate of Dealer whose obligations would be guaranteed by Dealer or Dealer’s ultimate parent, or</w:t>
      </w:r>
    </w:p>
    <w:p>
      <w:pPr>
        <w:spacing w:after="0" w:line="1" w:lineRule="exact"/>
        <w:rPr>
          <w:rFonts w:ascii="Arial" w:cs="Arial" w:eastAsia="Arial" w:hAnsi="Arial"/>
          <w:sz w:val="16"/>
          <w:szCs w:val="16"/>
          <w:color w:val="auto"/>
        </w:rPr>
      </w:pPr>
    </w:p>
    <w:p>
      <w:pPr>
        <w:ind w:left="439" w:hanging="7"/>
        <w:spacing w:after="0" w:line="281" w:lineRule="auto"/>
        <w:tabs>
          <w:tab w:leader="none" w:pos="72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with Counterparty’s consent (such consent not to be unreasonably withheld or delayed) any person (including any Affiliate of Dealer whose obligations are not guaranteed in the manner described in clause (A)) or any person whose obligations would be guaranteed by a person (a “</w:t>
      </w:r>
      <w:r>
        <w:rPr>
          <w:rFonts w:ascii="Arial" w:cs="Arial" w:eastAsia="Arial" w:hAnsi="Arial"/>
          <w:sz w:val="16"/>
          <w:szCs w:val="16"/>
          <w:b w:val="1"/>
          <w:bCs w:val="1"/>
          <w:color w:val="auto"/>
        </w:rPr>
        <w:t>Designated Transferee</w:t>
      </w:r>
      <w:r>
        <w:rPr>
          <w:rFonts w:ascii="Arial" w:cs="Arial" w:eastAsia="Arial" w:hAnsi="Arial"/>
          <w:sz w:val="16"/>
          <w:szCs w:val="16"/>
          <w:color w:val="auto"/>
        </w:rPr>
        <w:t>”), in either case under this clause (B), with a rating for its long-term, unsecured and unsubordinated indebtedness at least equivalent to Dealer’s (or its guarantor’s); provided, however, that in the case of this clause (B), in no event shall the credit rating of the Designated Transferee or the guarantor (whichever is higher) be lower than A- by Standard and Poor’s Rating Group, Inc. or its successor (“</w:t>
      </w:r>
      <w:r>
        <w:rPr>
          <w:rFonts w:ascii="Arial" w:cs="Arial" w:eastAsia="Arial" w:hAnsi="Arial"/>
          <w:sz w:val="16"/>
          <w:szCs w:val="16"/>
          <w:b w:val="1"/>
          <w:bCs w:val="1"/>
          <w:color w:val="auto"/>
        </w:rPr>
        <w:t>S&amp;P</w:t>
      </w:r>
      <w:r>
        <w:rPr>
          <w:rFonts w:ascii="Arial" w:cs="Arial" w:eastAsia="Arial" w:hAnsi="Arial"/>
          <w:sz w:val="16"/>
          <w:szCs w:val="16"/>
          <w:color w:val="auto"/>
        </w:rPr>
        <w:t>”), or A3 by Moody’s Investor Service, Inc. (“</w:t>
      </w:r>
      <w:r>
        <w:rPr>
          <w:rFonts w:ascii="Arial" w:cs="Arial" w:eastAsia="Arial" w:hAnsi="Arial"/>
          <w:sz w:val="16"/>
          <w:szCs w:val="16"/>
          <w:b w:val="1"/>
          <w:bCs w:val="1"/>
          <w:color w:val="auto"/>
        </w:rPr>
        <w:t>Moody’s</w:t>
      </w:r>
      <w:r>
        <w:rPr>
          <w:rFonts w:ascii="Arial" w:cs="Arial" w:eastAsia="Arial" w:hAnsi="Arial"/>
          <w:sz w:val="16"/>
          <w:szCs w:val="16"/>
          <w:color w:val="auto"/>
        </w:rPr>
        <w:t xml:space="preserve">”) or, if either S&amp;P or Moody’s ceases to rate such debt, at least an equivalent rating or better by a substitute rating agency mutually agreed by Counterparty and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either (x) the transferee in any such Transfer is a “dealer in securities” within the meaning of Section 475(c)(1) of the Code or (y) the Transfer does not result in a deemed exchange by Counterparty within the meaning of Section 1001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Dealer shall promptly provide written notice to Counterparty following any such Transfer. If at any time at which (A) the Section 16 Percentage exceeds 7.5%, (B) the Option Equity Percentage exceeds 14.5%, or</w:t>
      </w:r>
    </w:p>
    <w:p>
      <w:pPr>
        <w:spacing w:after="0" w:line="6" w:lineRule="exact"/>
        <w:rPr>
          <w:rFonts w:ascii="Arial" w:cs="Arial" w:eastAsia="Arial" w:hAnsi="Arial"/>
          <w:sz w:val="16"/>
          <w:szCs w:val="16"/>
          <w:color w:val="auto"/>
        </w:rPr>
      </w:pPr>
    </w:p>
    <w:p>
      <w:pPr>
        <w:ind w:left="439" w:right="120" w:hanging="7"/>
        <w:spacing w:after="0" w:line="260" w:lineRule="auto"/>
        <w:tabs>
          <w:tab w:leader="none" w:pos="72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Share Amount exceeds the Applicable Share Limit (if any applies) (any such condition described in clauses (A), (B) or (C), an “</w:t>
      </w:r>
      <w:r>
        <w:rPr>
          <w:rFonts w:ascii="Arial" w:cs="Arial" w:eastAsia="Arial" w:hAnsi="Arial"/>
          <w:sz w:val="18"/>
          <w:szCs w:val="18"/>
          <w:b w:val="1"/>
          <w:bCs w:val="1"/>
          <w:color w:val="auto"/>
        </w:rPr>
        <w:t>Excess Ownership Position</w:t>
      </w:r>
      <w:r>
        <w:rPr>
          <w:rFonts w:ascii="Arial" w:cs="Arial" w:eastAsia="Arial" w:hAnsi="Arial"/>
          <w:sz w:val="18"/>
          <w:szCs w:val="18"/>
          <w:color w:val="auto"/>
        </w:rPr>
        <w:t>”), Dealer is unable after using its</w:t>
      </w:r>
    </w:p>
    <w:p>
      <w:pPr>
        <w:spacing w:after="0" w:line="118"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99"/>
          </w:cols>
          <w:pgMar w:left="1421" w:top="274" w:right="479" w:bottom="1440" w:gutter="0" w:footer="0" w:header="0"/>
        </w:sectPr>
      </w:pPr>
    </w:p>
    <w:bookmarkStart w:id="274" w:name="page275"/>
    <w:bookmarkEnd w:id="274"/>
    <w:p>
      <w:pPr>
        <w:ind w:left="10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commercially reasonable efforts to effect a transfer or assignment of Options to a third party on pricing terms reasonably acceptable to Dealer and within a time period reasonably acceptable to Dealer such that (after giving effect to such transfer or assignment and any resulting change in Dealer’s commercially reasonable Hedge Positions) no Excess Ownership Position exists, then Dealer may designate any Exchange Business Day as an Early Termination Date with respect to a portion of the Transaction (the “</w:t>
      </w:r>
      <w:r>
        <w:rPr>
          <w:rFonts w:ascii="Arial" w:cs="Arial" w:eastAsia="Arial" w:hAnsi="Arial"/>
          <w:sz w:val="16"/>
          <w:szCs w:val="16"/>
          <w:b w:val="1"/>
          <w:bCs w:val="1"/>
          <w:color w:val="auto"/>
        </w:rPr>
        <w:t>Terminated</w:t>
      </w:r>
      <w:r>
        <w:rPr>
          <w:rFonts w:ascii="Arial" w:cs="Arial" w:eastAsia="Arial" w:hAnsi="Arial"/>
          <w:sz w:val="16"/>
          <w:szCs w:val="16"/>
          <w:color w:val="auto"/>
        </w:rPr>
        <w:t xml:space="preserve"> </w:t>
      </w:r>
      <w:r>
        <w:rPr>
          <w:rFonts w:ascii="Arial" w:cs="Arial" w:eastAsia="Arial" w:hAnsi="Arial"/>
          <w:sz w:val="16"/>
          <w:szCs w:val="16"/>
          <w:b w:val="1"/>
          <w:bCs w:val="1"/>
          <w:color w:val="auto"/>
        </w:rPr>
        <w:t>Portion</w:t>
      </w:r>
      <w:r>
        <w:rPr>
          <w:rFonts w:ascii="Arial" w:cs="Arial" w:eastAsia="Arial" w:hAnsi="Arial"/>
          <w:sz w:val="16"/>
          <w:szCs w:val="16"/>
          <w:color w:val="auto"/>
        </w:rPr>
        <w:t>”), such that (after giving effect to such transfer or assignment and any resulting change in Dealer’s commercially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Hedge Positions)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was not the Affected Party). The “</w:t>
      </w:r>
      <w:r>
        <w:rPr>
          <w:rFonts w:ascii="Arial" w:cs="Arial" w:eastAsia="Arial" w:hAnsi="Arial"/>
          <w:sz w:val="16"/>
          <w:szCs w:val="16"/>
          <w:b w:val="1"/>
          <w:bCs w:val="1"/>
          <w:color w:val="auto"/>
        </w:rPr>
        <w:t>Section 16 Percentage</w:t>
      </w:r>
      <w:r>
        <w:rPr>
          <w:rFonts w:ascii="Arial" w:cs="Arial" w:eastAsia="Arial" w:hAnsi="Arial"/>
          <w:sz w:val="16"/>
          <w:szCs w:val="16"/>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Option Equity</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sum of (1) the product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Options and the Option Entitlement and (2) the aggregate number of Shares underlying any other call option transaction sold by Dealer to Counterparty, and (B) the denominator of which is the number of Shares outstanding. The “</w:t>
      </w:r>
      <w:r>
        <w:rPr>
          <w:rFonts w:ascii="Arial" w:cs="Arial" w:eastAsia="Arial" w:hAnsi="Arial"/>
          <w:sz w:val="16"/>
          <w:szCs w:val="16"/>
          <w:b w:val="1"/>
          <w:bCs w:val="1"/>
          <w:color w:val="auto"/>
        </w:rPr>
        <w:t>Share Amount</w:t>
      </w:r>
      <w:r>
        <w:rPr>
          <w:rFonts w:ascii="Arial" w:cs="Arial" w:eastAsia="Arial" w:hAnsi="Arial"/>
          <w:sz w:val="16"/>
          <w:szCs w:val="16"/>
          <w:color w:val="auto"/>
        </w:rPr>
        <w:t>” as of any day is the number of Shares that Dealer and any person whose ownership position would be aggregated with 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Counterparty that are, in each case, applicable to ownership of Shares, including, without limitation, under state or federal banking laws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commercially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could give rise to reporting or registration obligations or other requirements (including obtaining prior approval from any person or entity) of a Dealer Person, or could result in an adverse effect on a Dealer Person, under any Applicable Restriction, as determined by Dealer in its commercially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w:t>
      </w:r>
    </w:p>
    <w:p>
      <w:pPr>
        <w:spacing w:after="0" w:line="93" w:lineRule="exact"/>
        <w:rPr>
          <w:sz w:val="20"/>
          <w:szCs w:val="20"/>
          <w:color w:val="auto"/>
        </w:rPr>
      </w:pPr>
    </w:p>
    <w:p>
      <w:pPr>
        <w:ind w:left="1000" w:right="20" w:hanging="439"/>
        <w:spacing w:after="0" w:line="254" w:lineRule="auto"/>
        <w:tabs>
          <w:tab w:leader="none" w:pos="10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w:t>
      </w:r>
      <w:r>
        <w:rPr>
          <w:rFonts w:ascii="Arial" w:cs="Arial" w:eastAsia="Arial" w:hAnsi="Arial"/>
          <w:sz w:val="18"/>
          <w:szCs w:val="18"/>
          <w:b w:val="1"/>
          <w:bCs w:val="1"/>
          <w:color w:val="auto"/>
        </w:rPr>
        <w:t>Dealer Affiliates</w:t>
      </w:r>
      <w:r>
        <w:rPr>
          <w:rFonts w:ascii="Arial" w:cs="Arial" w:eastAsia="Arial" w:hAnsi="Arial"/>
          <w:sz w:val="18"/>
          <w:szCs w:val="18"/>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Dealer Affiliates shall comply with the provisions of this Transaction in the same manner as the Dealer would have been required to comply. Dealer shall be discharged of its obligations to Counterparty to the extent of any such performance.</w:t>
      </w:r>
    </w:p>
    <w:p>
      <w:pPr>
        <w:spacing w:after="0" w:line="100" w:lineRule="exact"/>
        <w:rPr>
          <w:rFonts w:ascii="Arial" w:cs="Arial" w:eastAsia="Arial" w:hAnsi="Arial"/>
          <w:sz w:val="18"/>
          <w:szCs w:val="18"/>
          <w:color w:val="auto"/>
        </w:rPr>
      </w:pPr>
    </w:p>
    <w:p>
      <w:pPr>
        <w:ind w:left="540" w:right="40" w:hanging="532"/>
        <w:spacing w:after="0" w:line="263"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i w:val="1"/>
          <w:iCs w:val="1"/>
          <w:u w:val="single" w:color="auto"/>
          <w:color w:val="auto"/>
        </w:rPr>
        <w:t>Staggered Settlement</w:t>
      </w:r>
      <w:r>
        <w:rPr>
          <w:rFonts w:ascii="Arial" w:cs="Arial" w:eastAsia="Arial" w:hAnsi="Arial"/>
          <w:sz w:val="18"/>
          <w:szCs w:val="18"/>
          <w:color w:val="auto"/>
        </w:rPr>
        <w:t>. Notwithstanding anything to the contrary herein, if upon advice of counsel with respect to applicable legal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requirements, including any requirements relating to Dealer’s hedging activities hereunder that would be customarily applicable to transactions of this type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60" w:top="274" w:right="459" w:bottom="1440" w:gutter="0" w:footer="0" w:header="0"/>
        </w:sectPr>
      </w:pPr>
    </w:p>
    <w:bookmarkStart w:id="275" w:name="page276"/>
    <w:bookmarkEnd w:id="275"/>
    <w:p>
      <w:pPr>
        <w:ind w:left="98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Dealer, Dealer may, by prior notice to Counterparty, satisfy its obligation to deliver any Shares or other securities on any date due (an “</w:t>
      </w:r>
      <w:r>
        <w:rPr>
          <w:rFonts w:ascii="Arial" w:cs="Arial" w:eastAsia="Arial" w:hAnsi="Arial"/>
          <w:sz w:val="18"/>
          <w:szCs w:val="18"/>
          <w:b w:val="1"/>
          <w:bCs w:val="1"/>
          <w:color w:val="auto"/>
        </w:rPr>
        <w:t>Original Delivery Date</w:t>
      </w:r>
      <w:r>
        <w:rPr>
          <w:rFonts w:ascii="Arial" w:cs="Arial" w:eastAsia="Arial" w:hAnsi="Arial"/>
          <w:sz w:val="18"/>
          <w:szCs w:val="18"/>
          <w:color w:val="auto"/>
        </w:rPr>
        <w:t>”) by making separate deliveries of Shares or such securities, as the case may be, at more than one time on or prior to such Original Delivery Date (each such date on which such a time occurs, a “</w:t>
      </w:r>
      <w:r>
        <w:rPr>
          <w:rFonts w:ascii="Arial" w:cs="Arial" w:eastAsia="Arial" w:hAnsi="Arial"/>
          <w:sz w:val="18"/>
          <w:szCs w:val="18"/>
          <w:b w:val="1"/>
          <w:bCs w:val="1"/>
          <w:color w:val="auto"/>
        </w:rPr>
        <w:t>Staggered Delivery Date</w:t>
      </w:r>
      <w:r>
        <w:rPr>
          <w:rFonts w:ascii="Arial" w:cs="Arial" w:eastAsia="Arial" w:hAnsi="Arial"/>
          <w:sz w:val="18"/>
          <w:szCs w:val="18"/>
          <w:color w:val="auto"/>
        </w:rPr>
        <w:t>”), so long as the aggregate number of Shares and other securities so delivered on or prior to such Original Delivery Date is equal to the number that, but for this provision, would have been deliverable on such Original Delivery Date.</w:t>
      </w:r>
    </w:p>
    <w:p>
      <w:pPr>
        <w:spacing w:after="0" w:line="93" w:lineRule="exact"/>
        <w:rPr>
          <w:sz w:val="20"/>
          <w:szCs w:val="20"/>
          <w:color w:val="auto"/>
        </w:rPr>
      </w:pPr>
    </w:p>
    <w:p>
      <w:pPr>
        <w:ind w:left="964" w:hanging="532"/>
        <w:spacing w:after="0"/>
        <w:tabs>
          <w:tab w:leader="none" w:pos="9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Insert relevant Dealer QFC Stay Rule language, if any.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20" w:hanging="532"/>
        <w:spacing w:after="0" w:line="342" w:lineRule="auto"/>
        <w:tabs>
          <w:tab w:leader="none" w:pos="96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Conduct Rules</w:t>
      </w:r>
      <w:r>
        <w:rPr>
          <w:rFonts w:ascii="Arial" w:cs="Arial" w:eastAsia="Arial" w:hAnsi="Arial"/>
          <w:sz w:val="16"/>
          <w:szCs w:val="16"/>
          <w:color w:val="auto"/>
        </w:rPr>
        <w:t>. Each party acknowledges and agrees to be bound by the Conduct Rules of the Financial Industry Regulatory Authority, Inc. applicable to transactions in options, and further agrees not to violate the position and exercise limits set forth therein.]</w:t>
      </w:r>
      <w:r>
        <w:rPr>
          <w:rFonts w:ascii="Arial" w:cs="Arial" w:eastAsia="Arial" w:hAnsi="Arial"/>
          <w:sz w:val="13"/>
          <w:szCs w:val="13"/>
          <w:color w:val="auto"/>
        </w:rPr>
        <w:t>18</w:t>
      </w:r>
    </w:p>
    <w:p>
      <w:pPr>
        <w:spacing w:after="0" w:line="2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[Agencylanguage, if necessary]</w:t>
      </w:r>
    </w:p>
    <w:p>
      <w:pPr>
        <w:spacing w:after="0" w:line="131" w:lineRule="exact"/>
        <w:rPr>
          <w:sz w:val="20"/>
          <w:szCs w:val="20"/>
          <w:color w:val="auto"/>
        </w:rPr>
      </w:pPr>
    </w:p>
    <w:p>
      <w:pPr>
        <w:ind w:left="964" w:hanging="532"/>
        <w:spacing w:after="0" w:line="259" w:lineRule="auto"/>
        <w:tabs>
          <w:tab w:leader="none" w:pos="964"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THE PARTIES HERETO IRREVOCABLY SUBMIT TO THE EXCLUSIVE JURISDICTION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0"/>
          <w:numId w:val="315"/>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Termination Events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right="80" w:hanging="439"/>
        <w:spacing w:after="0" w:line="287" w:lineRule="auto"/>
        <w:tabs>
          <w:tab w:leader="none" w:pos="1424" w:val="left"/>
        </w:tabs>
        <w:numPr>
          <w:ilvl w:val="1"/>
          <w:numId w:val="31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Confirmation if an event of default with respect to Counterparty occurs pursuant to the terms of the Convertible Notes as set forth in Section 6.01 of the Indenture, then such event of default shall constitute an Additional Termination Event applicable to the Transaction and, with respect to such Additional Termination Event,</w:t>
      </w:r>
    </w:p>
    <w:p>
      <w:pPr>
        <w:spacing w:after="0" w:line="2" w:lineRule="exact"/>
        <w:rPr>
          <w:sz w:val="20"/>
          <w:szCs w:val="20"/>
          <w:color w:val="auto"/>
        </w:rPr>
      </w:pPr>
    </w:p>
    <w:p>
      <w:pPr>
        <w:ind w:left="1704" w:hanging="287"/>
        <w:spacing w:after="0"/>
        <w:tabs>
          <w:tab w:leader="none" w:pos="1704" w:val="left"/>
        </w:tabs>
        <w:numPr>
          <w:ilvl w:val="1"/>
          <w:numId w:val="316"/>
        </w:numPr>
        <w:rPr>
          <w:rFonts w:ascii="Arial" w:cs="Arial" w:eastAsia="Arial" w:hAnsi="Arial"/>
          <w:sz w:val="17"/>
          <w:szCs w:val="17"/>
          <w:color w:val="auto"/>
        </w:rPr>
      </w:pPr>
      <w:r>
        <w:rPr>
          <w:rFonts w:ascii="Arial" w:cs="Arial" w:eastAsia="Arial" w:hAnsi="Arial"/>
          <w:sz w:val="17"/>
          <w:szCs w:val="17"/>
          <w:color w:val="auto"/>
        </w:rPr>
        <w:t>Counterparty shall be deemed to be the sole Affected Party, (B) the Transaction shall be the sole Affected Transaction and</w:t>
      </w:r>
    </w:p>
    <w:p>
      <w:pPr>
        <w:spacing w:after="0" w:line="20" w:lineRule="exact"/>
        <w:rPr>
          <w:rFonts w:ascii="Arial" w:cs="Arial" w:eastAsia="Arial" w:hAnsi="Arial"/>
          <w:sz w:val="17"/>
          <w:szCs w:val="17"/>
          <w:color w:val="auto"/>
        </w:rPr>
      </w:pPr>
    </w:p>
    <w:p>
      <w:pPr>
        <w:ind w:left="1704" w:hanging="287"/>
        <w:spacing w:after="0"/>
        <w:tabs>
          <w:tab w:leader="none" w:pos="170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Dealer shall be the party entitled to designate an Early Termination Date pursuant to Section 6(b) of the Agreement.</w:t>
      </w:r>
    </w:p>
    <w:p>
      <w:pPr>
        <w:spacing w:after="0" w:line="116" w:lineRule="exact"/>
        <w:rPr>
          <w:rFonts w:ascii="Arial" w:cs="Arial" w:eastAsia="Arial" w:hAnsi="Arial"/>
          <w:sz w:val="18"/>
          <w:szCs w:val="18"/>
          <w:color w:val="auto"/>
        </w:rPr>
      </w:pPr>
    </w:p>
    <w:p>
      <w:pPr>
        <w:ind w:left="1424" w:hanging="439"/>
        <w:spacing w:after="0" w:line="268" w:lineRule="auto"/>
        <w:tabs>
          <w:tab w:leader="none" w:pos="142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Promptly (and in any event within ten Scheduled Trading Days) following any redemption or repurchase (which, for the avoidance of doubt, includes any exchange transaction) and cancellation of Convertible Notes, including without limitation pursuant to Article 14 of the Indenture in connection with a “Fundamental Change” (as defined in the Indenture) (such event, a “</w:t>
      </w:r>
      <w:r>
        <w:rPr>
          <w:rFonts w:ascii="Arial" w:cs="Arial" w:eastAsia="Arial" w:hAnsi="Arial"/>
          <w:sz w:val="17"/>
          <w:szCs w:val="17"/>
          <w:b w:val="1"/>
          <w:bCs w:val="1"/>
          <w:color w:val="auto"/>
        </w:rPr>
        <w:t>Repurchase Event</w:t>
      </w:r>
      <w:r>
        <w:rPr>
          <w:rFonts w:ascii="Arial" w:cs="Arial" w:eastAsia="Arial" w:hAnsi="Arial"/>
          <w:sz w:val="17"/>
          <w:szCs w:val="17"/>
          <w:color w:val="auto"/>
        </w:rPr>
        <w:t>”), Counterparty may notify Dealer in writing of such Repurchase Event and the number of Convertible Notes subject to such Repurchase Event (any such notice, a “</w:t>
      </w:r>
      <w:r>
        <w:rPr>
          <w:rFonts w:ascii="Arial" w:cs="Arial" w:eastAsia="Arial" w:hAnsi="Arial"/>
          <w:sz w:val="17"/>
          <w:szCs w:val="17"/>
          <w:b w:val="1"/>
          <w:bCs w:val="1"/>
          <w:color w:val="auto"/>
        </w:rPr>
        <w:t>Repurchase Notice</w:t>
      </w:r>
      <w:r>
        <w:rPr>
          <w:rFonts w:ascii="Arial" w:cs="Arial" w:eastAsia="Arial" w:hAnsi="Arial"/>
          <w:sz w:val="17"/>
          <w:szCs w:val="17"/>
          <w:color w:val="auto"/>
        </w:rPr>
        <w:t>”). Notwithstanding anything to the contrary in this Confirmation, the receipt by Dealer from Counterparty of (x) any Repurchase Notice, within the applicable time period set forth in the preceding sentence, and (y) a written representation and warranty by Counterparty that, as of the date of such Repurchase Notice, Counterparty is not in possession of any material non-public information regarding Counterparty or the Shares, shall constitute an Additional Termination Event as provided in this paragraph. Upon receipt of any such Repurchase Notice and the related written representation and warranty, Dealer shall promptly designate an Exchange Business Day following receipt of such Repurchase Notice (which Exchange Business Day shall be on or as promptly as reasonably practicable after the related repurchase settlement date for the relevant Repurchase Event) as an Early Termination Date with respect to the portion of this Transaction corresponding to a number of Options (the “</w:t>
      </w:r>
      <w:r>
        <w:rPr>
          <w:rFonts w:ascii="Arial" w:cs="Arial" w:eastAsia="Arial" w:hAnsi="Arial"/>
          <w:sz w:val="17"/>
          <w:szCs w:val="17"/>
          <w:b w:val="1"/>
          <w:bCs w:val="1"/>
          <w:color w:val="auto"/>
        </w:rPr>
        <w:t>Repurchase Options</w:t>
      </w:r>
      <w:r>
        <w:rPr>
          <w:rFonts w:ascii="Arial" w:cs="Arial" w:eastAsia="Arial" w:hAnsi="Arial"/>
          <w:sz w:val="17"/>
          <w:szCs w:val="17"/>
          <w:color w:val="auto"/>
        </w:rPr>
        <w:t>”) equal to the lesser of (A) the number of such Convertible Notes specified in such Repurchase Notice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number of “Repurchase Options” (as defined in the Base Call Option Confirmation), if any, that relate to such Convertible Notes]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the Applicable Percentage and (B) the Number of Options as of the date Dealer designates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319"/>
        </w:numPr>
        <w:rPr>
          <w:rFonts w:ascii="Arial" w:cs="Arial" w:eastAsia="Arial" w:hAnsi="Arial"/>
          <w:sz w:val="15"/>
          <w:szCs w:val="15"/>
          <w:color w:val="auto"/>
        </w:rPr>
      </w:pPr>
      <w:r>
        <w:rPr>
          <w:rFonts w:ascii="Arial" w:cs="Arial" w:eastAsia="Arial" w:hAnsi="Arial"/>
          <w:sz w:val="18"/>
          <w:szCs w:val="18"/>
          <w:color w:val="auto"/>
        </w:rPr>
        <w:t>To be included for broker-dealer.</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276" w:name="page277"/>
    <w:bookmarkEnd w:id="276"/>
    <w:p>
      <w:pPr>
        <w:ind w:left="100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Early Termination Date and, as of such date, the Number of Options shall be reduced by the number of Repurchase Options. Any payment hereunder with respect to such termination shall be calculated pursuant to Section 6 of the Agreement as if (1) an Early Termination Date had been designated in respect of a Transaction having terms identical to this Transaction and a Number of Options equal to the number of Repurchase Options, (2) Counterparty were the sole Affected Party with respect to such Additional Termination Event, (3) no adjustment to the “Conversion Rate” (as defined in the Indenture) for the Convertible Notes has occurred pursuant to any Excluded Provision, (4) the corresponding Convertible Notes remaining outstanding as if the circumstances related to the Repurchase Event had not occurred, (5) the relevant Repurchase Event and any conversions, adjustments, agreements, payments, deliveries or acquisitions by or on behalf of Counterparty leading thereto had not occurred, and (6) the terminated portion of the Transaction were the sole Affected Transaction.</w:t>
      </w:r>
    </w:p>
    <w:p>
      <w:pPr>
        <w:spacing w:after="0" w:line="86" w:lineRule="exact"/>
        <w:rPr>
          <w:sz w:val="20"/>
          <w:szCs w:val="20"/>
          <w:color w:val="auto"/>
        </w:rPr>
      </w:pPr>
    </w:p>
    <w:p>
      <w:pPr>
        <w:ind w:left="1000" w:hanging="439"/>
        <w:spacing w:after="0" w:line="255" w:lineRule="auto"/>
        <w:tabs>
          <w:tab w:leader="none" w:pos="10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portion thereof) being the Affected Transaction, Counterparty being the sole Affected Party and Dealer being the party entitled to designate an Early Termination Date pursuant to Section 6(h) of the Agreement) shall be deemed to occur, and, in lieu of Sections 12.7, 12.8 and 12.9 of the Equity Definitions, Section 6 of the Agreement shall apply to such Affected Transaction.</w:t>
      </w:r>
    </w:p>
    <w:p>
      <w:pPr>
        <w:spacing w:after="0" w:line="97" w:lineRule="exact"/>
        <w:rPr>
          <w:rFonts w:ascii="Arial" w:cs="Arial" w:eastAsia="Arial" w:hAnsi="Arial"/>
          <w:sz w:val="18"/>
          <w:szCs w:val="18"/>
          <w:color w:val="auto"/>
        </w:rPr>
      </w:pPr>
    </w:p>
    <w:p>
      <w:pPr>
        <w:ind w:left="540" w:hanging="532"/>
        <w:spacing w:after="0"/>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Amendments to Equity Definitions and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20" w:hanging="439"/>
        <w:spacing w:after="0" w:line="259" w:lineRule="auto"/>
        <w:tabs>
          <w:tab w:leader="none" w:pos="10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the occurrence of any of the events specified in Section 5(a)(vii)(1) through (9) of the ISDA Master Agreement with respect to that Issuer.”</w:t>
      </w:r>
    </w:p>
    <w:p>
      <w:pPr>
        <w:spacing w:after="0" w:line="92" w:lineRule="exact"/>
        <w:rPr>
          <w:sz w:val="20"/>
          <w:szCs w:val="20"/>
          <w:color w:val="auto"/>
        </w:rPr>
      </w:pPr>
    </w:p>
    <w:p>
      <w:pPr>
        <w:ind w:left="1000" w:hanging="439"/>
        <w:spacing w:after="0"/>
        <w:tabs>
          <w:tab w:leader="none" w:pos="1000" w:val="left"/>
        </w:tabs>
        <w:numPr>
          <w:ilvl w:val="2"/>
          <w:numId w:val="322"/>
        </w:numPr>
        <w:rPr>
          <w:rFonts w:ascii="Arial" w:cs="Arial" w:eastAsia="Arial" w:hAnsi="Arial"/>
          <w:sz w:val="16"/>
          <w:szCs w:val="16"/>
          <w:color w:val="auto"/>
        </w:rPr>
      </w:pPr>
      <w:r>
        <w:rPr>
          <w:rFonts w:ascii="Arial" w:cs="Arial" w:eastAsia="Arial" w:hAnsi="Arial"/>
          <w:sz w:val="16"/>
          <w:szCs w:val="16"/>
          <w:color w:val="auto"/>
        </w:rPr>
        <w:t>Section 12.9(b)(i) of the Equity Definitions is hereby amended by (1) replacing “either party may elect” with “Dealer may elect” and</w:t>
      </w:r>
    </w:p>
    <w:p>
      <w:pPr>
        <w:spacing w:after="0" w:line="46" w:lineRule="exact"/>
        <w:rPr>
          <w:rFonts w:ascii="Arial" w:cs="Arial" w:eastAsia="Arial" w:hAnsi="Arial"/>
          <w:sz w:val="16"/>
          <w:szCs w:val="16"/>
          <w:color w:val="auto"/>
        </w:rPr>
      </w:pPr>
    </w:p>
    <w:p>
      <w:pPr>
        <w:ind w:left="1240" w:hanging="247"/>
        <w:spacing w:after="0"/>
        <w:tabs>
          <w:tab w:leader="none" w:pos="1240" w:val="left"/>
        </w:tabs>
        <w:numPr>
          <w:ilvl w:val="3"/>
          <w:numId w:val="322"/>
        </w:numPr>
        <w:rPr>
          <w:rFonts w:ascii="Arial" w:cs="Arial" w:eastAsia="Arial" w:hAnsi="Arial"/>
          <w:sz w:val="18"/>
          <w:szCs w:val="18"/>
          <w:color w:val="auto"/>
        </w:rPr>
      </w:pPr>
      <w:r>
        <w:rPr>
          <w:rFonts w:ascii="Arial" w:cs="Arial" w:eastAsia="Arial" w:hAnsi="Arial"/>
          <w:sz w:val="18"/>
          <w:szCs w:val="18"/>
          <w:color w:val="auto"/>
        </w:rPr>
        <w:t>replacing “notice to the other party” with “notice to Counterparty” in the first sentence of such section.</w:t>
      </w:r>
    </w:p>
    <w:p>
      <w:pPr>
        <w:spacing w:after="0" w:line="116" w:lineRule="exact"/>
        <w:rPr>
          <w:rFonts w:ascii="Arial" w:cs="Arial" w:eastAsia="Arial" w:hAnsi="Arial"/>
          <w:sz w:val="18"/>
          <w:szCs w:val="18"/>
          <w:color w:val="auto"/>
        </w:rPr>
      </w:pPr>
    </w:p>
    <w:p>
      <w:pPr>
        <w:ind w:left="1000" w:hanging="439"/>
        <w:spacing w:after="0"/>
        <w:tabs>
          <w:tab w:leader="none" w:pos="1000" w:val="left"/>
        </w:tabs>
        <w:numPr>
          <w:ilvl w:val="2"/>
          <w:numId w:val="322"/>
        </w:numPr>
        <w:rPr>
          <w:rFonts w:ascii="Arial" w:cs="Arial" w:eastAsia="Arial" w:hAnsi="Arial"/>
          <w:sz w:val="17"/>
          <w:szCs w:val="17"/>
          <w:color w:val="auto"/>
        </w:rPr>
      </w:pPr>
      <w:r>
        <w:rPr>
          <w:rFonts w:ascii="Arial" w:cs="Arial" w:eastAsia="Arial" w:hAnsi="Arial"/>
          <w:sz w:val="17"/>
          <w:szCs w:val="17"/>
          <w:color w:val="auto"/>
        </w:rPr>
        <w:t>Section 12.9(b)(vi) of the Equity Definitions is hereby amended by (1) adding the word “or” immediately before subsection “(B)”,</w:t>
      </w:r>
    </w:p>
    <w:p>
      <w:pPr>
        <w:spacing w:after="0" w:line="34" w:lineRule="exact"/>
        <w:rPr>
          <w:rFonts w:ascii="Arial" w:cs="Arial" w:eastAsia="Arial" w:hAnsi="Arial"/>
          <w:sz w:val="17"/>
          <w:szCs w:val="17"/>
          <w:color w:val="auto"/>
        </w:rPr>
      </w:pPr>
    </w:p>
    <w:p>
      <w:pPr>
        <w:ind w:left="1000" w:right="140" w:hanging="7"/>
        <w:spacing w:after="0" w:line="323" w:lineRule="auto"/>
        <w:tabs>
          <w:tab w:leader="none" w:pos="1255" w:val="left"/>
        </w:tabs>
        <w:numPr>
          <w:ilvl w:val="3"/>
          <w:numId w:val="322"/>
        </w:numPr>
        <w:rPr>
          <w:rFonts w:ascii="Arial" w:cs="Arial" w:eastAsia="Arial" w:hAnsi="Arial"/>
          <w:sz w:val="16"/>
          <w:szCs w:val="16"/>
          <w:color w:val="auto"/>
        </w:rPr>
      </w:pPr>
      <w:r>
        <w:rPr>
          <w:rFonts w:ascii="Arial" w:cs="Arial" w:eastAsia="Arial" w:hAnsi="Arial"/>
          <w:sz w:val="16"/>
          <w:szCs w:val="16"/>
          <w:color w:val="auto"/>
        </w:rPr>
        <w:t>deleting the comma at the end of subsection (A), (3) deleting subsection (C) in its entirety, (4) deleting the word “or” immediately preceding subsection (C) and (5) replacing the words “either party” in the last sentence of such Section with “Dealer”.</w:t>
      </w:r>
    </w:p>
    <w:p>
      <w:pPr>
        <w:spacing w:after="0" w:line="43" w:lineRule="exact"/>
        <w:rPr>
          <w:rFonts w:ascii="Arial" w:cs="Arial" w:eastAsia="Arial" w:hAnsi="Arial"/>
          <w:sz w:val="16"/>
          <w:szCs w:val="16"/>
          <w:color w:val="auto"/>
        </w:rPr>
      </w:pPr>
    </w:p>
    <w:p>
      <w:pPr>
        <w:ind w:left="540" w:right="200" w:hanging="532"/>
        <w:spacing w:after="0" w:line="263"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i w:val="1"/>
          <w:iCs w:val="1"/>
          <w:u w:val="single" w:color="auto"/>
          <w:color w:val="auto"/>
        </w:rPr>
        <w:t>No Setoff</w:t>
      </w:r>
      <w:r>
        <w:rPr>
          <w:rFonts w:ascii="Arial" w:cs="Arial" w:eastAsia="Arial" w:hAnsi="Arial"/>
          <w:sz w:val="18"/>
          <w:szCs w:val="18"/>
          <w:color w:val="auto"/>
        </w:rPr>
        <w:t>. Neither party shall have the right to set off any obligation that it may have to the other party under the Transaction against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such other party may have to it, whether arising under the Agreement, this Confirmation or any other agreement between the parties hereto, by operation of law or otherwise.</w:t>
      </w:r>
    </w:p>
    <w:p>
      <w:pPr>
        <w:spacing w:after="0" w:line="89" w:lineRule="exact"/>
        <w:rPr>
          <w:rFonts w:ascii="Arial" w:cs="Arial" w:eastAsia="Arial" w:hAnsi="Arial"/>
          <w:sz w:val="18"/>
          <w:szCs w:val="18"/>
          <w:color w:val="auto"/>
        </w:rPr>
      </w:pPr>
    </w:p>
    <w:p>
      <w:pPr>
        <w:ind w:left="540" w:right="120" w:hanging="532"/>
        <w:spacing w:after="0" w:line="284"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i w:val="1"/>
          <w:iCs w:val="1"/>
          <w:u w:val="single" w:color="auto"/>
          <w:color w:val="auto"/>
        </w:rPr>
        <w:t>Alternative Calculations and Payment on Early Termination and on Certain Extraordinary Events</w:t>
      </w:r>
      <w:r>
        <w:rPr>
          <w:rFonts w:ascii="Arial" w:cs="Arial" w:eastAsia="Arial" w:hAnsi="Arial"/>
          <w:sz w:val="16"/>
          <w:szCs w:val="16"/>
          <w:color w:val="auto"/>
        </w:rPr>
        <w:t>. If in respect of the Transaction, an</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is payable by Dealer to Counterparty pursuant to Section 6(d)(ii) of the Agreement (any such amount, a “</w:t>
      </w:r>
      <w:r>
        <w:rPr>
          <w:rFonts w:ascii="Arial" w:cs="Arial" w:eastAsia="Arial" w:hAnsi="Arial"/>
          <w:sz w:val="16"/>
          <w:szCs w:val="16"/>
          <w:b w:val="1"/>
          <w:bCs w:val="1"/>
          <w:color w:val="auto"/>
        </w:rPr>
        <w:t>Payment Obligation</w:t>
      </w:r>
      <w:r>
        <w:rPr>
          <w:rFonts w:ascii="Arial" w:cs="Arial" w:eastAsia="Arial" w:hAnsi="Arial"/>
          <w:sz w:val="16"/>
          <w:szCs w:val="16"/>
          <w:color w:val="auto"/>
        </w:rPr>
        <w:t>”),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the Tender Offer Date, the Announcement Date (in the case of Nationalization, Insolvency or Delisting), the Early Termination Date or date of cancellation, as applicable, of its election that the Share Termination Alternative shall not apply,</w:t>
      </w:r>
    </w:p>
    <w:p>
      <w:pPr>
        <w:spacing w:after="0" w:line="4" w:lineRule="exact"/>
        <w:rPr>
          <w:rFonts w:ascii="Arial" w:cs="Arial" w:eastAsia="Arial" w:hAnsi="Arial"/>
          <w:sz w:val="16"/>
          <w:szCs w:val="16"/>
          <w:color w:val="auto"/>
        </w:rPr>
      </w:pPr>
    </w:p>
    <w:p>
      <w:pPr>
        <w:ind w:left="540" w:right="620" w:firstLine="8"/>
        <w:spacing w:after="0" w:line="323" w:lineRule="auto"/>
        <w:tabs>
          <w:tab w:leader="none" w:pos="795" w:val="left"/>
        </w:tabs>
        <w:numPr>
          <w:ilvl w:val="1"/>
          <w:numId w:val="323"/>
        </w:numPr>
        <w:rPr>
          <w:rFonts w:ascii="Arial" w:cs="Arial" w:eastAsia="Arial" w:hAnsi="Arial"/>
          <w:sz w:val="16"/>
          <w:szCs w:val="16"/>
          <w:color w:val="auto"/>
        </w:rPr>
      </w:pPr>
      <w:r>
        <w:rPr>
          <w:rFonts w:ascii="Arial" w:cs="Arial" w:eastAsia="Arial" w:hAnsi="Arial"/>
          <w:sz w:val="16"/>
          <w:szCs w:val="16"/>
          <w:color w:val="auto"/>
        </w:rPr>
        <w:t>Counterparty remakes the representation set forth in Section 8I(b) as of the date of such election and (c) Dealer agrees, in its commercially reasonable discretion, to such election, in which case the provisions of Section 6(d)(ii) of the Agreement shall apply.</w:t>
      </w:r>
    </w:p>
    <w:p>
      <w:pPr>
        <w:spacing w:after="0" w:line="7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60" w:top="274" w:right="459"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6(d)(ii) and 6(e) of the Agreement (the “</w:t>
      </w:r>
      <w:r>
        <w:rPr>
          <w:rFonts w:ascii="Arial" w:cs="Arial" w:eastAsia="Arial" w:hAnsi="Arial"/>
          <w:sz w:val="18"/>
          <w:szCs w:val="18"/>
          <w:b w:val="1"/>
          <w:bCs w:val="1"/>
          <w:color w:val="auto"/>
        </w:rPr>
        <w:t>Share Termination Payment Date</w:t>
      </w:r>
      <w:r>
        <w:rPr>
          <w:rFonts w:ascii="Arial" w:cs="Arial" w:eastAsia="Arial" w:hAnsi="Arial"/>
          <w:sz w:val="18"/>
          <w:szCs w:val="18"/>
          <w:color w:val="auto"/>
        </w:rPr>
        <w:t>”), in satisfaction of such Payment Obligation in the manner reasonably requested by Counterparty free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-1058545</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5020" w:space="720"/>
            <w:col w:w="5260"/>
          </w:cols>
          <w:pgMar w:left="440" w:top="274" w:right="459" w:bottom="1440" w:gutter="0" w:footer="0" w:header="0"/>
        </w:sectPr>
      </w:pPr>
    </w:p>
    <w:p>
      <w:pPr>
        <w:spacing w:after="0"/>
        <w:rPr>
          <w:sz w:val="20"/>
          <w:szCs w:val="20"/>
          <w:color w:val="auto"/>
        </w:rPr>
      </w:pPr>
      <w:r>
        <w:rPr>
          <w:rFonts w:ascii="Arial" w:cs="Arial" w:eastAsia="Arial" w:hAnsi="Arial"/>
          <w:sz w:val="16"/>
          <w:szCs w:val="16"/>
          <w:color w:val="auto"/>
        </w:rPr>
        <w:t>Share Termination Delivery Property:</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 xml:space="preserve">A number of Share Termination Delivery Units, as calculated by the Calculation Agent, equal to the Payment Obligation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87" w:lineRule="exact"/>
        <w:rPr>
          <w:sz w:val="20"/>
          <w:szCs w:val="20"/>
          <w:color w:val="auto"/>
        </w:rPr>
      </w:pPr>
    </w:p>
    <w:p>
      <w:pPr>
        <w:sectPr>
          <w:pgSz w:w="11900" w:h="16838" w:orient="portrait"/>
          <w:cols w:equalWidth="0" w:num="2">
            <w:col w:w="5020" w:space="720"/>
            <w:col w:w="526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 to the extent doing so results in a commercially reasonable Share Termination Unit Price.</w:t>
      </w:r>
    </w:p>
    <w:p>
      <w:pPr>
        <w:spacing w:after="0" w:line="73" w:lineRule="exact"/>
        <w:rPr>
          <w:sz w:val="20"/>
          <w:szCs w:val="20"/>
          <w:color w:val="auto"/>
        </w:rPr>
      </w:pPr>
    </w:p>
    <w:p>
      <w:pPr>
        <w:sectPr>
          <w:pgSz w:w="11900" w:h="16838" w:orient="portrait"/>
          <w:cols w:equalWidth="0" w:num="2">
            <w:col w:w="5020" w:space="720"/>
            <w:col w:w="526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One Share or, if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7"/>
          <w:szCs w:val="17"/>
          <w:b w:val="1"/>
          <w:bCs w:val="1"/>
          <w:color w:val="auto"/>
        </w:rPr>
        <w:t>Exchange Property</w:t>
      </w:r>
      <w:r>
        <w:rPr>
          <w:rFonts w:ascii="Arial" w:cs="Arial" w:eastAsia="Arial" w:hAnsi="Arial"/>
          <w:sz w:val="17"/>
          <w:szCs w:val="17"/>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73" w:lineRule="exact"/>
        <w:rPr>
          <w:sz w:val="20"/>
          <w:szCs w:val="20"/>
          <w:color w:val="auto"/>
        </w:rPr>
      </w:pPr>
    </w:p>
    <w:p>
      <w:pPr>
        <w:sectPr>
          <w:pgSz w:w="11900" w:h="16838" w:orient="portrait"/>
          <w:cols w:equalWidth="0" w:num="2">
            <w:col w:w="5020" w:space="720"/>
            <w:col w:w="526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jc w:val="center"/>
        <w:ind w:right="4480"/>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5020" w:space="720"/>
            <w:col w:w="526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If Share Termination Alternative is applicable, the provisions of Sections 9.8, 9.9 and 9.11 (as modified above) of the Equity Definitions will be applicable as if Physical Settlement applied to the Transaction and the provisions set forth opposite the caption “Representation and Agreement” in Section 2 will be applicable.</w:t>
      </w:r>
    </w:p>
    <w:p>
      <w:pPr>
        <w:spacing w:after="0" w:line="120" w:lineRule="exact"/>
        <w:rPr>
          <w:sz w:val="20"/>
          <w:szCs w:val="20"/>
          <w:color w:val="auto"/>
        </w:rPr>
      </w:pPr>
    </w:p>
    <w:p>
      <w:pPr>
        <w:sectPr>
          <w:pgSz w:w="11900" w:h="16838" w:orient="portrait"/>
          <w:cols w:equalWidth="0" w:num="2">
            <w:col w:w="5020" w:space="720"/>
            <w:col w:w="5260"/>
          </w:cols>
          <w:pgMar w:left="440" w:top="274"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00"/>
          </w:cols>
          <w:pgMar w:left="440" w:top="274" w:right="459" w:bottom="1440" w:gutter="0" w:footer="0" w:header="0"/>
          <w:type w:val="continuous"/>
        </w:sectPr>
      </w:pPr>
    </w:p>
    <w:bookmarkStart w:id="278" w:name="page279"/>
    <w:bookmarkEnd w:id="278"/>
    <w:p>
      <w:pPr>
        <w:ind w:left="540" w:right="100" w:hanging="532"/>
        <w:spacing w:after="0" w:line="275" w:lineRule="auto"/>
        <w:tabs>
          <w:tab w:leader="none" w:pos="540" w:val="left"/>
        </w:tabs>
        <w:numPr>
          <w:ilvl w:val="0"/>
          <w:numId w:val="324"/>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 of Jury Trial</w:t>
      </w:r>
      <w:r>
        <w:rPr>
          <w:rFonts w:ascii="Arial" w:cs="Arial" w:eastAsia="Arial" w:hAnsi="Arial"/>
          <w:sz w:val="17"/>
          <w:szCs w:val="17"/>
          <w:color w:val="auto"/>
        </w:rPr>
        <w:t>. Each party waives, to the fullest extent permitted by applicable law, any right it may have to a trial by jury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1" w:lineRule="exact"/>
        <w:rPr>
          <w:rFonts w:ascii="Arial" w:cs="Arial" w:eastAsia="Arial" w:hAnsi="Arial"/>
          <w:sz w:val="17"/>
          <w:szCs w:val="17"/>
          <w:color w:val="auto"/>
        </w:rPr>
      </w:pPr>
    </w:p>
    <w:p>
      <w:pPr>
        <w:ind w:left="540" w:hanging="532"/>
        <w:spacing w:after="0" w:line="284"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i w:val="1"/>
          <w:iCs w:val="1"/>
          <w:u w:val="single" w:color="auto"/>
          <w:color w:val="auto"/>
        </w:rPr>
        <w:t>Hedge Shares</w:t>
      </w:r>
      <w:r>
        <w:rPr>
          <w:rFonts w:ascii="Arial" w:cs="Arial" w:eastAsia="Arial" w:hAnsi="Arial"/>
          <w:sz w:val="16"/>
          <w:szCs w:val="16"/>
          <w:color w:val="auto"/>
        </w:rPr>
        <w:t>. Counterparty hereby agrees that if, in the good faith reasonable judgment of Dealer, based on the advice of counsel,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(the “</w:t>
      </w:r>
      <w:r>
        <w:rPr>
          <w:rFonts w:ascii="Arial" w:cs="Arial" w:eastAsia="Arial" w:hAnsi="Arial"/>
          <w:sz w:val="16"/>
          <w:szCs w:val="16"/>
          <w:b w:val="1"/>
          <w:bCs w:val="1"/>
          <w:color w:val="auto"/>
        </w:rPr>
        <w:t>Hedge Shares</w:t>
      </w:r>
      <w:r>
        <w:rPr>
          <w:rFonts w:ascii="Arial" w:cs="Arial" w:eastAsia="Arial" w:hAnsi="Arial"/>
          <w:sz w:val="16"/>
          <w:szCs w:val="16"/>
          <w:color w:val="auto"/>
        </w:rPr>
        <w:t xml:space="preserve">”) acquired by Dealer for the purpose of effecting a commercially reasonable hedge of its obligations pursuant to the Transaction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 customary agreement, in form and substance reasonably satisfactory to Dealer, substantially in the form of an underwriting agreement for a registered secondary offering for companies of a similar size in a similar industry, (B) provide accountant’s “comfort” letters in customary form for registered offerings of equity securities of companies of comparable size, maturity and line of business, (C) provide disclosure opinions of nationally recognized outside counsel to Counterparty reasonably acceptable to Dealer, (D) provide other customary opinions, certificates and closing documents customary in form for registered secondary offerings of equity securities for companies of a similar size in a similar industry and (E) afford Dealer a reasonable opportunity to conduct a “due diligence” investigation with respect to Counterparty customary in scope for underwritten offerings of equity securities subject to entering into confidentiality agreements customary for transactions of this type;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Counterparty elects clause (i) above but the items referred to therein are not completed in a timely manner, or if Dealer, in</w:t>
      </w:r>
      <w:r>
        <w:rPr>
          <w:rFonts w:ascii="Arial" w:cs="Arial" w:eastAsia="Arial" w:hAnsi="Arial"/>
          <w:sz w:val="16"/>
          <w:szCs w:val="16"/>
          <w:i w:val="1"/>
          <w:iCs w:val="1"/>
          <w:color w:val="auto"/>
        </w:rPr>
        <w:t xml:space="preserve"> </w:t>
      </w:r>
      <w:r>
        <w:rPr>
          <w:rFonts w:ascii="Arial" w:cs="Arial" w:eastAsia="Arial" w:hAnsi="Arial"/>
          <w:sz w:val="16"/>
          <w:szCs w:val="16"/>
          <w:color w:val="auto"/>
        </w:rPr>
        <w:t>its discretion, is not satisfied with access to due diligence materials, the results of its due diligence investigation, or the procedures and documentation for the registered offering referred to above, then clause (ii) or clause (iii) of this Section 9(n)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companies of comparable size, maturity and line of business,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obligations to use commercially reasonable efforts to obtain opinions and certificates and such other documentation as is customary for private placement agreements for private placements of equity securities of companies comparable in size, maturity and line of business, all commercially reasonably acceptable to Dealer (in which case, the Calculation Agent shall make any adjustments to the terms of the Transaction in a commercially reasonable manner that are necessary, in its commercially reasonable judgment, to compensate Dealer for any commercially reasonable discount from the public market price of the Shares incurred on the sale of Hedge Shares in a private placement); or (iii) purchase the Hedge Shares from Dealer at the Relevant Price on such Exchange Business Days, and in the amounts, requested by Dealer. This Section 9(n) shall survive the termination, expiration or early unwind of the Transaction.</w:t>
      </w:r>
    </w:p>
    <w:p>
      <w:pPr>
        <w:spacing w:after="0" w:line="292" w:lineRule="exact"/>
        <w:rPr>
          <w:rFonts w:ascii="Arial" w:cs="Arial" w:eastAsia="Arial" w:hAnsi="Arial"/>
          <w:sz w:val="16"/>
          <w:szCs w:val="16"/>
          <w:color w:val="auto"/>
        </w:rPr>
      </w:pPr>
    </w:p>
    <w:p>
      <w:pPr>
        <w:ind w:left="540" w:right="220" w:hanging="532"/>
        <w:spacing w:after="0" w:line="259" w:lineRule="auto"/>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color w:val="auto"/>
        </w:rPr>
        <w:t>. Effective from the date of commencement of discussions concerning the Transaction, Counterparty and each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92" w:lineRule="exact"/>
        <w:rPr>
          <w:rFonts w:ascii="Arial" w:cs="Arial" w:eastAsia="Arial" w:hAnsi="Arial"/>
          <w:sz w:val="18"/>
          <w:szCs w:val="18"/>
          <w:color w:val="auto"/>
        </w:rPr>
      </w:pPr>
    </w:p>
    <w:p>
      <w:pPr>
        <w:ind w:left="540" w:right="120" w:hanging="532"/>
        <w:spacing w:after="0" w:line="279" w:lineRule="auto"/>
        <w:tabs>
          <w:tab w:leader="none" w:pos="540" w:val="left"/>
        </w:tabs>
        <w:numPr>
          <w:ilvl w:val="0"/>
          <w:numId w:val="324"/>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Extend</w:t>
      </w:r>
      <w:r>
        <w:rPr>
          <w:rFonts w:ascii="Arial" w:cs="Arial" w:eastAsia="Arial" w:hAnsi="Arial"/>
          <w:sz w:val="17"/>
          <w:szCs w:val="17"/>
          <w:color w:val="auto"/>
        </w:rPr>
        <w:t>. Dealer may postpone or add, in whole or in part, any Valid Day or Valid Days during the Settlement Averaging Period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date of valuation, payment or delivery by Dealer, with respect to some or all of the Options hereunder, if Dealer reasonably determines, in its reasonable discretion, that such action is reasonably necessary or appropriate to preserve Dealer’s commercially reasonable hedging or hedge unwind activity hereunder in light of existing liquidity conditions in the</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80"/>
          </w:cols>
          <w:pgMar w:left="860" w:top="274" w:right="459" w:bottom="1440" w:gutter="0" w:footer="0" w:header="0"/>
        </w:sectPr>
      </w:pPr>
    </w:p>
    <w:bookmarkStart w:id="279" w:name="page280"/>
    <w:bookmarkEnd w:id="279"/>
    <w:p>
      <w:pPr>
        <w:ind w:left="56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market, the stock loan market or other relevant market or to enable Dealer to effect purchases of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requirements, policies and procedures relate to regulatory issues and are generally applicable in similar situations and are applied in a consistent manner to similar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Dealer have the right to so postpone or add any Valid Day(s) or any such other date beyond the 50th Valid Day immediately following the last Valid Day of the relevant Settlement Averaging Period (determined without regard to this Section 9(p).</w:t>
      </w:r>
    </w:p>
    <w:p>
      <w:pPr>
        <w:spacing w:after="0" w:line="72" w:lineRule="exact"/>
        <w:rPr>
          <w:sz w:val="20"/>
          <w:szCs w:val="20"/>
          <w:color w:val="auto"/>
        </w:rPr>
      </w:pPr>
    </w:p>
    <w:p>
      <w:pPr>
        <w:ind w:left="540" w:right="140" w:hanging="532"/>
        <w:spacing w:after="0" w:line="255"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i w:val="1"/>
          <w:iCs w:val="1"/>
          <w:u w:val="single" w:color="auto"/>
          <w:color w:val="auto"/>
        </w:rPr>
        <w:t>Status of Claims in Bankruptcy</w:t>
      </w:r>
      <w:r>
        <w:rPr>
          <w:rFonts w:ascii="Arial" w:cs="Arial" w:eastAsia="Arial" w:hAnsi="Arial"/>
          <w:sz w:val="18"/>
          <w:szCs w:val="18"/>
          <w:color w:val="auto"/>
        </w:rPr>
        <w:t>. Dealer acknowledges and agrees that this Confirmation is not intended to convey to Dealer rights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Counterparty with respect to the Transaction that are senior to the claims of common stockholders of Counterparty in any United States bankruptcy proceedings of Counterparty;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rights in respect of any transactions other than the Transaction.</w:t>
      </w:r>
    </w:p>
    <w:p>
      <w:pPr>
        <w:spacing w:after="0" w:line="97"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i w:val="1"/>
          <w:iCs w:val="1"/>
          <w:u w:val="single" w:color="auto"/>
          <w:color w:val="auto"/>
        </w:rPr>
        <w:t>Securities Contract</w:t>
      </w:r>
      <w:r>
        <w:rPr>
          <w:rFonts w:ascii="Arial" w:cs="Arial" w:eastAsia="Arial" w:hAnsi="Arial"/>
          <w:sz w:val="18"/>
          <w:szCs w:val="18"/>
          <w:color w:val="auto"/>
        </w:rPr>
        <w:t>. The parties hereto intend for (i) the Transaction to be a “securities contract” as defined in the Bankruptcy Code,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hereto to be entitled to the protections afforded by, among other Sections, Sections 362(b)(6), 546(e), and 555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97" w:lineRule="exact"/>
        <w:rPr>
          <w:rFonts w:ascii="Arial" w:cs="Arial" w:eastAsia="Arial" w:hAnsi="Arial"/>
          <w:sz w:val="18"/>
          <w:szCs w:val="18"/>
          <w:color w:val="auto"/>
        </w:rPr>
      </w:pPr>
    </w:p>
    <w:p>
      <w:pPr>
        <w:ind w:left="540" w:hanging="532"/>
        <w:spacing w:after="0"/>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Certain Other Events</w:t>
      </w:r>
      <w:r>
        <w:rPr>
          <w:rFonts w:ascii="Arial" w:cs="Arial" w:eastAsia="Arial" w:hAnsi="Arial"/>
          <w:sz w:val="18"/>
          <w:szCs w:val="18"/>
          <w:color w:val="auto"/>
        </w:rPr>
        <w:t>. Counterparty covenants and agrees that:</w:t>
      </w:r>
    </w:p>
    <w:p>
      <w:pPr>
        <w:spacing w:after="0" w:line="130" w:lineRule="exact"/>
        <w:rPr>
          <w:rFonts w:ascii="Arial" w:cs="Arial" w:eastAsia="Arial" w:hAnsi="Arial"/>
          <w:sz w:val="18"/>
          <w:szCs w:val="18"/>
          <w:color w:val="auto"/>
        </w:rPr>
      </w:pPr>
    </w:p>
    <w:p>
      <w:pPr>
        <w:ind w:left="1000" w:right="40" w:hanging="439"/>
        <w:spacing w:after="0" w:line="273" w:lineRule="auto"/>
        <w:tabs>
          <w:tab w:leader="none" w:pos="100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promptly following the public announcement of the results of any election by the holders of Shares with respect to the consideration due upon consummation of any Merger Event, Counterparty shall give Dealer written notice of (a) the weighted average of the types and amounts of consideration received by holders of Shares that affirmatively make such an election or (b) if no holders of Shares affirmatively make such an election, the types and amounts of consideration actually received by the holders of Shares (the date of such notification, the “</w:t>
      </w:r>
      <w:r>
        <w:rPr>
          <w:rFonts w:ascii="Arial" w:cs="Arial" w:eastAsia="Arial" w:hAnsi="Arial"/>
          <w:sz w:val="17"/>
          <w:szCs w:val="17"/>
          <w:b w:val="1"/>
          <w:bCs w:val="1"/>
          <w:color w:val="auto"/>
        </w:rPr>
        <w:t>Consideration Notification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Consideration Notification Date be later than the date on which such Merger Event is consummated; and</w:t>
      </w:r>
    </w:p>
    <w:p>
      <w:pPr>
        <w:spacing w:after="0" w:line="83" w:lineRule="exact"/>
        <w:rPr>
          <w:rFonts w:ascii="Arial" w:cs="Arial" w:eastAsia="Arial" w:hAnsi="Arial"/>
          <w:sz w:val="17"/>
          <w:szCs w:val="17"/>
          <w:color w:val="auto"/>
        </w:rPr>
      </w:pPr>
    </w:p>
    <w:p>
      <w:pPr>
        <w:ind w:left="1000" w:right="240" w:hanging="439"/>
        <w:spacing w:after="0" w:line="277" w:lineRule="auto"/>
        <w:tabs>
          <w:tab w:leader="none" w:pos="10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75" w:lineRule="exact"/>
        <w:rPr>
          <w:rFonts w:ascii="Arial" w:cs="Arial" w:eastAsia="Arial" w:hAnsi="Arial"/>
          <w:sz w:val="18"/>
          <w:szCs w:val="18"/>
          <w:color w:val="auto"/>
        </w:rPr>
      </w:pPr>
    </w:p>
    <w:p>
      <w:pPr>
        <w:ind w:left="540" w:right="120" w:hanging="532"/>
        <w:spacing w:after="0" w:line="270" w:lineRule="auto"/>
        <w:tabs>
          <w:tab w:leader="none" w:pos="540" w:val="left"/>
        </w:tabs>
        <w:numPr>
          <w:ilvl w:val="0"/>
          <w:numId w:val="325"/>
        </w:numPr>
        <w:rPr>
          <w:rFonts w:ascii="Arial" w:cs="Arial" w:eastAsia="Arial" w:hAnsi="Arial"/>
          <w:sz w:val="17"/>
          <w:szCs w:val="17"/>
          <w:color w:val="auto"/>
        </w:rPr>
      </w:pPr>
      <w:r>
        <w:rPr>
          <w:rFonts w:ascii="Arial" w:cs="Arial" w:eastAsia="Arial" w:hAnsi="Arial"/>
          <w:sz w:val="17"/>
          <w:szCs w:val="17"/>
          <w:i w:val="1"/>
          <w:iCs w:val="1"/>
          <w:u w:val="single" w:color="auto"/>
          <w:color w:val="auto"/>
        </w:rPr>
        <w:t>Wall Street Transparency and Accountability Act</w:t>
      </w:r>
      <w:r>
        <w:rPr>
          <w:rFonts w:ascii="Arial" w:cs="Arial" w:eastAsia="Arial" w:hAnsi="Arial"/>
          <w:sz w:val="17"/>
          <w:szCs w:val="17"/>
          <w:color w:val="auto"/>
        </w:rPr>
        <w:t>. In connection with Section 739 of the Wall Street Transparency and Accountability Act</w:t>
      </w:r>
      <w:r>
        <w:rPr>
          <w:rFonts w:ascii="Arial" w:cs="Arial" w:eastAsia="Arial" w:hAnsi="Arial"/>
          <w:sz w:val="17"/>
          <w:szCs w:val="17"/>
          <w:i w:val="1"/>
          <w:iCs w:val="1"/>
          <w:color w:val="auto"/>
        </w:rPr>
        <w:t xml:space="preserve"> </w:t>
      </w:r>
      <w:r>
        <w:rPr>
          <w:rFonts w:ascii="Arial" w:cs="Arial" w:eastAsia="Arial" w:hAnsi="Arial"/>
          <w:sz w:val="17"/>
          <w:szCs w:val="17"/>
          <w:color w:val="auto"/>
        </w:rPr>
        <w:t>of 2010 (“</w:t>
      </w:r>
      <w:r>
        <w:rPr>
          <w:rFonts w:ascii="Arial" w:cs="Arial" w:eastAsia="Arial" w:hAnsi="Arial"/>
          <w:sz w:val="17"/>
          <w:szCs w:val="17"/>
          <w:b w:val="1"/>
          <w:bCs w:val="1"/>
          <w:color w:val="auto"/>
        </w:rPr>
        <w:t>WSTAA</w:t>
      </w:r>
      <w:r>
        <w:rPr>
          <w:rFonts w:ascii="Arial" w:cs="Arial" w:eastAsia="Arial" w:hAnsi="Arial"/>
          <w:sz w:val="17"/>
          <w:szCs w:val="17"/>
          <w:color w:val="auto"/>
        </w:rPr>
        <w:t>”), the parties hereby agree that neither the enactment of WSTAA (or any statute containing any legal certainty provision similar to Section 739 of the WSTAA) or any regulation under the WSTAA (or any such statute), nor any requirement under WSTAA (or any statute containing any legal certainty provision similar to Section 739 of the WSTAA) or an amendment made by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60" w:top="274" w:right="459" w:bottom="1440" w:gutter="0" w:footer="0" w:header="0"/>
        </w:sectPr>
      </w:pPr>
    </w:p>
    <w:bookmarkStart w:id="280" w:name="page281"/>
    <w:bookmarkEnd w:id="280"/>
    <w:p>
      <w:pPr>
        <w:jc w:val="both"/>
        <w:ind w:left="964" w:right="20" w:hanging="532"/>
        <w:spacing w:after="0" w:line="287" w:lineRule="auto"/>
        <w:tabs>
          <w:tab w:leader="none" w:pos="964" w:val="left"/>
        </w:tabs>
        <w:numPr>
          <w:ilvl w:val="0"/>
          <w:numId w:val="326"/>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Agreements and Acknowledgements Regarding Hedging</w:t>
      </w:r>
      <w:r>
        <w:rPr>
          <w:rFonts w:ascii="Arial" w:cs="Arial" w:eastAsia="Arial" w:hAnsi="Arial"/>
          <w:sz w:val="16"/>
          <w:szCs w:val="16"/>
          <w:color w:val="auto"/>
        </w:rPr>
        <w:t>. Counterparty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Expiration Date, Dealer and its affiliates may buy or sell Shares or other securities or buy or sell options or futures contracts or enter into swaps or other derivative securities in order to adjust its commercially reasonable hedge position with respect to the Transaction;</w:t>
      </w:r>
    </w:p>
    <w:p>
      <w:pPr>
        <w:spacing w:after="0" w:line="2" w:lineRule="exact"/>
        <w:rPr>
          <w:rFonts w:ascii="Arial" w:cs="Arial" w:eastAsia="Arial" w:hAnsi="Arial"/>
          <w:sz w:val="16"/>
          <w:szCs w:val="16"/>
          <w:color w:val="auto"/>
        </w:rPr>
      </w:pPr>
    </w:p>
    <w:p>
      <w:pPr>
        <w:ind w:left="964" w:right="100"/>
        <w:spacing w:after="0" w:line="292" w:lineRule="auto"/>
        <w:rPr>
          <w:rFonts w:ascii="Arial" w:cs="Arial" w:eastAsia="Arial" w:hAnsi="Arial"/>
          <w:sz w:val="16"/>
          <w:szCs w:val="16"/>
          <w:color w:val="auto"/>
        </w:rPr>
      </w:pPr>
      <w:r>
        <w:rPr>
          <w:rFonts w:ascii="Arial" w:cs="Arial" w:eastAsia="Arial" w:hAnsi="Arial"/>
          <w:sz w:val="16"/>
          <w:szCs w:val="16"/>
          <w:color w:val="auto"/>
        </w:rPr>
        <w:t>(B)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67" w:lineRule="exact"/>
        <w:rPr>
          <w:rFonts w:ascii="Arial" w:cs="Arial" w:eastAsia="Arial" w:hAnsi="Arial"/>
          <w:sz w:val="16"/>
          <w:szCs w:val="16"/>
          <w:color w:val="auto"/>
        </w:rPr>
      </w:pPr>
    </w:p>
    <w:p>
      <w:pPr>
        <w:ind w:left="964" w:hanging="532"/>
        <w:spacing w:after="0" w:line="269" w:lineRule="auto"/>
        <w:tabs>
          <w:tab w:leader="none" w:pos="964" w:val="left"/>
        </w:tabs>
        <w:numPr>
          <w:ilvl w:val="0"/>
          <w:numId w:val="326"/>
        </w:numPr>
        <w:rPr>
          <w:rFonts w:ascii="Arial" w:cs="Arial" w:eastAsia="Arial" w:hAnsi="Arial"/>
          <w:sz w:val="17"/>
          <w:szCs w:val="17"/>
          <w:color w:val="auto"/>
        </w:rPr>
      </w:pPr>
      <w:r>
        <w:rPr>
          <w:rFonts w:ascii="Arial" w:cs="Arial" w:eastAsia="Arial" w:hAnsi="Arial"/>
          <w:sz w:val="17"/>
          <w:szCs w:val="17"/>
          <w:i w:val="1"/>
          <w:iCs w:val="1"/>
          <w:u w:val="single" w:color="auto"/>
          <w:color w:val="auto"/>
        </w:rPr>
        <w:t>Early Unwind</w:t>
      </w:r>
      <w:r>
        <w:rPr>
          <w:rFonts w:ascii="Arial" w:cs="Arial" w:eastAsia="Arial" w:hAnsi="Arial"/>
          <w:sz w:val="17"/>
          <w:szCs w:val="17"/>
          <w:color w:val="auto"/>
        </w:rPr>
        <w:t>. In the event the sale of the [“Firm Securities”]</w:t>
      </w:r>
      <w:r>
        <w:rPr>
          <w:rFonts w:ascii="Arial" w:cs="Arial" w:eastAsia="Arial" w:hAnsi="Arial"/>
          <w:sz w:val="14"/>
          <w:szCs w:val="14"/>
          <w:color w:val="auto"/>
        </w:rPr>
        <w:t>19</w:t>
      </w:r>
      <w:r>
        <w:rPr>
          <w:rFonts w:ascii="Arial" w:cs="Arial" w:eastAsia="Arial" w:hAnsi="Arial"/>
          <w:sz w:val="17"/>
          <w:szCs w:val="17"/>
          <w:color w:val="auto"/>
        </w:rPr>
        <w:t>[“Option Securities”]</w:t>
      </w:r>
      <w:r>
        <w:rPr>
          <w:rFonts w:ascii="Arial" w:cs="Arial" w:eastAsia="Arial" w:hAnsi="Arial"/>
          <w:sz w:val="14"/>
          <w:szCs w:val="14"/>
          <w:color w:val="auto"/>
        </w:rPr>
        <w:t>20</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in the Purchase Agreement) is not</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7"/>
          <w:szCs w:val="17"/>
          <w:b w:val="1"/>
          <w:bCs w:val="1"/>
          <w:color w:val="auto"/>
        </w:rPr>
        <w:t>Early Unwind Date</w:t>
      </w:r>
      <w:r>
        <w:rPr>
          <w:rFonts w:ascii="Arial" w:cs="Arial" w:eastAsia="Arial" w:hAnsi="Arial"/>
          <w:sz w:val="17"/>
          <w:szCs w:val="17"/>
          <w:color w:val="auto"/>
        </w:rPr>
        <w:t>”), the Transaction shall automatically terminate (the “</w:t>
      </w:r>
      <w:r>
        <w:rPr>
          <w:rFonts w:ascii="Arial" w:cs="Arial" w:eastAsia="Arial" w:hAnsi="Arial"/>
          <w:sz w:val="17"/>
          <w:szCs w:val="17"/>
          <w:b w:val="1"/>
          <w:bCs w:val="1"/>
          <w:color w:val="auto"/>
        </w:rPr>
        <w:t>Early Unwind</w:t>
      </w:r>
      <w:r>
        <w:rPr>
          <w:rFonts w:ascii="Arial" w:cs="Arial" w:eastAsia="Arial" w:hAnsi="Arial"/>
          <w:sz w:val="17"/>
          <w:szCs w:val="17"/>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90" w:lineRule="exact"/>
        <w:rPr>
          <w:rFonts w:ascii="Arial" w:cs="Arial" w:eastAsia="Arial" w:hAnsi="Arial"/>
          <w:sz w:val="17"/>
          <w:szCs w:val="17"/>
          <w:color w:val="auto"/>
        </w:rPr>
      </w:pPr>
    </w:p>
    <w:p>
      <w:pPr>
        <w:ind w:left="964" w:hanging="532"/>
        <w:spacing w:after="0"/>
        <w:tabs>
          <w:tab w:leader="none" w:pos="96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Tax Matters</w:t>
      </w:r>
      <w:r>
        <w:rPr>
          <w:rFonts w:ascii="Arial" w:cs="Arial" w:eastAsia="Arial" w:hAnsi="Arial"/>
          <w:sz w:val="18"/>
          <w:szCs w:val="18"/>
          <w:color w:val="auto"/>
        </w:rPr>
        <w:t>.</w:t>
      </w:r>
    </w:p>
    <w:p>
      <w:pPr>
        <w:spacing w:after="0" w:line="127" w:lineRule="exact"/>
        <w:rPr>
          <w:sz w:val="20"/>
          <w:szCs w:val="20"/>
          <w:color w:val="auto"/>
        </w:rPr>
      </w:pPr>
    </w:p>
    <w:p>
      <w:pPr>
        <w:ind w:left="1424" w:hanging="439"/>
        <w:spacing w:after="0"/>
        <w:tabs>
          <w:tab w:leader="none" w:pos="1424"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Payee Representations:</w:t>
      </w:r>
    </w:p>
    <w:p>
      <w:pPr>
        <w:spacing w:after="0" w:line="121"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For the purpose of Section 3(f) of this Agreement, Counterparty makes the following representation to Dealer:</w:t>
      </w:r>
    </w:p>
    <w:p>
      <w:pPr>
        <w:spacing w:after="0" w:line="117" w:lineRule="exact"/>
        <w:rPr>
          <w:rFonts w:ascii="Arial" w:cs="Arial" w:eastAsia="Arial" w:hAnsi="Arial"/>
          <w:sz w:val="18"/>
          <w:szCs w:val="18"/>
          <w:color w:val="auto"/>
        </w:rPr>
      </w:pPr>
    </w:p>
    <w:p>
      <w:pPr>
        <w:ind w:left="1424" w:right="220"/>
        <w:spacing w:after="0" w:line="397" w:lineRule="auto"/>
        <w:rPr>
          <w:rFonts w:ascii="Arial" w:cs="Arial" w:eastAsia="Arial" w:hAnsi="Arial"/>
          <w:sz w:val="18"/>
          <w:szCs w:val="18"/>
          <w:color w:val="auto"/>
        </w:rPr>
      </w:pPr>
      <w:r>
        <w:rPr>
          <w:rFonts w:ascii="Arial" w:cs="Arial" w:eastAsia="Arial" w:hAnsi="Arial"/>
          <w:sz w:val="17"/>
          <w:szCs w:val="17"/>
          <w:color w:val="auto"/>
        </w:rPr>
        <w:t>Counterparty is a corporation for U.S. tax purposes and a U.S. person (as that term is defined in Section 7701(a)(30) of the Code). For the purpose of Section 3(f) of this Agreement, Dealer makes the following representation to Counterparty:</w:t>
      </w:r>
    </w:p>
    <w:p>
      <w:pPr>
        <w:spacing w:after="0" w:line="1" w:lineRule="exact"/>
        <w:rPr>
          <w:rFonts w:ascii="Arial" w:cs="Arial" w:eastAsia="Arial" w:hAnsi="Arial"/>
          <w:sz w:val="18"/>
          <w:szCs w:val="18"/>
          <w:color w:val="auto"/>
        </w:rPr>
      </w:pPr>
    </w:p>
    <w:p>
      <w:pPr>
        <w:ind w:left="1424" w:right="160"/>
        <w:spacing w:after="0" w:line="263" w:lineRule="auto"/>
        <w:rPr>
          <w:rFonts w:ascii="Arial" w:cs="Arial" w:eastAsia="Arial" w:hAnsi="Arial"/>
          <w:sz w:val="18"/>
          <w:szCs w:val="18"/>
          <w:color w:val="auto"/>
        </w:rPr>
      </w:pPr>
      <w:r>
        <w:rPr>
          <w:rFonts w:ascii="Arial" w:cs="Arial" w:eastAsia="Arial" w:hAnsi="Arial"/>
          <w:sz w:val="18"/>
          <w:szCs w:val="18"/>
          <w:color w:val="auto"/>
        </w:rPr>
        <w:t>[It is a national banking association organized and existing under the laws of the United States of America, and its federal taxpayer identification number is [ ].]/ [It is a “U.S. person” (as that term is used in Section 1.1441-4(a)(3)(ii) of the United States Treasury Regulations) for U.S. federal income tax purposes.]</w:t>
      </w:r>
      <w:r>
        <w:rPr>
          <w:rFonts w:ascii="Arial" w:cs="Arial" w:eastAsia="Arial" w:hAnsi="Arial"/>
          <w:sz w:val="15"/>
          <w:szCs w:val="15"/>
          <w:color w:val="auto"/>
        </w:rPr>
        <w:t>21</w:t>
      </w:r>
    </w:p>
    <w:p>
      <w:pPr>
        <w:spacing w:after="0" w:line="89" w:lineRule="exact"/>
        <w:rPr>
          <w:rFonts w:ascii="Arial" w:cs="Arial" w:eastAsia="Arial" w:hAnsi="Arial"/>
          <w:sz w:val="18"/>
          <w:szCs w:val="18"/>
          <w:color w:val="auto"/>
        </w:rPr>
      </w:pPr>
    </w:p>
    <w:p>
      <w:pPr>
        <w:ind w:left="1424" w:right="80" w:hanging="439"/>
        <w:spacing w:after="0" w:line="279" w:lineRule="auto"/>
        <w:tabs>
          <w:tab w:leader="none" w:pos="1424" w:val="left"/>
        </w:tabs>
        <w:numPr>
          <w:ilvl w:val="0"/>
          <w:numId w:val="327"/>
        </w:numPr>
        <w:rPr>
          <w:rFonts w:ascii="Arial" w:cs="Arial" w:eastAsia="Arial" w:hAnsi="Arial"/>
          <w:sz w:val="17"/>
          <w:szCs w:val="17"/>
          <w:color w:val="auto"/>
        </w:rPr>
      </w:pPr>
      <w:r>
        <w:rPr>
          <w:rFonts w:ascii="Arial" w:cs="Arial" w:eastAsia="Arial" w:hAnsi="Arial"/>
          <w:sz w:val="17"/>
          <w:szCs w:val="17"/>
          <w:i w:val="1"/>
          <w:iCs w:val="1"/>
          <w:color w:val="auto"/>
        </w:rPr>
        <w:t xml:space="preserve">Tax Documentation. </w:t>
      </w:r>
      <w:r>
        <w:rPr>
          <w:rFonts w:ascii="Arial" w:cs="Arial" w:eastAsia="Arial" w:hAnsi="Arial"/>
          <w:sz w:val="17"/>
          <w:szCs w:val="17"/>
          <w:color w:val="auto"/>
        </w:rPr>
        <w:t>Each party shall provide to the other party a valid United States Internal Revenue Service Form W-9 (or</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thereto), (i) on or before the date of execution of this Confirmation and (ii) promptly upon learning that any such tax form previously provided by it has become obsolete or incorrect. Additionally, each party shall, promptly upon request by the other party, provide such other tax forms and documents reasonably requested by the other party.</w:t>
      </w:r>
    </w:p>
    <w:p>
      <w:pPr>
        <w:spacing w:after="0" w:line="76" w:lineRule="exact"/>
        <w:rPr>
          <w:rFonts w:ascii="Arial" w:cs="Arial" w:eastAsia="Arial" w:hAnsi="Arial"/>
          <w:sz w:val="17"/>
          <w:szCs w:val="17"/>
          <w:color w:val="auto"/>
        </w:rPr>
      </w:pPr>
    </w:p>
    <w:p>
      <w:pPr>
        <w:ind w:left="1424" w:right="400" w:hanging="439"/>
        <w:spacing w:after="0" w:line="263" w:lineRule="auto"/>
        <w:tabs>
          <w:tab w:leader="none" w:pos="1424"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Withholding Tax imposed on payments to non-US counterparties under the United States Foreign Account Tax Compliance Act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“Indemnifiable Tax” as defined in Section 14 of the Agreement, shall not include any U.S. federal withholding tax imposed or collected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715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8" w:lineRule="exact"/>
        <w:rPr>
          <w:sz w:val="20"/>
          <w:szCs w:val="20"/>
          <w:color w:val="auto"/>
        </w:rPr>
      </w:pPr>
    </w:p>
    <w:p>
      <w:pPr>
        <w:ind w:left="424" w:hanging="424"/>
        <w:spacing w:after="0"/>
        <w:tabs>
          <w:tab w:leader="none" w:pos="424" w:val="left"/>
        </w:tabs>
        <w:numPr>
          <w:ilvl w:val="0"/>
          <w:numId w:val="328"/>
        </w:numPr>
        <w:rPr>
          <w:rFonts w:ascii="Arial" w:cs="Arial" w:eastAsia="Arial" w:hAnsi="Arial"/>
          <w:sz w:val="15"/>
          <w:szCs w:val="15"/>
          <w:color w:val="auto"/>
        </w:rPr>
      </w:pPr>
      <w:r>
        <w:rPr>
          <w:rFonts w:ascii="Arial" w:cs="Arial" w:eastAsia="Arial" w:hAnsi="Arial"/>
          <w:sz w:val="18"/>
          <w:szCs w:val="18"/>
          <w:color w:val="auto"/>
        </w:rPr>
        <w:t>Insert for Base Call Option Confirmation.</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328"/>
        </w:numPr>
        <w:rPr>
          <w:rFonts w:ascii="Arial" w:cs="Arial" w:eastAsia="Arial" w:hAnsi="Arial"/>
          <w:sz w:val="15"/>
          <w:szCs w:val="15"/>
          <w:color w:val="auto"/>
        </w:rPr>
      </w:pPr>
      <w:r>
        <w:rPr>
          <w:rFonts w:ascii="Arial" w:cs="Arial" w:eastAsia="Arial" w:hAnsi="Arial"/>
          <w:sz w:val="18"/>
          <w:szCs w:val="18"/>
          <w:color w:val="auto"/>
        </w:rPr>
        <w:t>Insert for Additional Call Option Confirmation.</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328"/>
        </w:numPr>
        <w:rPr>
          <w:rFonts w:ascii="Arial" w:cs="Arial" w:eastAsia="Arial" w:hAnsi="Arial"/>
          <w:sz w:val="15"/>
          <w:szCs w:val="15"/>
          <w:color w:val="auto"/>
        </w:rPr>
      </w:pPr>
      <w:r>
        <w:rPr>
          <w:rFonts w:ascii="Arial" w:cs="Arial" w:eastAsia="Arial" w:hAnsi="Arial"/>
          <w:sz w:val="18"/>
          <w:szCs w:val="18"/>
          <w:color w:val="auto"/>
        </w:rPr>
        <w:t>Insert as applicable.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81" w:name="page282"/>
    <w:bookmarkEnd w:id="281"/>
    <w:p>
      <w:pPr>
        <w:ind w:left="1424"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w:t>
      </w:r>
      <w:r>
        <w:rPr>
          <w:rFonts w:ascii="Arial" w:cs="Arial" w:eastAsia="Arial" w:hAnsi="Arial"/>
          <w:sz w:val="17"/>
          <w:szCs w:val="17"/>
          <w:color w:val="auto"/>
        </w:rPr>
        <w:t xml:space="preserve"> </w:t>
      </w:r>
      <w:r>
        <w:rPr>
          <w:rFonts w:ascii="Arial" w:cs="Arial" w:eastAsia="Arial" w:hAnsi="Arial"/>
          <w:sz w:val="17"/>
          <w:szCs w:val="17"/>
          <w:b w:val="1"/>
          <w:bCs w:val="1"/>
          <w:color w:val="auto"/>
        </w:rPr>
        <w:t>Withholding Tax</w:t>
      </w:r>
      <w:r>
        <w:rPr>
          <w:rFonts w:ascii="Arial" w:cs="Arial" w:eastAsia="Arial" w:hAnsi="Arial"/>
          <w:sz w:val="17"/>
          <w:szCs w:val="17"/>
          <w:color w:val="auto"/>
        </w:rPr>
        <w:t>”). For the avoidance of doubt, a FATCA Withholding Tax is a Tax the deduction or withholding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applicable law for the purposes of Section 2(d) of the Agreement.</w:t>
      </w:r>
    </w:p>
    <w:p>
      <w:pPr>
        <w:spacing w:after="0" w:line="82" w:lineRule="exact"/>
        <w:rPr>
          <w:sz w:val="20"/>
          <w:szCs w:val="20"/>
          <w:color w:val="auto"/>
        </w:rPr>
      </w:pPr>
    </w:p>
    <w:p>
      <w:pPr>
        <w:ind w:left="1424" w:hanging="439"/>
        <w:spacing w:after="0" w:line="342" w:lineRule="auto"/>
        <w:tabs>
          <w:tab w:leader="none" w:pos="1424" w:val="left"/>
        </w:tabs>
        <w:numPr>
          <w:ilvl w:val="1"/>
          <w:numId w:val="329"/>
        </w:numPr>
        <w:rPr>
          <w:rFonts w:ascii="Arial" w:cs="Arial" w:eastAsia="Arial" w:hAnsi="Arial"/>
          <w:sz w:val="16"/>
          <w:szCs w:val="16"/>
          <w:color w:val="auto"/>
        </w:rPr>
      </w:pPr>
      <w:r>
        <w:rPr>
          <w:rFonts w:ascii="Arial" w:cs="Arial" w:eastAsia="Arial" w:hAnsi="Arial"/>
          <w:sz w:val="16"/>
          <w:szCs w:val="16"/>
          <w:i w:val="1"/>
          <w:iCs w:val="1"/>
          <w:color w:val="auto"/>
        </w:rPr>
        <w:t xml:space="preserve">HIRE Act. </w:t>
      </w:r>
      <w:r>
        <w:rPr>
          <w:rFonts w:ascii="Arial" w:cs="Arial" w:eastAsia="Arial" w:hAnsi="Arial"/>
          <w:sz w:val="16"/>
          <w:szCs w:val="16"/>
          <w:color w:val="auto"/>
        </w:rPr>
        <w:t>“Indemnifiable Tax”, as defined in Section 14 of the Agreement, shall not include any tax imposed on payments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from sources within the United States under Section 871(m) of the Code or any regulations issued thereunder.]</w:t>
      </w:r>
      <w:r>
        <w:rPr>
          <w:rFonts w:ascii="Arial" w:cs="Arial" w:eastAsia="Arial" w:hAnsi="Arial"/>
          <w:sz w:val="13"/>
          <w:szCs w:val="13"/>
          <w:color w:val="auto"/>
        </w:rPr>
        <w:t>22</w:t>
      </w:r>
    </w:p>
    <w:p>
      <w:pPr>
        <w:spacing w:after="0" w:line="29" w:lineRule="exact"/>
        <w:rPr>
          <w:rFonts w:ascii="Arial" w:cs="Arial" w:eastAsia="Arial" w:hAnsi="Arial"/>
          <w:sz w:val="16"/>
          <w:szCs w:val="16"/>
          <w:color w:val="auto"/>
        </w:rPr>
      </w:pPr>
    </w:p>
    <w:p>
      <w:pPr>
        <w:ind w:left="964" w:right="100" w:hanging="532"/>
        <w:spacing w:after="0" w:line="259" w:lineRule="auto"/>
        <w:tabs>
          <w:tab w:leader="none" w:pos="964" w:val="left"/>
        </w:tabs>
        <w:numPr>
          <w:ilvl w:val="0"/>
          <w:numId w:val="330"/>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 by Counterparty</w:t>
      </w:r>
      <w:r>
        <w:rPr>
          <w:rFonts w:ascii="Arial" w:cs="Arial" w:eastAsia="Arial" w:hAnsi="Arial"/>
          <w:sz w:val="18"/>
          <w:szCs w:val="18"/>
          <w:color w:val="auto"/>
        </w:rPr>
        <w:t>. In the event that, following payment of the Premium, an Early Termination Date occurs or is designated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such amount shall be deemed to be zero.</w:t>
      </w:r>
    </w:p>
    <w:p>
      <w:pPr>
        <w:spacing w:after="0" w:line="88" w:lineRule="exact"/>
        <w:rPr>
          <w:rFonts w:ascii="Arial" w:cs="Arial" w:eastAsia="Arial" w:hAnsi="Arial"/>
          <w:sz w:val="18"/>
          <w:szCs w:val="18"/>
          <w:color w:val="auto"/>
        </w:rPr>
      </w:pPr>
    </w:p>
    <w:p>
      <w:pPr>
        <w:ind w:left="964" w:hanging="532"/>
        <w:spacing w:after="0"/>
        <w:tabs>
          <w:tab w:leader="none" w:pos="964" w:val="left"/>
        </w:tabs>
        <w:numPr>
          <w:ilvl w:val="0"/>
          <w:numId w:val="330"/>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ind w:left="964" w:right="14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THE NEW YORK GENERAL OBLIGATIONS LAW).</w:t>
      </w:r>
    </w:p>
    <w:p>
      <w:pPr>
        <w:spacing w:after="0" w:line="9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330"/>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w:t>
      </w:r>
      <w:r>
        <w:rPr>
          <w:rFonts w:ascii="Arial" w:cs="Arial" w:eastAsia="Arial" w:hAnsi="Arial"/>
          <w:sz w:val="18"/>
          <w:szCs w:val="18"/>
          <w:color w:val="auto"/>
        </w:rPr>
        <w:t>. 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Counterparty and Dealer.</w:t>
      </w:r>
    </w:p>
    <w:p>
      <w:pPr>
        <w:spacing w:after="0" w:line="76" w:lineRule="exact"/>
        <w:rPr>
          <w:sz w:val="20"/>
          <w:szCs w:val="20"/>
          <w:color w:val="auto"/>
        </w:rPr>
      </w:pPr>
    </w:p>
    <w:p>
      <w:pPr>
        <w:ind w:left="964" w:right="420" w:hanging="532"/>
        <w:spacing w:after="0" w:line="277" w:lineRule="auto"/>
        <w:tabs>
          <w:tab w:leader="none" w:pos="964" w:val="left"/>
        </w:tabs>
        <w:numPr>
          <w:ilvl w:val="0"/>
          <w:numId w:val="331"/>
        </w:numPr>
        <w:rPr>
          <w:rFonts w:ascii="Arial" w:cs="Arial" w:eastAsia="Arial" w:hAnsi="Arial"/>
          <w:sz w:val="18"/>
          <w:szCs w:val="18"/>
          <w:color w:val="auto"/>
        </w:rPr>
      </w:pPr>
      <w:r>
        <w:rPr>
          <w:rFonts w:ascii="Arial" w:cs="Arial" w:eastAsia="Arial" w:hAnsi="Arial"/>
          <w:sz w:val="18"/>
          <w:szCs w:val="18"/>
          <w:i w:val="1"/>
          <w:iCs w:val="1"/>
          <w:u w:val="single" w:color="auto"/>
          <w:color w:val="auto"/>
        </w:rPr>
        <w:t>Counterparts</w:t>
      </w:r>
      <w:r>
        <w:rPr>
          <w:rFonts w:ascii="Arial" w:cs="Arial" w:eastAsia="Arial" w:hAnsi="Arial"/>
          <w:sz w:val="18"/>
          <w:szCs w:val="18"/>
          <w:color w:val="auto"/>
        </w:rPr>
        <w:t>. 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5" w:lineRule="exact"/>
        <w:rPr>
          <w:sz w:val="20"/>
          <w:szCs w:val="20"/>
          <w:color w:val="auto"/>
        </w:rPr>
      </w:pPr>
    </w:p>
    <w:p>
      <w:pPr>
        <w:ind w:left="424" w:hanging="424"/>
        <w:spacing w:after="0"/>
        <w:tabs>
          <w:tab w:leader="none" w:pos="424" w:val="left"/>
        </w:tabs>
        <w:numPr>
          <w:ilvl w:val="0"/>
          <w:numId w:val="332"/>
        </w:numPr>
        <w:rPr>
          <w:rFonts w:ascii="Arial" w:cs="Arial" w:eastAsia="Arial" w:hAnsi="Arial"/>
          <w:sz w:val="15"/>
          <w:szCs w:val="15"/>
          <w:color w:val="auto"/>
        </w:rPr>
      </w:pPr>
      <w:r>
        <w:rPr>
          <w:rFonts w:ascii="Arial" w:cs="Arial" w:eastAsia="Arial" w:hAnsi="Arial"/>
          <w:sz w:val="18"/>
          <w:szCs w:val="18"/>
          <w:color w:val="auto"/>
        </w:rPr>
        <w:t>NTD: Subject to review by WSGR tax.</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282" w:name="page283"/>
    <w:bookmarkEnd w:id="28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[Base][Additional] Bond Hedge Confirmation]</w:t>
      </w:r>
    </w:p>
    <w:p>
      <w:pPr>
        <w:sectPr>
          <w:pgSz w:w="11900" w:h="16838" w:orient="portrait"/>
          <w:cols w:equalWidth="0" w:num="1">
            <w:col w:w="11000"/>
          </w:cols>
          <w:pgMar w:left="440" w:top="274" w:right="459" w:bottom="1440" w:gutter="0" w:footer="0" w:header="0"/>
        </w:sectPr>
      </w:pPr>
    </w:p>
    <w:bookmarkStart w:id="283" w:name="page284"/>
    <w:bookmarkEnd w:id="283"/>
    <w:p>
      <w:pPr>
        <w:ind w:left="10084"/>
        <w:spacing w:after="0"/>
        <w:rPr>
          <w:sz w:val="20"/>
          <w:szCs w:val="20"/>
          <w:color w:val="auto"/>
        </w:rPr>
      </w:pPr>
      <w:r>
        <w:rPr>
          <w:rFonts w:ascii="Arial" w:cs="Arial" w:eastAsia="Arial" w:hAnsi="Arial"/>
          <w:sz w:val="16"/>
          <w:szCs w:val="16"/>
          <w:b w:val="1"/>
          <w:bCs w:val="1"/>
          <w:color w:val="auto"/>
        </w:rPr>
        <w:t>Exhibit 10.4</w:t>
      </w:r>
    </w:p>
    <w:p>
      <w:pPr>
        <w:spacing w:after="0" w:line="158" w:lineRule="exact"/>
        <w:rPr>
          <w:sz w:val="20"/>
          <w:szCs w:val="20"/>
          <w:color w:val="auto"/>
        </w:rPr>
      </w:pPr>
    </w:p>
    <w:p>
      <w:pPr>
        <w:ind w:left="4" w:right="200"/>
        <w:spacing w:after="0" w:line="279" w:lineRule="auto"/>
        <w:rPr>
          <w:sz w:val="20"/>
          <w:szCs w:val="20"/>
          <w:color w:val="auto"/>
        </w:rPr>
      </w:pPr>
      <w:r>
        <w:rPr>
          <w:rFonts w:ascii="Arial" w:cs="Arial" w:eastAsia="Arial" w:hAnsi="Arial"/>
          <w:sz w:val="17"/>
          <w:szCs w:val="17"/>
          <w:color w:val="auto"/>
        </w:rPr>
        <w:t>THE SECURITIES REPRESENTED HEREBY (THE “WARRANTS”) WERE ORIGINALLY ISSUED IN A TRANSACTION EXEMPT FROM REGISTRATION UNDER THE UNITED STATES SECURITIES ACT OF 1933, AS AMENDED (THE “SECURITIES ACT”), AND THE WARRANTS MAY NOT BE OFFERED, SOLD OR OTHERWISE TRANSFERRED EXCEPT PURSUANT TO A REGISTRATION STATEMENT UNDER THE SECURITIES ACT OR AN APPLICABLE EXEMPTION FROM THE REGISTRATION REQUIREMENTS THEREOF.</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[Dealer 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[Dealer Address]</w:t>
      </w:r>
    </w:p>
    <w:p>
      <w:pPr>
        <w:spacing w:after="0" w:line="211" w:lineRule="exact"/>
        <w:rPr>
          <w:sz w:val="20"/>
          <w:szCs w:val="20"/>
          <w:color w:val="auto"/>
        </w:rPr>
      </w:pPr>
    </w:p>
    <w:tbl>
      <w:tblPr>
        <w:tblLayout w:type="fixed"/>
        <w:tblInd w:w="9724" w:type="dxa"/>
        <w:tblCellMar>
          <w:top w:w="0" w:type="dxa"/>
          <w:left w:w="0" w:type="dxa"/>
          <w:bottom w:w="0" w:type="dxa"/>
          <w:right w:w="0" w:type="dxa"/>
        </w:tblCellMar>
      </w:tblPr>
      <w:tr>
        <w:trPr>
          <w:trHeight w:val="230"/>
        </w:trPr>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Dropbox,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San Francisco, California 94158</w:t>
      </w:r>
    </w:p>
    <w:p>
      <w:pPr>
        <w:spacing w:after="0" w:line="9" w:lineRule="exact"/>
        <w:rPr>
          <w:sz w:val="20"/>
          <w:szCs w:val="20"/>
          <w:color w:val="auto"/>
        </w:rPr>
      </w:pPr>
    </w:p>
    <w:p>
      <w:pPr>
        <w:ind w:left="444" w:right="8940" w:hanging="4"/>
        <w:spacing w:after="0" w:line="323" w:lineRule="auto"/>
        <w:tabs>
          <w:tab w:leader="none" w:pos="879" w:val="left"/>
        </w:tabs>
        <w:numPr>
          <w:ilvl w:val="0"/>
          <w:numId w:val="333"/>
        </w:numPr>
        <w:rPr>
          <w:rFonts w:ascii="Arial" w:cs="Arial" w:eastAsia="Arial" w:hAnsi="Arial"/>
          <w:sz w:val="16"/>
          <w:szCs w:val="16"/>
          <w:color w:val="auto"/>
        </w:rPr>
      </w:pPr>
      <w:r>
        <w:rPr>
          <w:rFonts w:ascii="Arial" w:cs="Arial" w:eastAsia="Arial" w:hAnsi="Arial"/>
          <w:sz w:val="16"/>
          <w:szCs w:val="16"/>
          <w:color w:val="auto"/>
        </w:rPr>
        <w:t>857-6800 Email: [___________]</w:t>
      </w:r>
    </w:p>
    <w:p>
      <w:pPr>
        <w:spacing w:after="0" w:line="4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[Base][Additional] Warrants</w:t>
      </w:r>
    </w:p>
    <w:p>
      <w:pPr>
        <w:spacing w:after="0" w:line="221"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The purpose of this letter agreement (this “</w:t>
      </w:r>
      <w:r>
        <w:rPr>
          <w:rFonts w:ascii="Arial" w:cs="Arial" w:eastAsia="Arial" w:hAnsi="Arial"/>
          <w:sz w:val="17"/>
          <w:szCs w:val="17"/>
          <w:b w:val="1"/>
          <w:bCs w:val="1"/>
          <w:color w:val="auto"/>
        </w:rPr>
        <w:t>Confirmation</w:t>
      </w:r>
      <w:r>
        <w:rPr>
          <w:rFonts w:ascii="Arial" w:cs="Arial" w:eastAsia="Arial" w:hAnsi="Arial"/>
          <w:sz w:val="17"/>
          <w:szCs w:val="17"/>
          <w:color w:val="auto"/>
        </w:rPr>
        <w:t>”) is to confirm the terms and conditions of the Warrants issued by Dropbox, Inc.</w:t>
      </w:r>
    </w:p>
    <w:p>
      <w:pPr>
        <w:spacing w:after="0" w:line="39" w:lineRule="exact"/>
        <w:rPr>
          <w:sz w:val="20"/>
          <w:szCs w:val="20"/>
          <w:color w:val="auto"/>
        </w:rPr>
      </w:pPr>
    </w:p>
    <w:p>
      <w:pPr>
        <w:jc w:val="both"/>
        <w:ind w:left="4" w:right="1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to [ ] (“</w:t>
      </w:r>
      <w:r>
        <w:rPr>
          <w:rFonts w:ascii="Arial" w:cs="Arial" w:eastAsia="Arial" w:hAnsi="Arial"/>
          <w:sz w:val="17"/>
          <w:szCs w:val="17"/>
          <w:b w:val="1"/>
          <w:bCs w:val="1"/>
          <w:color w:val="auto"/>
        </w:rPr>
        <w:t>Dealer</w:t>
      </w:r>
      <w:r>
        <w:rPr>
          <w:rFonts w:ascii="Arial" w:cs="Arial" w:eastAsia="Arial" w:hAnsi="Arial"/>
          <w:sz w:val="17"/>
          <w:szCs w:val="17"/>
          <w:color w:val="auto"/>
        </w:rPr>
        <w:t>”) as of the Trade Date specified below (the “</w:t>
      </w:r>
      <w:r>
        <w:rPr>
          <w:rFonts w:ascii="Arial" w:cs="Arial" w:eastAsia="Arial" w:hAnsi="Arial"/>
          <w:sz w:val="17"/>
          <w:szCs w:val="17"/>
          <w:b w:val="1"/>
          <w:bCs w:val="1"/>
          <w:color w:val="auto"/>
        </w:rPr>
        <w:t>Transaction</w:t>
      </w:r>
      <w:r>
        <w:rPr>
          <w:rFonts w:ascii="Arial" w:cs="Arial" w:eastAsia="Arial" w:hAnsi="Arial"/>
          <w:sz w:val="17"/>
          <w:szCs w:val="17"/>
          <w:color w:val="auto"/>
        </w:rPr>
        <w:t>”). This letter agreement constitutes a “Confirmation” as referred to in the ISDA Master Agreement specified below. Each party further agrees that this Confirmation together with the Agreement evidence a complete binding agreement between Company and Dealer as to the subject matter and terms of the Transaction to which this Confirmation relates, and shall supersede all prior or contemporaneous written or oral communications with respect thereto.</w:t>
      </w:r>
    </w:p>
    <w:p>
      <w:pPr>
        <w:spacing w:after="0" w:line="172"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are incorporated into this Confirmation. In the event of any inconsistency between the Equity Definitions and this Confirmation, this Confirmation shall govern.</w:t>
      </w:r>
    </w:p>
    <w:p>
      <w:pPr>
        <w:spacing w:after="0" w:line="180"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89" w:lineRule="exact"/>
        <w:rPr>
          <w:sz w:val="20"/>
          <w:szCs w:val="20"/>
          <w:color w:val="auto"/>
        </w:rPr>
      </w:pPr>
    </w:p>
    <w:p>
      <w:pPr>
        <w:ind w:left="424" w:right="40" w:hanging="424"/>
        <w:spacing w:after="0" w:line="269" w:lineRule="auto"/>
        <w:tabs>
          <w:tab w:leader="none" w:pos="424"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This Confirmation evidences a complete and binding agreement between Dealer and Company as to the terms of the Transaction to which this Confirmation relates. This Confirmation shall be subject to an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in the form of the 2002 ISDA Master Agreement as if Dealer and Company had executed an agreement in such form on the date hereof (but without any Schedule except for (i) the election of US Dollars (“</w:t>
      </w:r>
      <w:r>
        <w:rPr>
          <w:rFonts w:ascii="Arial" w:cs="Arial" w:eastAsia="Arial" w:hAnsi="Arial"/>
          <w:sz w:val="17"/>
          <w:szCs w:val="17"/>
          <w:b w:val="1"/>
          <w:bCs w:val="1"/>
          <w:color w:val="auto"/>
        </w:rPr>
        <w:t>USD</w:t>
      </w:r>
      <w:r>
        <w:rPr>
          <w:rFonts w:ascii="Arial" w:cs="Arial" w:eastAsia="Arial" w:hAnsi="Arial"/>
          <w:sz w:val="17"/>
          <w:szCs w:val="17"/>
          <w:color w:val="auto"/>
        </w:rPr>
        <w:t>”) as the Termination Currency, and (ii) (a) the election that the “Cross Default” provisions of Section 5(a)(vi) of the Agreement shall apply to Company with a “Threshold Amount” of USD 100,000,000, (b) the phrase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In the event of any inconsistency between provisions of the Agreement and this Confirmation, this Confirmation</w:t>
      </w:r>
    </w:p>
    <w:p>
      <w:pPr>
        <w:sectPr>
          <w:pgSz w:w="11900" w:h="16838" w:orient="portrait"/>
          <w:cols w:equalWidth="0" w:num="1">
            <w:col w:w="11024"/>
          </w:cols>
          <w:pgMar w:left="436" w:top="121" w:right="439" w:bottom="1440" w:gutter="0" w:footer="0" w:header="0"/>
        </w:sectPr>
      </w:pPr>
    </w:p>
    <w:bookmarkStart w:id="284" w:name="page285"/>
    <w:bookmarkEnd w:id="284"/>
    <w:p>
      <w:pPr>
        <w:ind w:left="424"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prevail for the purpose of the Transaction to which this Confirmation relates. For the avoidance of doubt, except to the extent of an express conflict, the application of any provision of this Confirmation, the Agreement or the Equity Definitions shall not be construed to exclude or limit the application of any other provision of this Confirmation, the Agreement or the Equity Definitions. The Transaction hereunder shall be the sole Transaction under the Agreement. If there exists any ISDA Master Agreement between Dealer and Company or any confirmation or other agreement between Dealer and Company pursuant to which an ISDA Master Agreement is deemed to exist between Dealer and Company, then notwithstanding anything to the contrary in such ISDA Master Agreement, such confirmation or agreement or any other agreement to which Dealer and Company are parties, the Transaction shall not be considered a Transaction under, or otherwise governed by, such existing or deemed ISDA Master Agreement.</w:t>
      </w:r>
    </w:p>
    <w:p>
      <w:pPr>
        <w:spacing w:after="0" w:line="84" w:lineRule="exact"/>
        <w:rPr>
          <w:sz w:val="20"/>
          <w:szCs w:val="20"/>
          <w:color w:val="auto"/>
        </w:rPr>
      </w:pPr>
    </w:p>
    <w:p>
      <w:pPr>
        <w:ind w:left="424" w:right="20" w:hanging="424"/>
        <w:spacing w:after="0" w:line="277" w:lineRule="auto"/>
        <w:tabs>
          <w:tab w:leader="none" w:pos="42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80" w:lineRule="exact"/>
        <w:rPr>
          <w:sz w:val="20"/>
          <w:szCs w:val="20"/>
          <w:color w:val="auto"/>
        </w:rPr>
      </w:pPr>
    </w:p>
    <w:tbl>
      <w:tblPr>
        <w:tblLayout w:type="fixed"/>
        <w:tblInd w:w="364"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p>
        </w:tc>
        <w:tc>
          <w:tcPr>
            <w:tcW w:w="700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345"/>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Trade Date:</w:t>
            </w:r>
          </w:p>
        </w:tc>
        <w:tc>
          <w:tcPr>
            <w:tcW w:w="7000" w:type="dxa"/>
            <w:vAlign w:val="bottom"/>
          </w:tcPr>
          <w:p>
            <w:pPr>
              <w:ind w:left="1760"/>
              <w:spacing w:after="0"/>
              <w:rPr>
                <w:sz w:val="20"/>
                <w:szCs w:val="20"/>
                <w:color w:val="auto"/>
              </w:rPr>
            </w:pPr>
            <w:r>
              <w:rPr>
                <w:rFonts w:ascii="Arial" w:cs="Arial" w:eastAsia="Arial" w:hAnsi="Arial"/>
                <w:sz w:val="18"/>
                <w:szCs w:val="18"/>
                <w:color w:val="auto"/>
              </w:rPr>
              <w:t>[ ], 2021</w:t>
            </w: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Effective Date:</w:t>
            </w:r>
          </w:p>
        </w:tc>
        <w:tc>
          <w:tcPr>
            <w:tcW w:w="7000" w:type="dxa"/>
            <w:vAlign w:val="bottom"/>
          </w:tcPr>
          <w:p>
            <w:pPr>
              <w:ind w:left="1760"/>
              <w:spacing w:after="0"/>
              <w:rPr>
                <w:sz w:val="20"/>
                <w:szCs w:val="20"/>
                <w:color w:val="auto"/>
              </w:rPr>
            </w:pPr>
            <w:r>
              <w:rPr>
                <w:rFonts w:ascii="Arial" w:cs="Arial" w:eastAsia="Arial" w:hAnsi="Arial"/>
                <w:sz w:val="18"/>
                <w:szCs w:val="18"/>
                <w:color w:val="auto"/>
                <w:w w:val="92"/>
              </w:rPr>
              <w:t>The second Exchange Business Day immediately prior to the Premium</w:t>
            </w:r>
          </w:p>
        </w:tc>
      </w:tr>
      <w:tr>
        <w:trPr>
          <w:trHeight w:val="23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rPr>
              <w:t>Payment Date</w:t>
            </w: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Warrants:</w:t>
            </w:r>
          </w:p>
        </w:tc>
        <w:tc>
          <w:tcPr>
            <w:tcW w:w="7000" w:type="dxa"/>
            <w:vAlign w:val="bottom"/>
          </w:tcPr>
          <w:p>
            <w:pPr>
              <w:ind w:left="1760"/>
              <w:spacing w:after="0"/>
              <w:rPr>
                <w:sz w:val="20"/>
                <w:szCs w:val="20"/>
                <w:color w:val="auto"/>
              </w:rPr>
            </w:pPr>
            <w:r>
              <w:rPr>
                <w:rFonts w:ascii="Arial" w:cs="Arial" w:eastAsia="Arial" w:hAnsi="Arial"/>
                <w:sz w:val="18"/>
                <w:szCs w:val="18"/>
                <w:color w:val="auto"/>
              </w:rPr>
              <w:t>Equity call warrants, each with the terms set forth herein. For the</w:t>
            </w:r>
          </w:p>
        </w:tc>
      </w:t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w w:val="93"/>
              </w:rPr>
              <w:t>purposes of the Equity Definitions, each reference to a Warrant herein</w:t>
            </w:r>
          </w:p>
        </w:tc>
      </w:tr>
      <w:tr>
        <w:trPr>
          <w:trHeight w:val="23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rPr>
              <w:t>shall be deemed to be a reference to a Call Option.</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Warrant Style:</w:t>
            </w:r>
          </w:p>
        </w:tc>
        <w:tc>
          <w:tcPr>
            <w:tcW w:w="7000" w:type="dxa"/>
            <w:vAlign w:val="bottom"/>
          </w:tcPr>
          <w:p>
            <w:pPr>
              <w:ind w:left="1760"/>
              <w:spacing w:after="0"/>
              <w:rPr>
                <w:sz w:val="20"/>
                <w:szCs w:val="20"/>
                <w:color w:val="auto"/>
              </w:rPr>
            </w:pPr>
            <w:r>
              <w:rPr>
                <w:rFonts w:ascii="Arial" w:cs="Arial" w:eastAsia="Arial" w:hAnsi="Arial"/>
                <w:sz w:val="18"/>
                <w:szCs w:val="18"/>
                <w:color w:val="auto"/>
              </w:rPr>
              <w:t>European</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Seller:</w:t>
            </w:r>
          </w:p>
        </w:tc>
        <w:tc>
          <w:tcPr>
            <w:tcW w:w="7000" w:type="dxa"/>
            <w:vAlign w:val="bottom"/>
          </w:tcPr>
          <w:p>
            <w:pPr>
              <w:ind w:left="1760"/>
              <w:spacing w:after="0"/>
              <w:rPr>
                <w:sz w:val="20"/>
                <w:szCs w:val="20"/>
                <w:color w:val="auto"/>
              </w:rPr>
            </w:pPr>
            <w:r>
              <w:rPr>
                <w:rFonts w:ascii="Arial" w:cs="Arial" w:eastAsia="Arial" w:hAnsi="Arial"/>
                <w:sz w:val="18"/>
                <w:szCs w:val="18"/>
                <w:color w:val="auto"/>
              </w:rPr>
              <w:t>Company</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Buyer:</w:t>
            </w:r>
          </w:p>
        </w:tc>
        <w:tc>
          <w:tcPr>
            <w:tcW w:w="7000" w:type="dxa"/>
            <w:vAlign w:val="bottom"/>
          </w:tcPr>
          <w:p>
            <w:pPr>
              <w:ind w:left="1760"/>
              <w:spacing w:after="0"/>
              <w:rPr>
                <w:sz w:val="20"/>
                <w:szCs w:val="20"/>
                <w:color w:val="auto"/>
              </w:rPr>
            </w:pPr>
            <w:r>
              <w:rPr>
                <w:rFonts w:ascii="Arial" w:cs="Arial" w:eastAsia="Arial" w:hAnsi="Arial"/>
                <w:sz w:val="18"/>
                <w:szCs w:val="18"/>
                <w:color w:val="auto"/>
              </w:rPr>
              <w:t>Dealer</w:t>
            </w: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Shares:</w:t>
            </w:r>
          </w:p>
        </w:tc>
        <w:tc>
          <w:tcPr>
            <w:tcW w:w="7000" w:type="dxa"/>
            <w:vAlign w:val="bottom"/>
          </w:tcPr>
          <w:p>
            <w:pPr>
              <w:ind w:left="1760"/>
              <w:spacing w:after="0"/>
              <w:rPr>
                <w:sz w:val="20"/>
                <w:szCs w:val="20"/>
                <w:color w:val="auto"/>
              </w:rPr>
            </w:pPr>
            <w:r>
              <w:rPr>
                <w:rFonts w:ascii="Arial" w:cs="Arial" w:eastAsia="Arial" w:hAnsi="Arial"/>
                <w:sz w:val="18"/>
                <w:szCs w:val="18"/>
                <w:color w:val="auto"/>
                <w:w w:val="94"/>
              </w:rPr>
              <w:t>The Class A Common Stock of Counterparty, par value USD 0.00001</w:t>
            </w:r>
          </w:p>
        </w:tc>
      </w:tr>
      <w:tr>
        <w:trPr>
          <w:trHeight w:val="23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rPr>
              <w:t>per share (Exchange symbol “DBX”).</w:t>
            </w: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Number of Warrants:</w:t>
            </w:r>
          </w:p>
        </w:tc>
        <w:tc>
          <w:tcPr>
            <w:tcW w:w="7000" w:type="dxa"/>
            <w:vAlign w:val="bottom"/>
          </w:tcPr>
          <w:p>
            <w:pPr>
              <w:ind w:left="1760"/>
              <w:spacing w:after="0"/>
              <w:rPr>
                <w:sz w:val="20"/>
                <w:szCs w:val="20"/>
                <w:color w:val="auto"/>
              </w:rPr>
            </w:pPr>
            <w:r>
              <w:rPr>
                <w:rFonts w:ascii="Arial" w:cs="Arial" w:eastAsia="Arial" w:hAnsi="Arial"/>
                <w:sz w:val="18"/>
                <w:szCs w:val="18"/>
                <w:color w:val="auto"/>
              </w:rPr>
              <w:t>[ ]</w:t>
            </w:r>
            <w:r>
              <w:rPr>
                <w:rFonts w:ascii="Arial" w:cs="Arial" w:eastAsia="Arial" w:hAnsi="Arial"/>
                <w:sz w:val="15"/>
                <w:szCs w:val="15"/>
                <w:color w:val="auto"/>
              </w:rPr>
              <w:t>1</w:t>
            </w:r>
            <w:r>
              <w:rPr>
                <w:rFonts w:ascii="Arial" w:cs="Arial" w:eastAsia="Arial" w:hAnsi="Arial"/>
                <w:sz w:val="18"/>
                <w:szCs w:val="18"/>
                <w:color w:val="auto"/>
              </w:rPr>
              <w:t>. For the avoidance of doubt, the Number of Warrants shall be</w:t>
            </w:r>
          </w:p>
        </w:tc>
      </w:t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w w:val="87"/>
              </w:rPr>
              <w:t>reduced by any Warrants exercised or deemed exercised hereunder. In no</w:t>
            </w:r>
          </w:p>
        </w:tc>
      </w:tr>
      <w:tr>
        <w:trPr>
          <w:trHeight w:val="23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rPr>
              <w:t>event will the Number of Warrants be less than zero.</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Warrant Entitlement:</w:t>
            </w:r>
          </w:p>
        </w:tc>
        <w:tc>
          <w:tcPr>
            <w:tcW w:w="7000" w:type="dxa"/>
            <w:vAlign w:val="bottom"/>
          </w:tcPr>
          <w:p>
            <w:pPr>
              <w:ind w:left="1760"/>
              <w:spacing w:after="0"/>
              <w:rPr>
                <w:sz w:val="20"/>
                <w:szCs w:val="20"/>
                <w:color w:val="auto"/>
              </w:rPr>
            </w:pPr>
            <w:r>
              <w:rPr>
                <w:rFonts w:ascii="Arial" w:cs="Arial" w:eastAsia="Arial" w:hAnsi="Arial"/>
                <w:sz w:val="18"/>
                <w:szCs w:val="18"/>
                <w:color w:val="auto"/>
              </w:rPr>
              <w:t>One Share per Warrant</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Strike Price:</w:t>
            </w:r>
          </w:p>
        </w:tc>
        <w:tc>
          <w:tcPr>
            <w:tcW w:w="7000" w:type="dxa"/>
            <w:vAlign w:val="bottom"/>
          </w:tcPr>
          <w:p>
            <w:pPr>
              <w:ind w:left="1760"/>
              <w:spacing w:after="0"/>
              <w:rPr>
                <w:sz w:val="20"/>
                <w:szCs w:val="20"/>
                <w:color w:val="auto"/>
              </w:rPr>
            </w:pPr>
            <w:r>
              <w:rPr>
                <w:rFonts w:ascii="Arial" w:cs="Arial" w:eastAsia="Arial" w:hAnsi="Arial"/>
                <w:sz w:val="18"/>
                <w:szCs w:val="18"/>
                <w:color w:val="auto"/>
              </w:rPr>
              <w:t>USD[]</w:t>
            </w:r>
          </w:p>
        </w:tc>
      </w:tr>
      <w:tr>
        <w:trPr>
          <w:trHeight w:val="310"/>
        </w:trPr>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rPr>
              <w:t>Notwithstanding anything to the contrary in the Agreement, this</w:t>
            </w:r>
          </w:p>
        </w:tc>
      </w:t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w w:val="92"/>
              </w:rPr>
              <w:t>Confirmation or the Equity Definitions, in no event shall the Strike Price</w:t>
            </w:r>
          </w:p>
        </w:tc>
      </w:t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w w:val="95"/>
              </w:rPr>
              <w:t>be subject to adjustment to the extent that, after giving effect to such</w:t>
            </w:r>
          </w:p>
        </w:tc>
      </w:t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w w:val="93"/>
              </w:rPr>
              <w:t>adjustment, the Strike Price would be less than USD [ ], except for any</w:t>
            </w:r>
          </w:p>
        </w:tc>
      </w:t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w w:val="96"/>
              </w:rPr>
              <w:t>adjustment pursuant to the terms of this Confirmation and the Equity</w:t>
            </w:r>
          </w:p>
        </w:tc>
      </w:tr>
      <w:tr>
        <w:trPr>
          <w:trHeight w:val="216"/>
        </w:trPr>
        <w:tc>
          <w:tcPr>
            <w:tcW w:w="1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rPr>
              <w:t>Definitions in connection with stock splits or similar changes to</w:t>
            </w:r>
          </w:p>
        </w:tc>
      </w:tr>
      <w:tr>
        <w:trPr>
          <w:trHeight w:val="23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000" w:type="dxa"/>
            <w:vAlign w:val="bottom"/>
          </w:tcPr>
          <w:p>
            <w:pPr>
              <w:ind w:left="1760"/>
              <w:spacing w:after="0"/>
              <w:rPr>
                <w:sz w:val="20"/>
                <w:szCs w:val="20"/>
                <w:color w:val="auto"/>
              </w:rPr>
            </w:pPr>
            <w:r>
              <w:rPr>
                <w:rFonts w:ascii="Arial" w:cs="Arial" w:eastAsia="Arial" w:hAnsi="Arial"/>
                <w:sz w:val="18"/>
                <w:szCs w:val="18"/>
                <w:color w:val="auto"/>
              </w:rPr>
              <w:t>Company’s capitalization.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200" w:hanging="424"/>
        <w:spacing w:after="0" w:line="263" w:lineRule="auto"/>
        <w:tabs>
          <w:tab w:leader="none" w:pos="424" w:val="left"/>
        </w:tabs>
        <w:numPr>
          <w:ilvl w:val="0"/>
          <w:numId w:val="336"/>
        </w:numPr>
        <w:rPr>
          <w:rFonts w:ascii="Arial" w:cs="Arial" w:eastAsia="Arial" w:hAnsi="Arial"/>
          <w:sz w:val="15"/>
          <w:szCs w:val="15"/>
          <w:color w:val="auto"/>
        </w:rPr>
      </w:pPr>
      <w:r>
        <w:rPr>
          <w:rFonts w:ascii="Arial" w:cs="Arial" w:eastAsia="Arial" w:hAnsi="Arial"/>
          <w:sz w:val="18"/>
          <w:szCs w:val="18"/>
          <w:color w:val="auto"/>
        </w:rPr>
        <w:t xml:space="preserve">This is equal to (i) the number of Convertible Notes initially issued on the closing date for the Convertible Notes (or, for the Additional Warrant Confirmation, the number of additional Convertible Notes),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initial Conversion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(iii) the applicable percentage for Dealer.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Premium:</w:t>
            </w:r>
          </w:p>
        </w:tc>
        <w:tc>
          <w:tcPr>
            <w:tcW w:w="7020" w:type="dxa"/>
            <w:vAlign w:val="bottom"/>
          </w:tcPr>
          <w:p>
            <w:pPr>
              <w:ind w:left="1760"/>
              <w:spacing w:after="0"/>
              <w:rPr>
                <w:sz w:val="20"/>
                <w:szCs w:val="20"/>
                <w:color w:val="auto"/>
              </w:rPr>
            </w:pPr>
            <w:r>
              <w:rPr>
                <w:rFonts w:ascii="Arial" w:cs="Arial" w:eastAsia="Arial" w:hAnsi="Arial"/>
                <w:sz w:val="18"/>
                <w:szCs w:val="18"/>
                <w:color w:val="auto"/>
              </w:rPr>
              <w:t>USD[]</w:t>
            </w:r>
          </w:p>
        </w:tc>
      </w:tr>
      <w:tr>
        <w:trPr>
          <w:trHeight w:val="432"/>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Premium Payment Date:</w:t>
            </w:r>
          </w:p>
        </w:tc>
        <w:tc>
          <w:tcPr>
            <w:tcW w:w="7020" w:type="dxa"/>
            <w:vAlign w:val="bottom"/>
          </w:tcPr>
          <w:p>
            <w:pPr>
              <w:ind w:left="1760"/>
              <w:spacing w:after="0"/>
              <w:rPr>
                <w:sz w:val="20"/>
                <w:szCs w:val="20"/>
                <w:color w:val="auto"/>
              </w:rPr>
            </w:pPr>
            <w:r>
              <w:rPr>
                <w:rFonts w:ascii="Arial" w:cs="Arial" w:eastAsia="Arial" w:hAnsi="Arial"/>
                <w:sz w:val="18"/>
                <w:szCs w:val="18"/>
                <w:color w:val="auto"/>
              </w:rPr>
              <w:t>[ ], 2021</w:t>
            </w:r>
          </w:p>
        </w:tc>
      </w:tr>
      <w:tr>
        <w:trPr>
          <w:trHeight w:val="432"/>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Exchange:</w:t>
            </w:r>
          </w:p>
        </w:tc>
        <w:tc>
          <w:tcPr>
            <w:tcW w:w="7020" w:type="dxa"/>
            <w:vAlign w:val="bottom"/>
          </w:tcPr>
          <w:p>
            <w:pPr>
              <w:ind w:left="1760"/>
              <w:spacing w:after="0"/>
              <w:rPr>
                <w:sz w:val="20"/>
                <w:szCs w:val="20"/>
                <w:color w:val="auto"/>
              </w:rPr>
            </w:pPr>
            <w:r>
              <w:rPr>
                <w:rFonts w:ascii="Arial" w:cs="Arial" w:eastAsia="Arial" w:hAnsi="Arial"/>
                <w:sz w:val="18"/>
                <w:szCs w:val="18"/>
                <w:color w:val="auto"/>
              </w:rPr>
              <w:t>The NASDAQ Stock Market</w:t>
            </w:r>
          </w:p>
        </w:tc>
      </w:tr>
      <w:tr>
        <w:trPr>
          <w:trHeight w:val="418"/>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Related Exchange(s):</w:t>
            </w:r>
          </w:p>
        </w:tc>
        <w:tc>
          <w:tcPr>
            <w:tcW w:w="7020" w:type="dxa"/>
            <w:vAlign w:val="bottom"/>
          </w:tcPr>
          <w:p>
            <w:pPr>
              <w:ind w:left="1760"/>
              <w:spacing w:after="0"/>
              <w:rPr>
                <w:sz w:val="20"/>
                <w:szCs w:val="20"/>
                <w:color w:val="auto"/>
              </w:rPr>
            </w:pPr>
            <w:r>
              <w:rPr>
                <w:rFonts w:ascii="Arial" w:cs="Arial" w:eastAsia="Arial" w:hAnsi="Arial"/>
                <w:sz w:val="18"/>
                <w:szCs w:val="18"/>
                <w:color w:val="auto"/>
                <w:w w:val="92"/>
              </w:rPr>
              <w:t xml:space="preserve">All Exchanges;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Section 1.26 of the Equity Definitions shall</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rPr>
              <w:t>be amended to add the words “United States” before the word</w:t>
            </w:r>
          </w:p>
        </w:tc>
      </w:tr>
      <w:tr>
        <w:trPr>
          <w:trHeight w:val="230"/>
        </w:trPr>
        <w:tc>
          <w:tcPr>
            <w:tcW w:w="1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rPr>
              <w:t>“exchange” in the tenth line of such Section.</w:t>
            </w:r>
          </w:p>
        </w:tc>
      </w:tr>
      <w:tr>
        <w:trPr>
          <w:trHeight w:val="391"/>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Procedures for Exercise.</w:t>
            </w:r>
          </w:p>
        </w:tc>
        <w:tc>
          <w:tcPr>
            <w:tcW w:w="7020" w:type="dxa"/>
            <w:vAlign w:val="bottom"/>
          </w:tcPr>
          <w:p>
            <w:pPr>
              <w:spacing w:after="0"/>
              <w:rPr>
                <w:sz w:val="24"/>
                <w:szCs w:val="24"/>
                <w:color w:val="auto"/>
              </w:rPr>
            </w:pPr>
          </w:p>
        </w:tc>
      </w:tr>
      <w:tr>
        <w:trPr>
          <w:trHeight w:val="453"/>
        </w:trPr>
        <w:tc>
          <w:tcPr>
            <w:tcW w:w="17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Expiration Time:</w:t>
            </w:r>
          </w:p>
        </w:tc>
        <w:tc>
          <w:tcPr>
            <w:tcW w:w="1900" w:type="dxa"/>
            <w:vAlign w:val="bottom"/>
          </w:tcPr>
          <w:p>
            <w:pPr>
              <w:spacing w:after="0"/>
              <w:rPr>
                <w:sz w:val="24"/>
                <w:szCs w:val="24"/>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rPr>
              <w:t>The Valuation Time</w:t>
            </w:r>
          </w:p>
        </w:tc>
      </w:tr>
      <w:tr>
        <w:trPr>
          <w:trHeight w:val="418"/>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Expiration Dates:</w:t>
            </w:r>
          </w:p>
        </w:tc>
        <w:tc>
          <w:tcPr>
            <w:tcW w:w="7020" w:type="dxa"/>
            <w:vAlign w:val="bottom"/>
          </w:tcPr>
          <w:p>
            <w:pPr>
              <w:ind w:left="1760"/>
              <w:spacing w:after="0"/>
              <w:rPr>
                <w:sz w:val="20"/>
                <w:szCs w:val="20"/>
                <w:color w:val="auto"/>
              </w:rPr>
            </w:pPr>
            <w:r>
              <w:rPr>
                <w:rFonts w:ascii="Arial" w:cs="Arial" w:eastAsia="Arial" w:hAnsi="Arial"/>
                <w:sz w:val="18"/>
                <w:szCs w:val="18"/>
                <w:color w:val="auto"/>
              </w:rPr>
              <w:t>Each “ Expiration Date” set forth in Annex A hereto shall be an</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3"/>
              </w:rPr>
              <w:t>Expiration Date for a number of Warrants equal to the Daily Number of</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rPr>
              <w:t xml:space="preserve">Warrants for such Expiration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5"/>
              </w:rPr>
              <w:t>anything to the contrary in the Equity Definitions, if any such date is a</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5"/>
              </w:rPr>
              <w:t>Disrupted Day in whole or in part, (i) the Calculation Agent may make</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2"/>
              </w:rPr>
              <w:t>reasonable adjustments in good faith and in a commercially reasonable</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4"/>
              </w:rPr>
              <w:t>manner, if applicable, to the Daily Number of Warrants for which such</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89"/>
              </w:rPr>
              <w:t>date shall be an Expiration Date and shall designate a Scheduled Trading</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2"/>
              </w:rPr>
              <w:t>Day or Scheduled Trading Days following the last scheduled Expiration</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rPr>
              <w:t>Date as the Expiration Date(s) for the remaining Daily Number of</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9"/>
              </w:rPr>
              <w:t>Warrants for the originally scheduled Expiration Date and (ii) if the</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1"/>
              </w:rPr>
              <w:t>Daily Number of Warrants for such Disrupted Day is not reduced to zero</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3"/>
              </w:rPr>
              <w:t>pursuant to the foregoing clause (i), determine the Settlement Price for</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6"/>
              </w:rPr>
              <w:t>such Disrupted Day in a commercially reasonable manner based on</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0"/>
              </w:rPr>
              <w:t>transactions in the Shares on such Disrupted Day taking into account the</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3"/>
              </w:rPr>
              <w:t>nature and duration of such Market Disruption Event on such day; and</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i w:val="1"/>
                <w:iCs w:val="1"/>
                <w:color w:val="auto"/>
                <w:w w:val="93"/>
              </w:rPr>
              <w:t xml:space="preserve">provided further </w:t>
            </w:r>
            <w:r>
              <w:rPr>
                <w:rFonts w:ascii="Arial" w:cs="Arial" w:eastAsia="Arial" w:hAnsi="Arial"/>
                <w:sz w:val="18"/>
                <w:szCs w:val="18"/>
                <w:color w:val="auto"/>
                <w:w w:val="93"/>
              </w:rPr>
              <w:t>that if such Expiration Date has not occurred pursuant</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2"/>
              </w:rPr>
              <w:t>to this clause as of the eighth Scheduled Trading Day following the last</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1"/>
              </w:rPr>
              <w:t>scheduled Expiration Date under the Transaction, the Calculation Agent</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5"/>
              </w:rPr>
              <w:t>shall have the right to declare such Scheduled Trading Day to be the</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6"/>
              </w:rPr>
              <w:t>final Expiration Date and, notwithstanding anything to the contrary in</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9"/>
              </w:rPr>
              <w:t>this Confirmation or the Equity Definitions, the Settlement Price for</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3"/>
              </w:rPr>
              <w:t>such Expiration Date shall be the prevailing market value per Share as</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1"/>
              </w:rPr>
              <w:t>determined by the Calculation Agent in good faith and in a commercially</w:t>
            </w:r>
          </w:p>
        </w:tc>
      </w:tr>
      <w:tr>
        <w:trPr>
          <w:trHeight w:val="230"/>
        </w:trPr>
        <w:tc>
          <w:tcPr>
            <w:tcW w:w="1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rPr>
              <w:t>reasonable manner.</w:t>
            </w:r>
          </w:p>
        </w:tc>
      </w:tr>
      <w:tr>
        <w:trPr>
          <w:trHeight w:val="418"/>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First Expiration Date:</w:t>
            </w:r>
          </w:p>
        </w:tc>
        <w:tc>
          <w:tcPr>
            <w:tcW w:w="7020" w:type="dxa"/>
            <w:vAlign w:val="bottom"/>
          </w:tcPr>
          <w:p>
            <w:pPr>
              <w:ind w:left="1760"/>
              <w:spacing w:after="0"/>
              <w:rPr>
                <w:sz w:val="20"/>
                <w:szCs w:val="20"/>
                <w:color w:val="auto"/>
              </w:rPr>
            </w:pPr>
            <w:r>
              <w:rPr>
                <w:rFonts w:ascii="Arial" w:cs="Arial" w:eastAsia="Arial" w:hAnsi="Arial"/>
                <w:sz w:val="18"/>
                <w:szCs w:val="18"/>
                <w:color w:val="auto"/>
                <w:w w:val="94"/>
              </w:rPr>
              <w:t>June 1, 2026 (or if such day is not a Scheduled Trading Day, the next</w:t>
            </w:r>
          </w:p>
        </w:tc>
      </w:tr>
      <w:tr>
        <w:trPr>
          <w:trHeight w:val="216"/>
        </w:trPr>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w w:val="94"/>
              </w:rPr>
              <w:t>following Scheduled Trading Day), subject to Market Disruption Event</w:t>
            </w:r>
          </w:p>
        </w:tc>
      </w:tr>
      <w:tr>
        <w:trPr>
          <w:trHeight w:val="230"/>
        </w:trPr>
        <w:tc>
          <w:tcPr>
            <w:tcW w:w="1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20" w:type="dxa"/>
            <w:vAlign w:val="bottom"/>
          </w:tcPr>
          <w:p>
            <w:pPr>
              <w:ind w:left="1760"/>
              <w:spacing w:after="0"/>
              <w:rPr>
                <w:sz w:val="20"/>
                <w:szCs w:val="20"/>
                <w:color w:val="auto"/>
              </w:rPr>
            </w:pPr>
            <w:r>
              <w:rPr>
                <w:rFonts w:ascii="Arial" w:cs="Arial" w:eastAsia="Arial" w:hAnsi="Arial"/>
                <w:sz w:val="18"/>
                <w:szCs w:val="18"/>
                <w:color w:val="auto"/>
              </w:rPr>
              <w:t>below.</w:t>
            </w:r>
          </w:p>
        </w:tc>
      </w:tr>
      <w:tr>
        <w:trPr>
          <w:trHeight w:val="364"/>
        </w:trPr>
        <w:tc>
          <w:tcPr>
            <w:tcW w:w="1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20" w:type="dxa"/>
            <w:vAlign w:val="bottom"/>
          </w:tcPr>
          <w:p>
            <w:pPr>
              <w:ind w:left="1480"/>
              <w:spacing w:after="0"/>
              <w:rPr>
                <w:sz w:val="20"/>
                <w:szCs w:val="20"/>
                <w:color w:val="auto"/>
              </w:rPr>
            </w:pPr>
            <w:r>
              <w:rPr>
                <w:rFonts w:ascii="Arial" w:cs="Arial" w:eastAsia="Arial" w:hAnsi="Arial"/>
                <w:sz w:val="18"/>
                <w:szCs w:val="18"/>
                <w:color w:val="auto"/>
              </w:rPr>
              <w:t>3</w:t>
            </w:r>
          </w:p>
        </w:tc>
      </w:tr>
    </w:tbl>
    <w:p>
      <w:pPr>
        <w:ind w:left="1480"/>
        <w:spacing w:after="0"/>
        <w:rPr>
          <w:sz w:val="20"/>
          <w:szCs w:val="20"/>
          <w:color w:val="auto"/>
        </w:rPr>
        <w:sectPr>
          <w:pgSz w:w="11900" w:h="16838" w:orient="portrait"/>
          <w:cols w:equalWidth="0" w:num="1">
            <w:col w:w="10640"/>
          </w:cols>
          <w:pgMar w:left="800" w:top="490"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86" w:name="page287"/>
    <w:bookmarkEnd w:id="286"/>
    <w:tbl>
      <w:tblPr>
        <w:tblLayout w:type="fixed"/>
        <w:tblInd w:w="0" w:type="dxa"/>
        <w:tblCellMar>
          <w:top w:w="0" w:type="dxa"/>
          <w:left w:w="0" w:type="dxa"/>
          <w:bottom w:w="0" w:type="dxa"/>
          <w:right w:w="0" w:type="dxa"/>
        </w:tblCellMar>
      </w:tblPr>
      <w:tr>
        <w:trPr>
          <w:trHeight w:val="216"/>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Daily Number of Warrants:</w:t>
            </w:r>
          </w:p>
        </w:tc>
        <w:tc>
          <w:tcPr>
            <w:tcW w:w="6920" w:type="dxa"/>
            <w:vAlign w:val="bottom"/>
          </w:tcPr>
          <w:p>
            <w:pPr>
              <w:ind w:left="1660"/>
              <w:spacing w:after="0"/>
              <w:rPr>
                <w:sz w:val="20"/>
                <w:szCs w:val="20"/>
                <w:color w:val="auto"/>
              </w:rPr>
            </w:pPr>
            <w:r>
              <w:rPr>
                <w:rFonts w:ascii="Arial" w:cs="Arial" w:eastAsia="Arial" w:hAnsi="Arial"/>
                <w:sz w:val="18"/>
                <w:szCs w:val="18"/>
                <w:color w:val="auto"/>
              </w:rPr>
              <w:t>For any Expiration Date, the “Daily Number of Warrants” set forth</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2"/>
              </w:rPr>
              <w:t>opposite such Expiration Date in Annex A hereto, subject to adjustment</w:t>
            </w:r>
          </w:p>
        </w:tc>
      </w:tr>
      <w:tr>
        <w:trPr>
          <w:trHeight w:val="230"/>
        </w:trPr>
        <w:tc>
          <w:tcPr>
            <w:tcW w:w="1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pursuant to the provisos to “Expiration Dates”.</w:t>
            </w:r>
          </w:p>
        </w:tc>
      </w:tr>
      <w:tr>
        <w:trPr>
          <w:trHeight w:val="310"/>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Automatic Exercise:</w:t>
            </w:r>
          </w:p>
        </w:tc>
        <w:tc>
          <w:tcPr>
            <w:tcW w:w="6920" w:type="dxa"/>
            <w:vAlign w:val="bottom"/>
          </w:tcPr>
          <w:p>
            <w:pPr>
              <w:ind w:left="1660"/>
              <w:spacing w:after="0"/>
              <w:rPr>
                <w:sz w:val="20"/>
                <w:szCs w:val="20"/>
                <w:color w:val="auto"/>
              </w:rPr>
            </w:pPr>
            <w:r>
              <w:rPr>
                <w:rFonts w:ascii="Arial" w:cs="Arial" w:eastAsia="Arial" w:hAnsi="Arial"/>
                <w:sz w:val="18"/>
                <w:szCs w:val="18"/>
                <w:color w:val="auto"/>
              </w:rPr>
              <w:t>Applicable; and means that for each Expiration Date, a number of</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7"/>
              </w:rPr>
              <w:t>Warrants equal to the Daily Number of Warrants for such Expiration</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7"/>
              </w:rPr>
              <w:t>Date will be deemed to be automatically exercised at the Expiration</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0"/>
              </w:rPr>
              <w:t>Time on such Expiration Date, unless Buyer notifies Seller (by telephone</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2"/>
              </w:rPr>
              <w:t>or in writing) prior to the Expiration Time on such Expiration Date that it</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6"/>
              </w:rPr>
              <w:t>does not wish Automatic Exercise to occur, in which case Automatic</w:t>
            </w:r>
          </w:p>
        </w:tc>
      </w:tr>
      <w:tr>
        <w:trPr>
          <w:trHeight w:val="230"/>
        </w:trPr>
        <w:tc>
          <w:tcPr>
            <w:tcW w:w="1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Exercise will not apply to such Expiration Date.</w:t>
            </w:r>
          </w:p>
        </w:tc>
      </w:tr>
      <w:tr>
        <w:trPr>
          <w:trHeight w:val="310"/>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Market Disruption Event:</w:t>
            </w:r>
          </w:p>
        </w:tc>
        <w:tc>
          <w:tcPr>
            <w:tcW w:w="6920" w:type="dxa"/>
            <w:vAlign w:val="bottom"/>
          </w:tcPr>
          <w:p>
            <w:pPr>
              <w:ind w:left="1660"/>
              <w:spacing w:after="0"/>
              <w:rPr>
                <w:sz w:val="20"/>
                <w:szCs w:val="20"/>
                <w:color w:val="auto"/>
              </w:rPr>
            </w:pPr>
            <w:r>
              <w:rPr>
                <w:rFonts w:ascii="Arial" w:cs="Arial" w:eastAsia="Arial" w:hAnsi="Arial"/>
                <w:sz w:val="18"/>
                <w:szCs w:val="18"/>
                <w:color w:val="auto"/>
              </w:rPr>
              <w:t>Section 6.3(a) of the Equity Definitions is hereby amended by</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9"/>
              </w:rPr>
              <w:t>(A) deleting the words “during the one hour period that ends at the</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1"/>
              </w:rPr>
              <w:t>relevant Valuation Time, Latest Exercise Time, Knock-in Valuation Time</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2"/>
              </w:rPr>
              <w:t>or Knock-out Valuation Time, as the case may be,” in clause (ii) thereof</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5"/>
              </w:rPr>
              <w:t>and (B) by replacing the words “or (iii) an Early Closure.” therein with</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2"/>
              </w:rPr>
              <w:t>“(iii) an Early Closure, or (iv) a Regulatory Disruption; in each case, that</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2"/>
              </w:rPr>
              <w:t>the Calculation Agent determines is material based on its commercially</w:t>
            </w:r>
          </w:p>
        </w:tc>
      </w:tr>
      <w:tr>
        <w:trPr>
          <w:trHeight w:val="230"/>
        </w:trPr>
        <w:tc>
          <w:tcPr>
            <w:tcW w:w="1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reasonable judgment.”</w:t>
            </w:r>
          </w:p>
        </w:tc>
      </w:tr>
      <w:tr>
        <w:trPr>
          <w:trHeight w:val="310"/>
        </w:trPr>
        <w:tc>
          <w:tcPr>
            <w:tcW w:w="1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4"/>
              </w:rPr>
              <w:t>Section 6.3(d) of the Equity Definitions is hereby amended by deleting</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4"/>
              </w:rPr>
              <w:t>the remainder of the provision following the words “Scheduled Closing</w:t>
            </w:r>
          </w:p>
        </w:tc>
      </w:tr>
      <w:tr>
        <w:trPr>
          <w:trHeight w:val="230"/>
        </w:trPr>
        <w:tc>
          <w:tcPr>
            <w:tcW w:w="1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Time” in the fourth line thereof.</w:t>
            </w:r>
          </w:p>
        </w:tc>
      </w:tr>
      <w:tr>
        <w:trPr>
          <w:trHeight w:val="310"/>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Regulatory Disruption:</w:t>
            </w:r>
          </w:p>
        </w:tc>
        <w:tc>
          <w:tcPr>
            <w:tcW w:w="6920" w:type="dxa"/>
            <w:vAlign w:val="bottom"/>
          </w:tcPr>
          <w:p>
            <w:pPr>
              <w:ind w:left="1660"/>
              <w:spacing w:after="0"/>
              <w:rPr>
                <w:sz w:val="20"/>
                <w:szCs w:val="20"/>
                <w:color w:val="auto"/>
              </w:rPr>
            </w:pPr>
            <w:r>
              <w:rPr>
                <w:rFonts w:ascii="Arial" w:cs="Arial" w:eastAsia="Arial" w:hAnsi="Arial"/>
                <w:sz w:val="18"/>
                <w:szCs w:val="18"/>
                <w:color w:val="auto"/>
                <w:w w:val="92"/>
              </w:rPr>
              <w:t>Any event that Dealer, in its reasonable discretion, based on the advice</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5"/>
              </w:rPr>
              <w:t>of counsel, determines makes it appropriate, with regard to any legal,</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regulatory or self-regulatory requirements or related policies and</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procedures (so long as such requirements or related policies and</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procedures are similarly applicable to transactions similar to the</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9"/>
              </w:rPr>
              <w:t>Transaction and consistently applied), for Dealer to refrain from or</w:t>
            </w:r>
          </w:p>
        </w:tc>
      </w:tr>
      <w:tr>
        <w:trPr>
          <w:trHeight w:val="230"/>
        </w:trPr>
        <w:tc>
          <w:tcPr>
            <w:tcW w:w="1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decrease any market activity in connection with the Transaction.</w:t>
            </w:r>
          </w:p>
        </w:tc>
      </w:tr>
      <w:tr>
        <w:trPr>
          <w:trHeight w:val="283"/>
        </w:trPr>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Valuation Terms</w:t>
            </w:r>
            <w:r>
              <w:rPr>
                <w:rFonts w:ascii="Arial" w:cs="Arial" w:eastAsia="Arial" w:hAnsi="Arial"/>
                <w:sz w:val="18"/>
                <w:szCs w:val="18"/>
                <w:color w:val="auto"/>
              </w:rPr>
              <w:t>.</w:t>
            </w:r>
          </w:p>
        </w:tc>
        <w:tc>
          <w:tcPr>
            <w:tcW w:w="692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30"/>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Valuation Time:</w:t>
            </w:r>
          </w:p>
        </w:tc>
        <w:tc>
          <w:tcPr>
            <w:tcW w:w="6920" w:type="dxa"/>
            <w:vAlign w:val="bottom"/>
          </w:tcPr>
          <w:p>
            <w:pPr>
              <w:ind w:left="1660"/>
              <w:spacing w:after="0"/>
              <w:rPr>
                <w:sz w:val="20"/>
                <w:szCs w:val="20"/>
                <w:color w:val="auto"/>
              </w:rPr>
            </w:pPr>
            <w:r>
              <w:rPr>
                <w:rFonts w:ascii="Arial" w:cs="Arial" w:eastAsia="Arial" w:hAnsi="Arial"/>
                <w:sz w:val="18"/>
                <w:szCs w:val="18"/>
                <w:color w:val="auto"/>
                <w:w w:val="92"/>
              </w:rPr>
              <w:t xml:space="preserve">Scheduled Closing Time;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the principal trading session is</w:t>
            </w:r>
          </w:p>
        </w:tc>
      </w:tr>
      <w:tr>
        <w:trPr>
          <w:trHeight w:val="216"/>
        </w:trPr>
        <w:tc>
          <w:tcPr>
            <w:tcW w:w="1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w w:val="94"/>
              </w:rPr>
              <w:t>extended, the Calculation Agent shall determine the Valuation Time in</w:t>
            </w:r>
          </w:p>
        </w:tc>
      </w:tr>
      <w:tr>
        <w:trPr>
          <w:trHeight w:val="230"/>
        </w:trPr>
        <w:tc>
          <w:tcPr>
            <w:tcW w:w="11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20" w:type="dxa"/>
            <w:vAlign w:val="bottom"/>
          </w:tcPr>
          <w:p>
            <w:pPr>
              <w:ind w:left="1660"/>
              <w:spacing w:after="0"/>
              <w:rPr>
                <w:sz w:val="20"/>
                <w:szCs w:val="20"/>
                <w:color w:val="auto"/>
              </w:rPr>
            </w:pPr>
            <w:r>
              <w:rPr>
                <w:rFonts w:ascii="Arial" w:cs="Arial" w:eastAsia="Arial" w:hAnsi="Arial"/>
                <w:sz w:val="18"/>
                <w:szCs w:val="18"/>
                <w:color w:val="auto"/>
              </w:rPr>
              <w:t>good faith and in a commercially reasonable manner.</w:t>
            </w:r>
          </w:p>
        </w:tc>
      </w:tr>
      <w:tr>
        <w:trPr>
          <w:trHeight w:val="324"/>
        </w:trPr>
        <w:tc>
          <w:tcPr>
            <w:tcW w:w="3720" w:type="dxa"/>
            <w:vAlign w:val="bottom"/>
            <w:gridSpan w:val="2"/>
          </w:tcPr>
          <w:p>
            <w:pPr>
              <w:ind w:left="360"/>
              <w:spacing w:after="0"/>
              <w:rPr>
                <w:sz w:val="20"/>
                <w:szCs w:val="20"/>
                <w:color w:val="auto"/>
              </w:rPr>
            </w:pPr>
            <w:r>
              <w:rPr>
                <w:rFonts w:ascii="Arial" w:cs="Arial" w:eastAsia="Arial" w:hAnsi="Arial"/>
                <w:sz w:val="18"/>
                <w:szCs w:val="18"/>
                <w:color w:val="auto"/>
              </w:rPr>
              <w:t>Valuation Date:</w:t>
            </w:r>
          </w:p>
        </w:tc>
        <w:tc>
          <w:tcPr>
            <w:tcW w:w="6920" w:type="dxa"/>
            <w:vAlign w:val="bottom"/>
          </w:tcPr>
          <w:p>
            <w:pPr>
              <w:ind w:left="1660"/>
              <w:spacing w:after="0"/>
              <w:rPr>
                <w:sz w:val="20"/>
                <w:szCs w:val="20"/>
                <w:color w:val="auto"/>
              </w:rPr>
            </w:pPr>
            <w:r>
              <w:rPr>
                <w:rFonts w:ascii="Arial" w:cs="Arial" w:eastAsia="Arial" w:hAnsi="Arial"/>
                <w:sz w:val="18"/>
                <w:szCs w:val="18"/>
                <w:color w:val="auto"/>
              </w:rPr>
              <w:t>Each Exercise Date.</w:t>
            </w:r>
          </w:p>
        </w:tc>
      </w:tr>
      <w:tr>
        <w:trPr>
          <w:trHeight w:val="365"/>
        </w:trPr>
        <w:tc>
          <w:tcPr>
            <w:tcW w:w="1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920" w:type="dxa"/>
            <w:vAlign w:val="bottom"/>
          </w:tcPr>
          <w:p>
            <w:pPr>
              <w:ind w:left="1380"/>
              <w:spacing w:after="0"/>
              <w:rPr>
                <w:sz w:val="20"/>
                <w:szCs w:val="20"/>
                <w:color w:val="auto"/>
              </w:rPr>
            </w:pPr>
            <w:r>
              <w:rPr>
                <w:rFonts w:ascii="Arial" w:cs="Arial" w:eastAsia="Arial" w:hAnsi="Arial"/>
                <w:sz w:val="18"/>
                <w:szCs w:val="18"/>
                <w:color w:val="auto"/>
              </w:rPr>
              <w:t>4</w:t>
            </w:r>
          </w:p>
        </w:tc>
      </w:tr>
    </w:tbl>
    <w:p>
      <w:pPr>
        <w:ind w:left="1380"/>
        <w:spacing w:after="0"/>
        <w:rPr>
          <w:sz w:val="20"/>
          <w:szCs w:val="20"/>
          <w:color w:val="auto"/>
        </w:rPr>
        <w:sectPr>
          <w:pgSz w:w="11900" w:h="16838" w:orient="portrait"/>
          <w:cols w:equalWidth="0" w:num="1">
            <w:col w:w="10640"/>
          </w:cols>
          <w:pgMar w:left="80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87" w:name="page288"/>
    <w:bookmarkEnd w:id="287"/>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Settlement Terms</w:t>
            </w:r>
            <w:r>
              <w:rPr>
                <w:rFonts w:ascii="Arial" w:cs="Arial" w:eastAsia="Arial" w:hAnsi="Arial"/>
                <w:sz w:val="18"/>
                <w:szCs w:val="18"/>
                <w:color w:val="auto"/>
              </w:rPr>
              <w:t>.</w:t>
            </w:r>
          </w:p>
        </w:tc>
        <w:tc>
          <w:tcPr>
            <w:tcW w:w="6680" w:type="dxa"/>
            <w:vAlign w:val="bottom"/>
          </w:tcPr>
          <w:p>
            <w:pPr>
              <w:spacing w:after="0"/>
              <w:rPr>
                <w:sz w:val="17"/>
                <w:szCs w:val="17"/>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30"/>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Settlement Method Election:</w:t>
            </w:r>
          </w:p>
        </w:tc>
        <w:tc>
          <w:tcPr>
            <w:tcW w:w="6680" w:type="dxa"/>
            <w:vAlign w:val="bottom"/>
          </w:tcPr>
          <w:p>
            <w:pPr>
              <w:ind w:left="142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references to “Physical Settlement” in</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3"/>
              </w:rPr>
              <w:t>Section 7.1 of the Equity Definitions shall be replaced by references to</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2"/>
              </w:rPr>
              <w:t>“Net Share Settlement”; (ii) Company may elect Cash Settlement only if</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6"/>
              </w:rPr>
              <w:t>Company represents and warrants to Dealer in writing on the date of</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7"/>
              </w:rPr>
              <w:t>such election that (A) Company is not in possession of any material</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non-public information with respect to Company or the Shares,</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0"/>
              </w:rPr>
              <w:t>(B) Company is electing Cash Settlement in good faith and not as part of</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3"/>
              </w:rPr>
              <w:t>a plan or scheme to evade compliance with the federal securities laws,</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and (C) the assets of Company at their fair valuation exceed the</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8"/>
              </w:rPr>
              <w:t>liabilities of Company (including contingent liabilities), the capital of</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Company is adequate to conduct the business of Company, and</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3"/>
              </w:rPr>
              <w:t>Company has the ability to pay its debts and obligations as such debts</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2"/>
              </w:rPr>
              <w:t>mature and does not intend to, or does not believe that it will, incur debt</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0"/>
              </w:rPr>
              <w:t>beyond its ability to pay as such debts mature; and (iii) the same election</w:t>
            </w:r>
          </w:p>
        </w:tc>
      </w:tr>
      <w:tr>
        <w:trPr>
          <w:trHeight w:val="230"/>
        </w:trPr>
        <w:tc>
          <w:tcPr>
            <w:tcW w:w="1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8"/>
              </w:rPr>
              <w:t>of settlement method shall apply to all Expiration Dates hereunder.</w:t>
            </w:r>
          </w:p>
        </w:tc>
      </w:tr>
      <w:tr>
        <w:trPr>
          <w:trHeight w:val="324"/>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Electing Party:</w:t>
            </w:r>
          </w:p>
        </w:tc>
        <w:tc>
          <w:tcPr>
            <w:tcW w:w="6680" w:type="dxa"/>
            <w:vAlign w:val="bottom"/>
          </w:tcPr>
          <w:p>
            <w:pPr>
              <w:ind w:left="1420"/>
              <w:spacing w:after="0"/>
              <w:rPr>
                <w:sz w:val="20"/>
                <w:szCs w:val="20"/>
                <w:color w:val="auto"/>
              </w:rPr>
            </w:pPr>
            <w:r>
              <w:rPr>
                <w:rFonts w:ascii="Arial" w:cs="Arial" w:eastAsia="Arial" w:hAnsi="Arial"/>
                <w:sz w:val="18"/>
                <w:szCs w:val="18"/>
                <w:color w:val="auto"/>
              </w:rPr>
              <w:t>Company</w:t>
            </w:r>
          </w:p>
        </w:tc>
      </w:tr>
      <w:tr>
        <w:trPr>
          <w:trHeight w:val="310"/>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Settlement Method Election Date:</w:t>
            </w:r>
          </w:p>
        </w:tc>
        <w:tc>
          <w:tcPr>
            <w:tcW w:w="6680" w:type="dxa"/>
            <w:vAlign w:val="bottom"/>
          </w:tcPr>
          <w:p>
            <w:pPr>
              <w:ind w:left="1420"/>
              <w:spacing w:after="0"/>
              <w:rPr>
                <w:sz w:val="20"/>
                <w:szCs w:val="20"/>
                <w:color w:val="auto"/>
              </w:rPr>
            </w:pPr>
            <w:r>
              <w:rPr>
                <w:rFonts w:ascii="Arial" w:cs="Arial" w:eastAsia="Arial" w:hAnsi="Arial"/>
                <w:sz w:val="18"/>
                <w:szCs w:val="18"/>
                <w:color w:val="auto"/>
              </w:rPr>
              <w:t>The second Scheduled Trading Day immediately preceding the</w:t>
            </w:r>
          </w:p>
        </w:tc>
      </w:tr>
      <w:tr>
        <w:trPr>
          <w:trHeight w:val="230"/>
        </w:trPr>
        <w:tc>
          <w:tcPr>
            <w:tcW w:w="1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scheduled First Expiration Date.</w:t>
            </w:r>
          </w:p>
        </w:tc>
      </w:tr>
      <w:tr>
        <w:trPr>
          <w:trHeight w:val="324"/>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Default Settlement Method:</w:t>
            </w:r>
          </w:p>
        </w:tc>
        <w:tc>
          <w:tcPr>
            <w:tcW w:w="6680" w:type="dxa"/>
            <w:vAlign w:val="bottom"/>
          </w:tcPr>
          <w:p>
            <w:pPr>
              <w:ind w:left="1420"/>
              <w:spacing w:after="0"/>
              <w:rPr>
                <w:sz w:val="20"/>
                <w:szCs w:val="20"/>
                <w:color w:val="auto"/>
              </w:rPr>
            </w:pPr>
            <w:r>
              <w:rPr>
                <w:rFonts w:ascii="Arial" w:cs="Arial" w:eastAsia="Arial" w:hAnsi="Arial"/>
                <w:sz w:val="18"/>
                <w:szCs w:val="18"/>
                <w:color w:val="auto"/>
              </w:rPr>
              <w:t>Net Share Settlement.</w:t>
            </w:r>
          </w:p>
        </w:tc>
      </w:tr>
      <w:tr>
        <w:trPr>
          <w:trHeight w:val="310"/>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Net Share Settlement:</w:t>
            </w:r>
          </w:p>
        </w:tc>
        <w:tc>
          <w:tcPr>
            <w:tcW w:w="6680" w:type="dxa"/>
            <w:vAlign w:val="bottom"/>
          </w:tcPr>
          <w:p>
            <w:pPr>
              <w:ind w:left="1420"/>
              <w:spacing w:after="0"/>
              <w:rPr>
                <w:sz w:val="20"/>
                <w:szCs w:val="20"/>
                <w:color w:val="auto"/>
              </w:rPr>
            </w:pPr>
            <w:r>
              <w:rPr>
                <w:rFonts w:ascii="Arial" w:cs="Arial" w:eastAsia="Arial" w:hAnsi="Arial"/>
                <w:sz w:val="18"/>
                <w:szCs w:val="18"/>
                <w:color w:val="auto"/>
                <w:w w:val="95"/>
              </w:rPr>
              <w:t>If Net Share Settlement is applicable, then on the relevant Settlement</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2"/>
              </w:rPr>
              <w:t>Date, Company shall deliver to Dealer a number of Shares equal to the</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Share Delivery Quantity for such Settlement Date to the account</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6"/>
              </w:rPr>
              <w:t>specified herein free of payment through the Clearance System, and</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0"/>
              </w:rPr>
              <w:t>Dealer shall be treated as the holder of record of such Shares at the time</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8"/>
              </w:rPr>
              <w:t>of delivery of such Shares or, if earlier, at 5:00 p.m. (New York City</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0"/>
              </w:rPr>
              <w:t>time) on such Settlement Date, and Company shall pay to Dealer cash in</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89"/>
              </w:rPr>
              <w:t>lieu of any fractional Share valued at the Settlement Price on the relevant</w:t>
            </w:r>
          </w:p>
        </w:tc>
      </w:tr>
      <w:tr>
        <w:trPr>
          <w:trHeight w:val="230"/>
        </w:trPr>
        <w:tc>
          <w:tcPr>
            <w:tcW w:w="1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Valuation Date.</w:t>
            </w:r>
          </w:p>
        </w:tc>
      </w:tr>
      <w:tr>
        <w:trPr>
          <w:trHeight w:val="310"/>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Share Delivery Quantity:</w:t>
            </w:r>
          </w:p>
        </w:tc>
        <w:tc>
          <w:tcPr>
            <w:tcW w:w="6680" w:type="dxa"/>
            <w:vAlign w:val="bottom"/>
          </w:tcPr>
          <w:p>
            <w:pPr>
              <w:ind w:left="1420"/>
              <w:spacing w:after="0"/>
              <w:rPr>
                <w:sz w:val="20"/>
                <w:szCs w:val="20"/>
                <w:color w:val="auto"/>
              </w:rPr>
            </w:pPr>
            <w:r>
              <w:rPr>
                <w:rFonts w:ascii="Arial" w:cs="Arial" w:eastAsia="Arial" w:hAnsi="Arial"/>
                <w:sz w:val="18"/>
                <w:szCs w:val="18"/>
                <w:color w:val="auto"/>
                <w:w w:val="98"/>
              </w:rPr>
              <w:t>For any Settlement Date, a number of Shares, as calculated by the</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3"/>
              </w:rPr>
              <w:t>Calculation Agent, equal to the Net Share Settlement Amount for such</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3"/>
              </w:rPr>
              <w:t xml:space="preserve">Settlement Date </w:t>
            </w:r>
            <w:r>
              <w:rPr>
                <w:rFonts w:ascii="Arial" w:cs="Arial" w:eastAsia="Arial" w:hAnsi="Arial"/>
                <w:sz w:val="18"/>
                <w:szCs w:val="18"/>
                <w:i w:val="1"/>
                <w:iCs w:val="1"/>
                <w:color w:val="auto"/>
                <w:w w:val="93"/>
              </w:rPr>
              <w:t>divided by</w:t>
            </w:r>
            <w:r>
              <w:rPr>
                <w:rFonts w:ascii="Arial" w:cs="Arial" w:eastAsia="Arial" w:hAnsi="Arial"/>
                <w:sz w:val="18"/>
                <w:szCs w:val="18"/>
                <w:color w:val="auto"/>
                <w:w w:val="93"/>
              </w:rPr>
              <w:t xml:space="preserve"> the Settlement Price on the Valuation Date</w:t>
            </w:r>
          </w:p>
        </w:tc>
      </w:tr>
      <w:tr>
        <w:trPr>
          <w:trHeight w:val="230"/>
        </w:trPr>
        <w:tc>
          <w:tcPr>
            <w:tcW w:w="1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for such Settlement Date.</w:t>
            </w:r>
          </w:p>
        </w:tc>
      </w:tr>
      <w:tr>
        <w:trPr>
          <w:trHeight w:val="310"/>
        </w:trPr>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4"/>
              </w:rPr>
              <w:t>The Share Delivery Quantity shall be delivered by Company to Dealer</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no later than 12:00 noon (New York City time) on the relevant</w:t>
            </w:r>
          </w:p>
        </w:tc>
      </w:tr>
      <w:tr>
        <w:trPr>
          <w:trHeight w:val="230"/>
        </w:trPr>
        <w:tc>
          <w:tcPr>
            <w:tcW w:w="1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Settlement Date.</w:t>
            </w:r>
          </w:p>
        </w:tc>
      </w:tr>
      <w:tr>
        <w:trPr>
          <w:trHeight w:val="310"/>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Net Share Settlement Amount:</w:t>
            </w:r>
          </w:p>
        </w:tc>
        <w:tc>
          <w:tcPr>
            <w:tcW w:w="6680" w:type="dxa"/>
            <w:vAlign w:val="bottom"/>
          </w:tcPr>
          <w:p>
            <w:pPr>
              <w:ind w:left="1420"/>
              <w:spacing w:after="0"/>
              <w:rPr>
                <w:sz w:val="20"/>
                <w:szCs w:val="20"/>
                <w:color w:val="auto"/>
              </w:rPr>
            </w:pPr>
            <w:r>
              <w:rPr>
                <w:rFonts w:ascii="Arial" w:cs="Arial" w:eastAsia="Arial" w:hAnsi="Arial"/>
                <w:sz w:val="18"/>
                <w:szCs w:val="18"/>
                <w:color w:val="auto"/>
                <w:w w:val="99"/>
              </w:rPr>
              <w:t>For any Settlement Date, an amount equal to the product of (i) the</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7"/>
              </w:rPr>
              <w:t>number of Warrants exercised or deemed exercised on the relevant</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2"/>
              </w:rPr>
              <w:t>Exercise Date, (ii) the Strike Price Differential for the relevant Valuation</w:t>
            </w:r>
          </w:p>
        </w:tc>
      </w:tr>
      <w:tr>
        <w:trPr>
          <w:trHeight w:val="230"/>
        </w:trPr>
        <w:tc>
          <w:tcPr>
            <w:tcW w:w="1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Date and (iii) the Warrant Entitlement.</w:t>
            </w:r>
          </w:p>
        </w:tc>
      </w:tr>
      <w:tr>
        <w:trPr>
          <w:trHeight w:val="310"/>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Settlement Price:</w:t>
            </w:r>
          </w:p>
        </w:tc>
        <w:tc>
          <w:tcPr>
            <w:tcW w:w="6680" w:type="dxa"/>
            <w:vAlign w:val="bottom"/>
          </w:tcPr>
          <w:p>
            <w:pPr>
              <w:ind w:left="1420"/>
              <w:spacing w:after="0"/>
              <w:rPr>
                <w:sz w:val="20"/>
                <w:szCs w:val="20"/>
                <w:color w:val="auto"/>
              </w:rPr>
            </w:pPr>
            <w:r>
              <w:rPr>
                <w:rFonts w:ascii="Arial" w:cs="Arial" w:eastAsia="Arial" w:hAnsi="Arial"/>
                <w:sz w:val="18"/>
                <w:szCs w:val="18"/>
                <w:color w:val="auto"/>
                <w:w w:val="89"/>
              </w:rPr>
              <w:t>For any Valuation Date, the per Share volume-weighted average price as</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5"/>
              </w:rPr>
              <w:t>displayed under the heading “Bloomberg VWAP” on Bloomberg page</w:t>
            </w:r>
          </w:p>
        </w:tc>
      </w:tr>
      <w:tr>
        <w:trPr>
          <w:trHeight w:val="216"/>
        </w:trPr>
        <w:tc>
          <w:tcPr>
            <w:tcW w:w="1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w w:val="93"/>
              </w:rPr>
              <w:t>DBX &lt;equity&gt; AQR (or any successor thereto) in respect of the regular</w:t>
            </w:r>
          </w:p>
        </w:tc>
      </w:tr>
      <w:tr>
        <w:trPr>
          <w:trHeight w:val="230"/>
        </w:trPr>
        <w:tc>
          <w:tcPr>
            <w:tcW w:w="1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ind w:left="1420"/>
              <w:spacing w:after="0"/>
              <w:rPr>
                <w:sz w:val="20"/>
                <w:szCs w:val="20"/>
                <w:color w:val="auto"/>
              </w:rPr>
            </w:pPr>
            <w:r>
              <w:rPr>
                <w:rFonts w:ascii="Arial" w:cs="Arial" w:eastAsia="Arial" w:hAnsi="Arial"/>
                <w:sz w:val="18"/>
                <w:szCs w:val="18"/>
                <w:color w:val="auto"/>
              </w:rPr>
              <w:t>trading session</w:t>
            </w:r>
          </w:p>
        </w:tc>
      </w:tr>
      <w:tr>
        <w:trPr>
          <w:trHeight w:val="365"/>
        </w:trPr>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680" w:type="dxa"/>
            <w:vAlign w:val="bottom"/>
          </w:tcPr>
          <w:p>
            <w:pPr>
              <w:ind w:left="1140"/>
              <w:spacing w:after="0"/>
              <w:rPr>
                <w:sz w:val="20"/>
                <w:szCs w:val="20"/>
                <w:color w:val="auto"/>
              </w:rPr>
            </w:pPr>
            <w:r>
              <w:rPr>
                <w:rFonts w:ascii="Arial" w:cs="Arial" w:eastAsia="Arial" w:hAnsi="Arial"/>
                <w:sz w:val="18"/>
                <w:szCs w:val="18"/>
                <w:color w:val="auto"/>
              </w:rPr>
              <w:t>5</w:t>
            </w:r>
          </w:p>
        </w:tc>
      </w:tr>
    </w:tbl>
    <w:p>
      <w:pPr>
        <w:ind w:left="1140"/>
        <w:spacing w:after="0"/>
        <w:rPr>
          <w:sz w:val="20"/>
          <w:szCs w:val="20"/>
          <w:color w:val="auto"/>
        </w:rPr>
        <w:sectPr>
          <w:pgSz w:w="11900" w:h="16838" w:orient="portrait"/>
          <w:cols w:equalWidth="0" w:num="1">
            <w:col w:w="10640"/>
          </w:cols>
          <w:pgMar w:left="800" w:top="257"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Dates:</w:t>
      </w:r>
    </w:p>
    <w:p>
      <w:pPr>
        <w:spacing w:after="0" w:line="33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34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4"/>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Strike Price Differential</w:t>
      </w:r>
    </w:p>
    <w:p>
      <w:pPr>
        <w:spacing w:after="0" w:line="200" w:lineRule="exact"/>
        <w:rPr>
          <w:sz w:val="20"/>
          <w:szCs w:val="20"/>
          <w:color w:val="auto"/>
        </w:rPr>
      </w:pPr>
    </w:p>
    <w:p>
      <w:pPr>
        <w:spacing w:after="0" w:line="345" w:lineRule="exact"/>
        <w:rPr>
          <w:sz w:val="20"/>
          <w:szCs w:val="20"/>
          <w:color w:val="auto"/>
        </w:rPr>
      </w:pPr>
    </w:p>
    <w:p>
      <w:pPr>
        <w:ind w:left="364" w:right="720" w:hanging="364"/>
        <w:spacing w:after="0" w:line="434" w:lineRule="auto"/>
        <w:tabs>
          <w:tab w:leader="none" w:pos="355"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Additional Terms applicable to the Transaction. </w:t>
      </w:r>
      <w:r>
        <w:rPr>
          <w:rFonts w:ascii="Arial" w:cs="Arial" w:eastAsia="Arial" w:hAnsi="Arial"/>
          <w:sz w:val="16"/>
          <w:szCs w:val="16"/>
          <w:color w:val="auto"/>
        </w:rPr>
        <w:t>Adjustments applicable to the Transaction:</w:t>
      </w:r>
    </w:p>
    <w:p>
      <w:pPr>
        <w:ind w:left="724"/>
        <w:spacing w:after="0"/>
        <w:rPr>
          <w:rFonts w:ascii="Arial" w:cs="Arial" w:eastAsia="Arial" w:hAnsi="Arial"/>
          <w:sz w:val="16"/>
          <w:szCs w:val="16"/>
          <w:b w:val="1"/>
          <w:bCs w:val="1"/>
          <w:color w:val="auto"/>
        </w:rPr>
      </w:pPr>
      <w:r>
        <w:rPr>
          <w:rFonts w:ascii="Arial" w:cs="Arial" w:eastAsia="Arial" w:hAnsi="Arial"/>
          <w:sz w:val="18"/>
          <w:szCs w:val="18"/>
          <w:color w:val="auto"/>
        </w:rPr>
        <w:t>Method of Adjustment:</w:t>
      </w:r>
    </w:p>
    <w:p>
      <w:pPr>
        <w:spacing w:after="0" w:line="20" w:lineRule="exact"/>
        <w:rPr>
          <w:sz w:val="20"/>
          <w:szCs w:val="20"/>
          <w:color w:val="auto"/>
        </w:rPr>
      </w:pPr>
      <w:r>
        <w:rPr>
          <w:sz w:val="20"/>
          <w:szCs w:val="20"/>
          <w:color w:val="auto"/>
        </w:rPr>
        <w:br w:type="column"/>
      </w:r>
    </w:p>
    <w:p>
      <w:pPr>
        <w:ind w:left="280" w:right="60"/>
        <w:spacing w:after="0" w:line="291" w:lineRule="auto"/>
        <w:rPr>
          <w:sz w:val="20"/>
          <w:szCs w:val="20"/>
          <w:color w:val="auto"/>
        </w:rPr>
      </w:pPr>
      <w:r>
        <w:rPr>
          <w:rFonts w:ascii="Arial" w:cs="Arial" w:eastAsia="Arial" w:hAnsi="Arial"/>
          <w:sz w:val="16"/>
          <w:szCs w:val="16"/>
          <w:color w:val="auto"/>
        </w:rPr>
        <w:t>(including any extensions thereof but without regard to pre-open or after hours trading outside of such regular trading session) on such Valuation Date (or if such price is unavailable or manifestly incorrect, the market value of one Share on such Valuation Date, as determined by the Calculation Agent in good faith and in a commercially reasonable manner based on generally available market data for transactions of this type using, if practicable, a volume-weighted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-1076325</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8" w:lineRule="exact"/>
        <w:rPr>
          <w:sz w:val="20"/>
          <w:szCs w:val="20"/>
          <w:color w:val="auto"/>
        </w:rPr>
      </w:pPr>
    </w:p>
    <w:p>
      <w:pPr>
        <w:ind w:left="280" w:right="60"/>
        <w:spacing w:after="0" w:line="277" w:lineRule="auto"/>
        <w:rPr>
          <w:sz w:val="20"/>
          <w:szCs w:val="20"/>
          <w:color w:val="auto"/>
        </w:rPr>
      </w:pPr>
      <w:r>
        <w:rPr>
          <w:rFonts w:ascii="Arial" w:cs="Arial" w:eastAsia="Arial" w:hAnsi="Arial"/>
          <w:sz w:val="18"/>
          <w:szCs w:val="18"/>
          <w:color w:val="auto"/>
        </w:rPr>
        <w:t>As determined pursuant to Section 9.4 of the Equity Definitions, subject to Section 9(j) hereof.</w:t>
      </w:r>
    </w:p>
    <w:p>
      <w:pPr>
        <w:spacing w:after="0" w:line="62" w:lineRule="exact"/>
        <w:rPr>
          <w:sz w:val="20"/>
          <w:szCs w:val="20"/>
          <w:color w:val="auto"/>
        </w:rPr>
      </w:pPr>
    </w:p>
    <w:p>
      <w:pPr>
        <w:ind w:left="280" w:right="120"/>
        <w:spacing w:after="0" w:line="286" w:lineRule="auto"/>
        <w:rPr>
          <w:sz w:val="20"/>
          <w:szCs w:val="20"/>
          <w:color w:val="auto"/>
        </w:rPr>
      </w:pPr>
      <w:r>
        <w:rPr>
          <w:rFonts w:ascii="Arial" w:cs="Arial" w:eastAsia="Arial" w:hAnsi="Arial"/>
          <w:sz w:val="17"/>
          <w:szCs w:val="17"/>
          <w:color w:val="auto"/>
        </w:rPr>
        <w:t>In the event Net Share Settlement is applicable, the provisions of Sections 9.1(c), 9.8, 9.9, 9.11 and 9.12 of the Equity Definitions will be applicable, as if Physical Settlement applied to the Transaction.</w:t>
      </w:r>
    </w:p>
    <w:p>
      <w:pPr>
        <w:spacing w:after="0" w:line="57" w:lineRule="exact"/>
        <w:rPr>
          <w:sz w:val="20"/>
          <w:szCs w:val="20"/>
          <w:color w:val="auto"/>
        </w:rPr>
      </w:pPr>
    </w:p>
    <w:p>
      <w:pPr>
        <w:ind w:left="280" w:right="140"/>
        <w:spacing w:after="0" w:line="257" w:lineRule="auto"/>
        <w:rPr>
          <w:sz w:val="20"/>
          <w:szCs w:val="20"/>
          <w:color w:val="auto"/>
        </w:rPr>
      </w:pPr>
      <w:r>
        <w:rPr>
          <w:rFonts w:ascii="Arial" w:cs="Arial" w:eastAsia="Arial" w:hAnsi="Arial"/>
          <w:sz w:val="18"/>
          <w:szCs w:val="18"/>
          <w:color w:val="auto"/>
        </w:rPr>
        <w:t>Notwithstanding Section 9.11 of the Equity Definitions, the parties acknowledge that any Shares delivered to Dealer in the event of Net Share Settlement may be, upon delivery, subject to restrictions and limitations arising from Company’s status as Issuer of the Shares under applicable securities laws.</w:t>
      </w:r>
    </w:p>
    <w:p>
      <w:pPr>
        <w:spacing w:after="0" w:line="80" w:lineRule="exact"/>
        <w:rPr>
          <w:sz w:val="20"/>
          <w:szCs w:val="20"/>
          <w:color w:val="auto"/>
        </w:rPr>
      </w:pPr>
    </w:p>
    <w:p>
      <w:pPr>
        <w:ind w:left="280" w:right="120"/>
        <w:spacing w:after="0" w:line="259" w:lineRule="auto"/>
        <w:rPr>
          <w:sz w:val="20"/>
          <w:szCs w:val="20"/>
          <w:color w:val="auto"/>
        </w:rPr>
      </w:pPr>
      <w:r>
        <w:rPr>
          <w:rFonts w:ascii="Arial" w:cs="Arial" w:eastAsia="Arial" w:hAnsi="Arial"/>
          <w:sz w:val="18"/>
          <w:szCs w:val="18"/>
          <w:color w:val="auto"/>
        </w:rPr>
        <w:t>If Cash Settlement is applicable, then on the relevant Cash Settlement Payment Date, Company shall pay to Dealer an amount of cash in USD equal to the Net Share Settlement Amount for such Cash Settlement Payment Date.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respect of each Valuation Date, an amount equal to the greater of</w:t>
      </w:r>
    </w:p>
    <w:p>
      <w:pPr>
        <w:spacing w:after="0" w:line="35" w:lineRule="exact"/>
        <w:rPr>
          <w:sz w:val="20"/>
          <w:szCs w:val="20"/>
          <w:color w:val="auto"/>
        </w:rPr>
      </w:pPr>
    </w:p>
    <w:p>
      <w:pPr>
        <w:ind w:left="520" w:hanging="247"/>
        <w:spacing w:after="0"/>
        <w:tabs>
          <w:tab w:leader="none" w:pos="52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excess of the relevant Settlement Price over the Strike Price, and</w:t>
      </w:r>
    </w:p>
    <w:p>
      <w:pPr>
        <w:spacing w:after="0" w:line="32" w:lineRule="exact"/>
        <w:rPr>
          <w:rFonts w:ascii="Arial" w:cs="Arial" w:eastAsia="Arial" w:hAnsi="Arial"/>
          <w:sz w:val="16"/>
          <w:szCs w:val="16"/>
          <w:color w:val="auto"/>
        </w:rPr>
      </w:pPr>
    </w:p>
    <w:p>
      <w:pPr>
        <w:ind w:left="520" w:hanging="247"/>
        <w:spacing w:after="0"/>
        <w:tabs>
          <w:tab w:leader="none" w:pos="5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zero.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0"/>
        <w:spacing w:after="0" w:line="287" w:lineRule="auto"/>
        <w:rPr>
          <w:sz w:val="20"/>
          <w:szCs w:val="20"/>
          <w:color w:val="auto"/>
        </w:rPr>
      </w:pPr>
      <w:r>
        <w:rPr>
          <w:rFonts w:ascii="Arial" w:cs="Arial" w:eastAsia="Arial" w:hAnsi="Arial"/>
          <w:sz w:val="16"/>
          <w:szCs w:val="16"/>
          <w:color w:val="auto"/>
        </w:rPr>
        <w:t xml:space="preserve">Calculation Agent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parties hereto agree that any Share repurchases by Company or accelerated share repurchases, forward contracts or similar transactions, in each case, at prevailing market prices, volume-weighted average prices or discounts thereto shall not be considered Potential Adjustment Events. For the avoidance of doubt, in making any adjustments under the Equity Definitions, the Calculation Agent may make adjustments, if any, in a commercially reasonable manner to any one or more of the Strike Price, the Number of Warrants, the Daily Number of Warrants, the Warrant Entitlement and the composition of the Shares. Notwithstanding the foregoing, any cash dividends or distributions on the Shares, whether or not extraordinary, shall be governed by Section 9(e) of this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744" w:space="720"/>
            <w:col w:w="5540"/>
          </w:cols>
          <w:pgMar w:left="436" w:top="274" w:right="459" w:bottom="1440" w:gutter="0" w:footer="0" w:header="0"/>
        </w:sectPr>
      </w:pPr>
    </w:p>
    <w:bookmarkStart w:id="289" w:name="page290"/>
    <w:bookmarkEnd w:id="289"/>
    <w:p>
      <w:pPr>
        <w:ind w:left="5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Confirmation in lieu of Article 10 or Section 11.2(c) of the Equity</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Definitions. For the avoidance of doubt, Calculation Agent Adjustment</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and the provisions in Section 9(f) of this Confirmation shall continue to</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apply until the obligations of the parties (including any obligations of</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Company pursuant to Section 9(o)(ii) of this Confirmation) under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Transaction have been satisfied in full.</w:t>
      </w:r>
    </w:p>
    <w:p>
      <w:pPr>
        <w:sectPr>
          <w:pgSz w:w="11900" w:h="16838" w:orient="portrait"/>
          <w:cols w:equalWidth="0" w:num="1">
            <w:col w:w="10640"/>
          </w:cols>
          <w:pgMar w:left="800" w:top="274" w:right="45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Extraordinary Events applicable to the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w:t>
      </w:r>
    </w:p>
    <w:p>
      <w:pPr>
        <w:spacing w:after="0" w:line="86"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Consequence of Merger Events: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Event: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 event occurs that constitutes both a Merger Event under Section 12.1(b) of the Equity Definitions and an Additional Termination Event under Section 9(g)(ii)(B) of this Confirmation, the provisions of Section 9(g)(ii)(B) will apply.</w:t>
      </w:r>
    </w:p>
    <w:p>
      <w:pPr>
        <w:spacing w:after="0" w:line="63"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Share-for-Combined:</w:t>
      </w:r>
    </w:p>
    <w:p>
      <w:pPr>
        <w:spacing w:after="0" w:line="20" w:lineRule="exact"/>
        <w:rPr>
          <w:sz w:val="20"/>
          <w:szCs w:val="20"/>
          <w:color w:val="auto"/>
        </w:rPr>
      </w:pPr>
      <w:r>
        <w:rPr>
          <w:sz w:val="20"/>
          <w:szCs w:val="20"/>
          <w:color w:val="auto"/>
        </w:rPr>
        <w:br w:type="column"/>
      </w:r>
    </w:p>
    <w:p>
      <w:pPr>
        <w:ind w:right="80"/>
        <w:spacing w:after="0" w:line="311"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Dealer may elect, in its commercially reasonable judgment, Component Adjustment for all or any portion of the Transaction.</w:t>
      </w:r>
    </w:p>
    <w:p>
      <w:pPr>
        <w:spacing w:after="0" w:line="81"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640"/>
          </w:cols>
          <w:pgMar w:left="800" w:top="274" w:right="459" w:bottom="1440" w:gutter="0" w:footer="0" w:header="0"/>
          <w:type w:val="continuous"/>
        </w:sectPr>
      </w:pPr>
    </w:p>
    <w:bookmarkStart w:id="290" w:name="page291"/>
    <w:bookmarkEnd w:id="290"/>
    <w:p>
      <w:pPr>
        <w:spacing w:after="0"/>
        <w:rPr>
          <w:sz w:val="20"/>
          <w:szCs w:val="20"/>
          <w:color w:val="auto"/>
        </w:rPr>
      </w:pPr>
      <w:r>
        <w:rPr>
          <w:rFonts w:ascii="Arial" w:cs="Arial" w:eastAsia="Arial" w:hAnsi="Arial"/>
          <w:sz w:val="15"/>
          <w:szCs w:val="15"/>
          <w:color w:val="auto"/>
        </w:rPr>
        <w:t>Consequence of Tender Offers: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Tender Offer: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Tender Offer under Section 12.1(d) of the Equity Definitions and Additional Termination Event under Section 9(g)(ii)(A) of this Confirmation, the provisions of Section 9(g)(ii)(A) will apply;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the definition of “Tender Offer” in Section 12.1(d)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Equity Definitions is hereby amended by replacing the phrase “greater than 10%” with “greater than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-1264285</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4660" w:space="720"/>
            <w:col w:w="5260"/>
          </w:cols>
          <w:pgMar w:left="800" w:top="274" w:right="459" w:bottom="1440" w:gutter="0" w:footer="0" w:header="0"/>
        </w:sectPr>
      </w:pPr>
    </w:p>
    <w:p>
      <w:pPr>
        <w:ind w:left="360"/>
        <w:spacing w:after="0"/>
        <w:rPr>
          <w:sz w:val="20"/>
          <w:szCs w:val="20"/>
          <w:color w:val="auto"/>
        </w:rPr>
      </w:pPr>
      <w:r>
        <w:rPr>
          <w:rFonts w:ascii="Arial" w:cs="Arial" w:eastAsia="Arial" w:hAnsi="Arial"/>
          <w:sz w:val="16"/>
          <w:szCs w:val="16"/>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Consequences of Announcement Events: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 xml:space="preserve">Modified Calculation Agent Adjustment as set forth in Section 12.3(d) of the Equity Definitions;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 Announcement Event, (x) references to “Tender Offer” shall be replaced by references to “Announcement Event” and references to “Tender Offer Date” shall be replaced by references to “date of such Announcement Event”, (y) the fifth and sixth lines shall be deleted in their entirety and replaced with the words “effect on the Warrants of such Announcement Event solely to account for changes in volatility, expected dividends, stock loan rate or liquidity relevant to the Shares or the Warrants”, and (z) for the avoidance of doubt, the Calculation Agent shall determine in a commercially reasonable manner whether the relevant Announcement Event has had an economic effect on the Transaction (and, if so, adjust the terms of the Transaction in a commercially reasonable manner as determined by reference to such Announcement Event)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 For the avoidance of doubt, each of Dealer and Company confirms and agrees that in making any Modified Calculation Agent Adjustment on account of an Announcement Event pursuant to this section that the Calculation Agent shall take into account the economic effect of the Announcement Event on the Dealer’s commercially reasonable hedge position with respect to this Transaction.</w:t>
      </w:r>
    </w:p>
    <w:p>
      <w:pPr>
        <w:spacing w:after="0" w:line="102"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640"/>
          </w:cols>
          <w:pgMar w:left="800" w:top="274" w:right="459" w:bottom="1440" w:gutter="0" w:footer="0" w:header="0"/>
          <w:type w:val="continuous"/>
        </w:sectPr>
      </w:pPr>
    </w:p>
    <w:bookmarkStart w:id="291" w:name="page292"/>
    <w:bookmarkEnd w:id="291"/>
    <w:p>
      <w:pPr>
        <w:spacing w:after="0"/>
        <w:rPr>
          <w:sz w:val="20"/>
          <w:szCs w:val="20"/>
          <w:color w:val="auto"/>
        </w:rPr>
      </w:pPr>
      <w:r>
        <w:rPr>
          <w:rFonts w:ascii="Arial" w:cs="Arial" w:eastAsia="Arial" w:hAnsi="Arial"/>
          <w:sz w:val="16"/>
          <w:szCs w:val="16"/>
          <w:color w:val="auto"/>
        </w:rPr>
        <w:t>Announcement Event:</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(i) The public announcement by Company or a third party that has a bona fide intent to become a party (a “</w:t>
      </w:r>
      <w:r>
        <w:rPr>
          <w:rFonts w:ascii="Arial" w:cs="Arial" w:eastAsia="Arial" w:hAnsi="Arial"/>
          <w:sz w:val="16"/>
          <w:szCs w:val="16"/>
          <w:b w:val="1"/>
          <w:bCs w:val="1"/>
          <w:color w:val="auto"/>
        </w:rPr>
        <w:t>Valid Third Party Entity</w:t>
      </w:r>
      <w:r>
        <w:rPr>
          <w:rFonts w:ascii="Arial" w:cs="Arial" w:eastAsia="Arial" w:hAnsi="Arial"/>
          <w:sz w:val="16"/>
          <w:szCs w:val="16"/>
          <w:color w:val="auto"/>
        </w:rPr>
        <w:t>”) of (x) any transaction or event that, if completed, would constitute a Merger Event or Tender Offer, (y) any potential acquisition by Issuer and/or its subsidiaries where the aggregate consideration exceeds 35% of the market capitalization of Issuer as of the date of such announcement (an “</w:t>
      </w:r>
      <w:r>
        <w:rPr>
          <w:rFonts w:ascii="Arial" w:cs="Arial" w:eastAsia="Arial" w:hAnsi="Arial"/>
          <w:sz w:val="16"/>
          <w:szCs w:val="16"/>
          <w:b w:val="1"/>
          <w:bCs w:val="1"/>
          <w:color w:val="auto"/>
        </w:rPr>
        <w:t>Acquisition Transaction</w:t>
      </w:r>
      <w:r>
        <w:rPr>
          <w:rFonts w:ascii="Arial" w:cs="Arial" w:eastAsia="Arial" w:hAnsi="Arial"/>
          <w:sz w:val="16"/>
          <w:szCs w:val="16"/>
          <w:color w:val="auto"/>
        </w:rPr>
        <w:t xml:space="preserve">”) or (z) the intention to enter into a Merger Event or Tender Offer or an Acquisition Transaction, (ii) the public announcement by Issuer of an intention to solicit or enter into, or to explore strategic alternatives or other similar undertaking that may include, a Merger Event or Tender Offer or an Acquisition Transaction or (iii) any subsequent public announcement by Company or any Valid Third Party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Calculation Agent shall make any adjustment to the terms of any Warrant upon the occurrence of a particular “Announcement Event,” then the Calculation Agent shall make an adjustment to the terms of that same Warrant upon any announcement prior to the earlier of the Expiration Date, any Early Termination Date and/or any other date of cancellation regarding the abandonment of any such event that gave rise to the original Announcement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-3942080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260"/>
          </w:cols>
          <w:pgMar w:left="800" w:top="274" w:right="45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Modified Calculation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 Adjustment: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If, in respect of any Merger Event to which Modified Calculation Agent Adjustment applies, the adjustments to be made in accordance with Section 12.2(e)(i) of the Equity Definitions would result in Company being different from the issuer of the Shares, then with respect to such Merger Event, as a condition precedent to the adjustments contemplated in Section 12.2(e)(i) of the Equity Definitions, Company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commercially</w:t>
      </w:r>
    </w:p>
    <w:p>
      <w:pPr>
        <w:spacing w:after="0" w:line="106"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640"/>
          </w:cols>
          <w:pgMar w:left="800" w:top="274" w:right="459" w:bottom="1440" w:gutter="0" w:footer="0" w:header="0"/>
          <w:type w:val="continuous"/>
        </w:sectPr>
      </w:pPr>
    </w:p>
    <w:bookmarkStart w:id="292" w:name="page293"/>
    <w:bookmarkEnd w:id="292"/>
    <w:p>
      <w:pPr>
        <w:ind w:left="53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reasonable hedging or hedge unwind activities in connection with the</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Transaction in a manner compliant with applicable legal, regulatory or</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self-regulatory requirements, or with related policies and procedures</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applicable to Dealer (so long as such requirements or related policies and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procedures are similarly applicable to transactions similar to the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Transaction and consistently applied), and if such conditions are not met</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or if the Calculation Agent determines that no adjustment that it could</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make under Section 12.2(e)(i) of the Equity Definitions will produce a</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commercially reasonable result, then the consequences set forth in</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Section 12.2(e)(ii) of the Equity Definitions shall apply.</w:t>
      </w:r>
    </w:p>
    <w:p>
      <w:pPr>
        <w:sectPr>
          <w:pgSz w:w="11900" w:h="16838" w:orient="portrait"/>
          <w:cols w:equalWidth="0" w:num="1">
            <w:col w:w="10640"/>
          </w:cols>
          <w:pgMar w:left="800" w:top="274" w:right="45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64"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Disruption Events: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Law:</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Section 12.9(a)(ii) of the Equity Definitions is hereby amended by replacing the parenthetical beginning after the word “regulation” in the second line thereof with the phrase “(including, for the avoidance of doubt and without limitation, (x) any tax law or (y) adoption or promulgation of new regulations authorized or mandated by existing statute)”.</w:t>
      </w:r>
    </w:p>
    <w:p>
      <w:pPr>
        <w:spacing w:after="0" w:line="89"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129"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8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40"/>
          </w:cols>
          <w:pgMar w:left="800" w:top="274" w:right="459" w:bottom="1440" w:gutter="0" w:footer="0" w:header="0"/>
          <w:type w:val="continuous"/>
        </w:sectPr>
      </w:pPr>
    </w:p>
    <w:bookmarkStart w:id="293" w:name="page294"/>
    <w:bookmarkEnd w:id="293"/>
    <w:p>
      <w:pPr>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-201295</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sectPr>
      </w:pPr>
    </w:p>
    <w:p>
      <w:pPr>
        <w:ind w:left="5020" w:right="40"/>
        <w:spacing w:after="0" w:line="254" w:lineRule="auto"/>
        <w:rPr>
          <w:sz w:val="20"/>
          <w:szCs w:val="20"/>
          <w:color w:val="auto"/>
        </w:rPr>
      </w:pPr>
      <w:r>
        <w:rPr>
          <w:rFonts w:ascii="Arial" w:cs="Arial" w:eastAsia="Arial" w:hAnsi="Arial"/>
          <w:sz w:val="18"/>
          <w:szCs w:val="18"/>
          <w:color w:val="auto"/>
        </w:rPr>
        <w:t>(i) Section 12.9(a)(v) of the Equity Definitions is hereby amended by (a) inserting the following words at the end of clause (A) thereof: “in the manner contemplated by the Hedging Party on the Trade Date (other than for purposes of such provision any repurchase, redemption or conversion of the Convertible Notes prior to the maturity of the Convertible Notes)” and (b) inserting the following sentence at the end of such Section:</w:t>
      </w:r>
    </w:p>
    <w:p>
      <w:pPr>
        <w:spacing w:after="0" w:line="87" w:lineRule="exact"/>
        <w:rPr>
          <w:sz w:val="20"/>
          <w:szCs w:val="20"/>
          <w:color w:val="auto"/>
        </w:rPr>
      </w:pPr>
    </w:p>
    <w:p>
      <w:pPr>
        <w:ind w:left="5020"/>
        <w:spacing w:after="0" w:line="257" w:lineRule="auto"/>
        <w:rPr>
          <w:sz w:val="20"/>
          <w:szCs w:val="20"/>
          <w:color w:val="auto"/>
        </w:rPr>
      </w:pPr>
      <w:r>
        <w:rPr>
          <w:rFonts w:ascii="Arial" w:cs="Arial" w:eastAsia="Arial" w:hAnsi="Arial"/>
          <w:sz w:val="18"/>
          <w:szCs w:val="18"/>
          <w:color w:val="auto"/>
        </w:rPr>
        <w:t>“For the avoidance of doubt, (i) the term “equity price risk” shall be deemed to include, but shall not be limited to, stock price and volatility risk, and (ii) any such transactions or assets referred to in clause (A) or (B) above must be available on commercially reasonable pricing terms.”; and</w:t>
      </w:r>
    </w:p>
    <w:p>
      <w:pPr>
        <w:spacing w:after="0" w:line="80" w:lineRule="exact"/>
        <w:rPr>
          <w:sz w:val="20"/>
          <w:szCs w:val="20"/>
          <w:color w:val="auto"/>
        </w:rPr>
      </w:pPr>
    </w:p>
    <w:p>
      <w:pPr>
        <w:ind w:left="5020" w:right="20"/>
        <w:spacing w:after="0" w:line="259" w:lineRule="auto"/>
        <w:rPr>
          <w:sz w:val="20"/>
          <w:szCs w:val="20"/>
          <w:color w:val="auto"/>
        </w:rPr>
      </w:pPr>
      <w:r>
        <w:rPr>
          <w:rFonts w:ascii="Arial" w:cs="Arial" w:eastAsia="Arial" w:hAnsi="Arial"/>
          <w:sz w:val="18"/>
          <w:szCs w:val="18"/>
          <w:color w:val="auto"/>
        </w:rPr>
        <w:t>(ii) Section 12.9(b)(iii) of the Equity Definitions is hereby amended by inserting in the third line thereof, after the words “to terminate the Transaction”, the words “or a portion of the Transaction affected by such Hedging Disruption”.</w:t>
      </w:r>
    </w:p>
    <w:p>
      <w:pPr>
        <w:sectPr>
          <w:pgSz w:w="11900" w:h="16838" w:orient="portrait"/>
          <w:cols w:equalWidth="0" w:num="1">
            <w:col w:w="10280"/>
          </w:cols>
          <w:pgMar w:left="1160" w:top="274" w:right="45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parenthetical shall be inserted immediately following the word “expense” in the third line of Section 12.9(a)(vi) of the Equity Definitions: “(including, for the avoidance of doubt, the incurrence of any commercially reasonable stock borrow expense in excess of Hedging Party’s expectation as of the Trade Date, other than to the extent resulting from an Increased Cost of Stock Borrow)</w:t>
      </w:r>
    </w:p>
    <w:p>
      <w:pPr>
        <w:spacing w:after="0" w:line="87"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Loss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 basis points</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 basis points until December 1, 2026 and 25 basis points thereafter.</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Additional Disruption Events, Dealer.</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Extraordinary Events, Dealer.</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Hedging Adjustment:</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For the avoidance of doubt, whenever the Calculation Agent, Hedging Party or Determining Party, as the case may be, is permitted to make a determination, calculation or adjustment pursuant to the terms of this Confirmation or the Equity Definitions to take into account the effect of an event, the Calculation Agent, Hedging Party or Determining Party, as the case may be shall make such adjustment, if any, in a commercially reasonable manner and by reference to the effect of such event on Dealer assuming that Dealer maintains a commercially reasonable hedge position.</w:t>
      </w:r>
    </w:p>
    <w:p>
      <w:pPr>
        <w:spacing w:after="0" w:line="73"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Agreements and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46"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Regarding Hedging Activities:</w:t>
      </w:r>
    </w:p>
    <w:p>
      <w:pPr>
        <w:sectPr>
          <w:pgSz w:w="11900" w:h="16838" w:orient="portrait"/>
          <w:cols w:equalWidth="0" w:num="1">
            <w:col w:w="10280"/>
          </w:cols>
          <w:pgMar w:left="1160" w:top="274" w:right="45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81"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0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80"/>
          </w:cols>
          <w:pgMar w:left="1160" w:top="274" w:right="459" w:bottom="1440" w:gutter="0" w:footer="0" w:header="0"/>
          <w:type w:val="continuous"/>
        </w:sectPr>
      </w:pPr>
    </w:p>
    <w:bookmarkStart w:id="294" w:name="page295"/>
    <w:bookmarkEnd w:id="294"/>
    <w:p>
      <w:pPr>
        <w:ind w:left="424" w:hanging="424"/>
        <w:spacing w:after="0" w:line="272" w:lineRule="auto"/>
        <w:tabs>
          <w:tab w:leader="none" w:pos="424" w:val="left"/>
        </w:tabs>
        <w:numPr>
          <w:ilvl w:val="0"/>
          <w:numId w:val="33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Calculation Agent</w:t>
      </w:r>
      <w:r>
        <w:rPr>
          <w:rFonts w:ascii="Arial" w:cs="Arial" w:eastAsia="Arial" w:hAnsi="Arial"/>
          <w:sz w:val="17"/>
          <w:szCs w:val="17"/>
          <w:color w:val="auto"/>
        </w:rPr>
        <w:t>. Dealer;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following the occurrence and during the continuance of an Event of Default of the type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Exchange Business Days following notice to the Calculation Agent by Company of such failure, Company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the Calculation Agent.</w:t>
      </w:r>
    </w:p>
    <w:p>
      <w:pPr>
        <w:spacing w:after="0" w:line="67" w:lineRule="exact"/>
        <w:rPr>
          <w:rFonts w:ascii="Arial" w:cs="Arial" w:eastAsia="Arial" w:hAnsi="Arial"/>
          <w:sz w:val="17"/>
          <w:szCs w:val="17"/>
          <w:color w:val="auto"/>
        </w:rPr>
      </w:pPr>
    </w:p>
    <w:p>
      <w:pPr>
        <w:ind w:left="444"/>
        <w:spacing w:after="0" w:line="296" w:lineRule="auto"/>
        <w:rPr>
          <w:rFonts w:ascii="Arial" w:cs="Arial" w:eastAsia="Arial" w:hAnsi="Arial"/>
          <w:sz w:val="17"/>
          <w:szCs w:val="17"/>
          <w:color w:val="auto"/>
        </w:rPr>
      </w:pPr>
      <w:r>
        <w:rPr>
          <w:rFonts w:ascii="Arial" w:cs="Arial" w:eastAsia="Arial" w:hAnsi="Arial"/>
          <w:sz w:val="16"/>
          <w:szCs w:val="16"/>
          <w:color w:val="auto"/>
        </w:rPr>
        <w:t xml:space="preserve">All calculations and determinations by the Calculation Agent shall be made in good faith and in a commercially reasonable manner. Following any calculation by the Calculation Agent hereunder, upon written request by Company, the Calculation Agent will provide to Company by email to the email address provided by Company in such written request a report (in a commonly used file format for the storage and manipulation of financial data) displaying in reasonable detail the basis for such calculation;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Dealer be obligated to share with Company any proprietary or confidential data or information or any proprietary or confidential models used by it.</w:t>
      </w:r>
    </w:p>
    <w:p>
      <w:pPr>
        <w:spacing w:after="0" w:line="62" w:lineRule="exact"/>
        <w:rPr>
          <w:rFonts w:ascii="Arial" w:cs="Arial" w:eastAsia="Arial" w:hAnsi="Arial"/>
          <w:sz w:val="17"/>
          <w:szCs w:val="17"/>
          <w:color w:val="auto"/>
        </w:rPr>
      </w:pPr>
    </w:p>
    <w:p>
      <w:pPr>
        <w:ind w:left="424" w:hanging="424"/>
        <w:spacing w:after="0"/>
        <w:tabs>
          <w:tab w:leader="none" w:pos="424"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color w:val="auto"/>
        </w:rPr>
        <w:t>.</w:t>
      </w:r>
    </w:p>
    <w:p>
      <w:pPr>
        <w:spacing w:after="0" w:line="135" w:lineRule="exact"/>
        <w:rPr>
          <w:sz w:val="20"/>
          <w:szCs w:val="20"/>
          <w:color w:val="auto"/>
        </w:rPr>
      </w:pPr>
    </w:p>
    <w:p>
      <w:pPr>
        <w:ind w:left="964" w:hanging="532"/>
        <w:spacing w:after="0"/>
        <w:tabs>
          <w:tab w:leader="none" w:pos="96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Account for payments to Company:</w:t>
      </w:r>
    </w:p>
    <w:p>
      <w:pPr>
        <w:sectPr>
          <w:pgSz w:w="11900" w:h="16838" w:orient="portrait"/>
          <w:cols w:equalWidth="0" w:num="1">
            <w:col w:w="11004"/>
          </w:cols>
          <w:pgMar w:left="436" w:top="270" w:right="459" w:bottom="1440" w:gutter="0" w:footer="0" w:header="0"/>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Bank: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524" w:space="720"/>
            <w:col w:w="8760"/>
          </w:cols>
          <w:pgMar w:left="436" w:top="270" w:right="459" w:bottom="1440" w:gutter="0" w:footer="0" w:header="0"/>
          <w:type w:val="continuous"/>
        </w:sectPr>
      </w:pPr>
    </w:p>
    <w:p>
      <w:pPr>
        <w:ind w:left="984"/>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624" w:space="720"/>
            <w:col w:w="8660"/>
          </w:cols>
          <w:pgMar w:left="436" w:top="270" w:right="45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Acct No.: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804" w:space="720"/>
            <w:col w:w="8480"/>
          </w:cols>
          <w:pgMar w:left="436" w:top="270" w:right="45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Beneficiary: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984" w:space="720"/>
            <w:col w:w="8300"/>
          </w:cols>
          <w:pgMar w:left="436" w:top="270" w:right="45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Ref: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1404" w:space="720"/>
            <w:col w:w="8880"/>
          </w:cols>
          <w:pgMar w:left="436" w:top="270" w:right="459" w:bottom="1440" w:gutter="0" w:footer="0" w:header="0"/>
          <w:type w:val="continuous"/>
        </w:sectPr>
      </w:pPr>
    </w:p>
    <w:p>
      <w:pPr>
        <w:ind w:left="984"/>
        <w:spacing w:after="0"/>
        <w:rPr>
          <w:sz w:val="20"/>
          <w:szCs w:val="20"/>
          <w:color w:val="auto"/>
        </w:rPr>
      </w:pPr>
      <w:r>
        <w:rPr>
          <w:rFonts w:ascii="Arial" w:cs="Arial" w:eastAsia="Arial" w:hAnsi="Arial"/>
          <w:sz w:val="18"/>
          <w:szCs w:val="18"/>
          <w:color w:val="auto"/>
        </w:rPr>
        <w:t>Account for delivery of Shares from Company:</w:t>
      </w:r>
    </w:p>
    <w:p>
      <w:pPr>
        <w:spacing w:after="0" w:line="117" w:lineRule="exact"/>
        <w:rPr>
          <w:sz w:val="20"/>
          <w:szCs w:val="20"/>
          <w:color w:val="auto"/>
        </w:rPr>
      </w:pPr>
    </w:p>
    <w:p>
      <w:pPr>
        <w:ind w:left="1764" w:hanging="773"/>
        <w:spacing w:after="0"/>
        <w:tabs>
          <w:tab w:leader="none" w:pos="176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Account for payments to Dealer:</w:t>
      </w:r>
    </w:p>
    <w:p>
      <w:pPr>
        <w:spacing w:after="0" w:line="117" w:lineRule="exact"/>
        <w:rPr>
          <w:rFonts w:ascii="Arial" w:cs="Arial" w:eastAsia="Arial" w:hAnsi="Arial"/>
          <w:sz w:val="18"/>
          <w:szCs w:val="18"/>
          <w:color w:val="auto"/>
        </w:rPr>
      </w:pPr>
    </w:p>
    <w:p>
      <w:pPr>
        <w:ind w:left="1764" w:hanging="773"/>
        <w:spacing w:after="0"/>
        <w:tabs>
          <w:tab w:leader="none" w:pos="176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Account for delivery of Shares from Dealer:</w:t>
      </w:r>
    </w:p>
    <w:p>
      <w:pPr>
        <w:spacing w:after="0" w:line="117" w:lineRule="exact"/>
        <w:rPr>
          <w:sz w:val="20"/>
          <w:szCs w:val="20"/>
          <w:color w:val="auto"/>
        </w:rPr>
      </w:pPr>
    </w:p>
    <w:p>
      <w:pPr>
        <w:ind w:left="1764" w:hanging="773"/>
        <w:spacing w:after="0"/>
        <w:tabs>
          <w:tab w:leader="none" w:pos="1764" w:val="left"/>
        </w:tabs>
        <w:numPr>
          <w:ilvl w:val="1"/>
          <w:numId w:val="342"/>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342"/>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Offices.</w:t>
      </w:r>
    </w:p>
    <w:p>
      <w:pPr>
        <w:spacing w:after="0" w:line="135" w:lineRule="exact"/>
        <w:rPr>
          <w:sz w:val="20"/>
          <w:szCs w:val="20"/>
          <w:color w:val="auto"/>
        </w:rPr>
      </w:pPr>
    </w:p>
    <w:p>
      <w:pPr>
        <w:ind w:left="1424" w:hanging="439"/>
        <w:spacing w:after="0"/>
        <w:tabs>
          <w:tab w:leader="none" w:pos="1424"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Office of Company for the Transaction is: Inapplicable, Company is not a Multibranch Party.</w:t>
      </w:r>
    </w:p>
    <w:p>
      <w:pPr>
        <w:spacing w:after="0" w:line="154" w:lineRule="exact"/>
        <w:rPr>
          <w:sz w:val="20"/>
          <w:szCs w:val="20"/>
          <w:color w:val="auto"/>
        </w:rPr>
      </w:pPr>
    </w:p>
    <w:p>
      <w:pPr>
        <w:ind w:left="984"/>
        <w:spacing w:after="0"/>
        <w:tabs>
          <w:tab w:leader="none" w:pos="1404" w:val="left"/>
          <w:tab w:leader="none" w:pos="5344" w:val="left"/>
        </w:tabs>
        <w:rPr>
          <w:sz w:val="20"/>
          <w:szCs w:val="20"/>
          <w:color w:val="auto"/>
        </w:rPr>
      </w:pPr>
      <w:r>
        <w:rPr>
          <w:rFonts w:ascii="Arial" w:cs="Arial" w:eastAsia="Arial" w:hAnsi="Arial"/>
          <w:sz w:val="18"/>
          <w:szCs w:val="18"/>
          <w:color w:val="auto"/>
        </w:rPr>
        <w:t>(b)</w:t>
        <w:tab/>
        <w:t>The Office of Dealer for the Transaction is: [</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424" w:hanging="424"/>
        <w:spacing w:after="0"/>
        <w:tabs>
          <w:tab w:leader="none" w:pos="424" w:val="left"/>
        </w:tabs>
        <w:numPr>
          <w:ilvl w:val="0"/>
          <w:numId w:val="34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Address for notices or communications to Company:</w:t>
      </w:r>
    </w:p>
    <w:p>
      <w:pPr>
        <w:spacing w:after="0" w:line="117"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Dropbox, Inc.</w:t>
      </w:r>
    </w:p>
    <w:p>
      <w:pPr>
        <w:spacing w:after="0" w:line="23"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1800 Owens Street</w:t>
      </w:r>
    </w:p>
    <w:p>
      <w:pPr>
        <w:spacing w:after="0" w:line="211" w:lineRule="exact"/>
        <w:rPr>
          <w:sz w:val="20"/>
          <w:szCs w:val="20"/>
          <w:color w:val="auto"/>
        </w:rPr>
      </w:pPr>
    </w:p>
    <w:p>
      <w:pPr>
        <w:ind w:left="1424" w:right="7940" w:firstLine="8"/>
        <w:spacing w:after="0" w:line="342" w:lineRule="auto"/>
        <w:tabs>
          <w:tab w:leader="none" w:pos="185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857-6800 Email: [___________]</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type w:val="continuous"/>
        </w:sectPr>
      </w:pPr>
    </w:p>
    <w:bookmarkStart w:id="295" w:name="page296"/>
    <w:bookmarkEnd w:id="295"/>
    <w:p>
      <w:pPr>
        <w:ind w:left="964" w:hanging="532"/>
        <w:spacing w:after="0"/>
        <w:tabs>
          <w:tab w:leader="none" w:pos="964"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Address for notices or communications to Dealer:</w:t>
      </w:r>
    </w:p>
    <w:p>
      <w:pPr>
        <w:spacing w:after="0" w:line="117" w:lineRule="exact"/>
        <w:rPr>
          <w:sz w:val="20"/>
          <w:szCs w:val="20"/>
          <w:color w:val="auto"/>
        </w:rPr>
      </w:pPr>
    </w:p>
    <w:p>
      <w:pPr>
        <w:ind w:left="1824" w:hanging="833"/>
        <w:spacing w:after="0"/>
        <w:tabs>
          <w:tab w:leader="none" w:pos="182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email notification to the following address:</w:t>
      </w:r>
    </w:p>
    <w:p>
      <w:pPr>
        <w:spacing w:after="0" w:line="117" w:lineRule="exact"/>
        <w:rPr>
          <w:sz w:val="20"/>
          <w:szCs w:val="20"/>
          <w:color w:val="auto"/>
        </w:rPr>
      </w:pPr>
    </w:p>
    <w:p>
      <w:pPr>
        <w:ind w:left="1764" w:hanging="773"/>
        <w:spacing w:after="0"/>
        <w:tabs>
          <w:tab w:leader="none" w:pos="1764" w:val="left"/>
        </w:tabs>
        <w:numPr>
          <w:ilvl w:val="2"/>
          <w:numId w:val="348"/>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 of Company and Dealer</w:t>
      </w:r>
      <w:r>
        <w:rPr>
          <w:rFonts w:ascii="Arial" w:cs="Arial" w:eastAsia="Arial" w:hAnsi="Arial"/>
          <w:sz w:val="18"/>
          <w:szCs w:val="18"/>
          <w:u w:val="single" w:color="auto"/>
          <w:color w:val="auto"/>
        </w:rPr>
        <w:t>.</w:t>
      </w:r>
    </w:p>
    <w:p>
      <w:pPr>
        <w:spacing w:after="0" w:line="134"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348"/>
        </w:numPr>
        <w:rPr>
          <w:rFonts w:ascii="Arial" w:cs="Arial" w:eastAsia="Arial" w:hAnsi="Arial"/>
          <w:sz w:val="18"/>
          <w:szCs w:val="18"/>
          <w:color w:val="auto"/>
        </w:rPr>
      </w:pPr>
      <w:r>
        <w:rPr>
          <w:rFonts w:ascii="Arial" w:cs="Arial" w:eastAsia="Arial" w:hAnsi="Arial"/>
          <w:sz w:val="18"/>
          <w:szCs w:val="18"/>
          <w:i w:val="1"/>
          <w:iCs w:val="1"/>
          <w:color w:val="auto"/>
        </w:rPr>
        <w:t>Representations of Company</w:t>
      </w:r>
      <w:r>
        <w:rPr>
          <w:rFonts w:ascii="Arial" w:cs="Arial" w:eastAsia="Arial" w:hAnsi="Arial"/>
          <w:sz w:val="18"/>
          <w:szCs w:val="18"/>
          <w:color w:val="auto"/>
        </w:rPr>
        <w:t>. Company hereby represents and warrants to Dealer that each of the representations and warranties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set forth in Section 1 of the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dated as of [•], 2021, among Company and [Banks] as representatives of the several Purchasers named in Schedule I thereto (the “</w:t>
      </w:r>
      <w:r>
        <w:rPr>
          <w:rFonts w:ascii="Arial" w:cs="Arial" w:eastAsia="Arial" w:hAnsi="Arial"/>
          <w:sz w:val="18"/>
          <w:szCs w:val="18"/>
          <w:b w:val="1"/>
          <w:bCs w:val="1"/>
          <w:color w:val="auto"/>
        </w:rPr>
        <w:t>Initial Purchasers</w:t>
      </w:r>
      <w:r>
        <w:rPr>
          <w:rFonts w:ascii="Arial" w:cs="Arial" w:eastAsia="Arial" w:hAnsi="Arial"/>
          <w:sz w:val="18"/>
          <w:szCs w:val="18"/>
          <w:color w:val="auto"/>
        </w:rPr>
        <w:t>”), is true and correct and is hereby deemed to be repeated to Dealer as if set forth herein. Company hereby further represents and warrants to Dealer on the date hereof, on and as of the Premium Payment Date and, in the case of the representations in Section 8I(a), at all times until termination of the Transaction, that:</w:t>
      </w:r>
    </w:p>
    <w:p>
      <w:pPr>
        <w:spacing w:after="0" w:line="94" w:lineRule="exact"/>
        <w:rPr>
          <w:sz w:val="20"/>
          <w:szCs w:val="20"/>
          <w:color w:val="auto"/>
        </w:rPr>
      </w:pPr>
    </w:p>
    <w:p>
      <w:pPr>
        <w:ind w:left="964" w:right="20" w:hanging="532"/>
        <w:spacing w:after="0" w:line="271" w:lineRule="auto"/>
        <w:tabs>
          <w:tab w:leader="none" w:pos="96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A number of Shares equal to the Maximum Number of Shares (as defined below) (the “</w:t>
      </w:r>
      <w:r>
        <w:rPr>
          <w:rFonts w:ascii="Arial" w:cs="Arial" w:eastAsia="Arial" w:hAnsi="Arial"/>
          <w:sz w:val="17"/>
          <w:szCs w:val="17"/>
          <w:b w:val="1"/>
          <w:bCs w:val="1"/>
          <w:color w:val="auto"/>
        </w:rPr>
        <w:t>Warrant Shares</w:t>
      </w:r>
      <w:r>
        <w:rPr>
          <w:rFonts w:ascii="Arial" w:cs="Arial" w:eastAsia="Arial" w:hAnsi="Arial"/>
          <w:sz w:val="17"/>
          <w:szCs w:val="17"/>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fully-paid and non-assessable, and the issuance of the Warrant Shares will not be subject to any preemptive or similar rights. Company represents and warrants to Dealer that the Maximum Number of Shares is equal to or less than the number of authorized but unissued Shares of Company that are not reserved for future issuance in connection with transactions in the Shares (other than the Transaction) on the date of the determination of the Maximum Number of Shares (such Shares, the “</w:t>
      </w:r>
      <w:r>
        <w:rPr>
          <w:rFonts w:ascii="Arial" w:cs="Arial" w:eastAsia="Arial" w:hAnsi="Arial"/>
          <w:sz w:val="17"/>
          <w:szCs w:val="17"/>
          <w:b w:val="1"/>
          <w:bCs w:val="1"/>
          <w:color w:val="auto"/>
        </w:rPr>
        <w:t>Available Shares</w:t>
      </w:r>
      <w:r>
        <w:rPr>
          <w:rFonts w:ascii="Arial" w:cs="Arial" w:eastAsia="Arial" w:hAnsi="Arial"/>
          <w:sz w:val="17"/>
          <w:szCs w:val="17"/>
          <w:color w:val="auto"/>
        </w:rPr>
        <w:t>”). Company shall not take any action to decrease the number of Available Shares below the Maximum Number of Shares.</w:t>
      </w:r>
    </w:p>
    <w:p>
      <w:pPr>
        <w:spacing w:after="0" w:line="83" w:lineRule="exact"/>
        <w:rPr>
          <w:rFonts w:ascii="Arial" w:cs="Arial" w:eastAsia="Arial" w:hAnsi="Arial"/>
          <w:sz w:val="17"/>
          <w:szCs w:val="17"/>
          <w:color w:val="auto"/>
        </w:rPr>
      </w:pPr>
    </w:p>
    <w:p>
      <w:pPr>
        <w:ind w:left="964" w:right="560" w:hanging="532"/>
        <w:spacing w:after="0" w:line="277" w:lineRule="auto"/>
        <w:tabs>
          <w:tab w:leader="none" w:pos="96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Company is not and, after consummation of the transactions contemplated hereby,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Company is not, on the date hereof, in possession of any material non-public information with respect to Company or the Shares.</w:t>
      </w:r>
    </w:p>
    <w:p>
      <w:pPr>
        <w:spacing w:after="0" w:line="142" w:lineRule="exact"/>
        <w:rPr>
          <w:rFonts w:ascii="Arial" w:cs="Arial" w:eastAsia="Arial" w:hAnsi="Arial"/>
          <w:sz w:val="17"/>
          <w:szCs w:val="17"/>
          <w:color w:val="auto"/>
        </w:rPr>
      </w:pPr>
    </w:p>
    <w:p>
      <w:pPr>
        <w:ind w:left="964" w:right="100" w:hanging="532"/>
        <w:spacing w:after="0" w:line="301" w:lineRule="auto"/>
        <w:tabs>
          <w:tab w:leader="none" w:pos="96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To Company’s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regulation that Dealer would be subject to as a result of it being a regulated entity under U.S. various applicable laws, including U.S. securities laws and FINRA.</w:t>
      </w:r>
    </w:p>
    <w:p>
      <w:pPr>
        <w:spacing w:after="0" w:line="62" w:lineRule="exact"/>
        <w:rPr>
          <w:rFonts w:ascii="Arial" w:cs="Arial" w:eastAsia="Arial" w:hAnsi="Arial"/>
          <w:sz w:val="16"/>
          <w:szCs w:val="16"/>
          <w:color w:val="auto"/>
        </w:rPr>
      </w:pPr>
    </w:p>
    <w:p>
      <w:pPr>
        <w:ind w:left="964" w:right="140" w:hanging="532"/>
        <w:spacing w:after="0" w:line="259" w:lineRule="auto"/>
        <w:tabs>
          <w:tab w:leader="none" w:pos="96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Company (i) is an “institutional account” as defined in FINRA Rule 4512(c); (ii) is capable of evaluating investment risks independently, both in general and with regard to all transactions and investment strategies involving a security or securities, and will exercise independent judgment in evaluating the recommendations of Dealer or its associated persons; and (iii) will notify Dealer if any of the statements contained in clause (i) or (ii) of this Section 8I(f) ceases to be true.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96" w:name="page297"/>
    <w:bookmarkEnd w:id="296"/>
    <w:p>
      <w:pPr>
        <w:ind w:left="964" w:right="100" w:hanging="532"/>
        <w:spacing w:after="0" w:line="257" w:lineRule="auto"/>
        <w:tabs>
          <w:tab w:leader="none" w:pos="964"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limiting the generality of Section 13.1 of the Equity Definitions, Company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93" w:lineRule="exact"/>
        <w:rPr>
          <w:rFonts w:ascii="Arial" w:cs="Arial" w:eastAsia="Arial" w:hAnsi="Arial"/>
          <w:sz w:val="18"/>
          <w:szCs w:val="18"/>
          <w:color w:val="auto"/>
        </w:rPr>
      </w:pPr>
    </w:p>
    <w:p>
      <w:pPr>
        <w:ind w:left="964" w:right="140" w:hanging="532"/>
        <w:spacing w:after="0" w:line="263" w:lineRule="auto"/>
        <w:tabs>
          <w:tab w:leader="none" w:pos="96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Company is not entering into this Confirmation to create actual or apparent trading activity in the Shares (or any security convertible into or exchangeable for Shares) or to manipulate the price of the Shares (or any security convertible into or exchangeable for Shares) or in violation of the Exchange Act.</w:t>
      </w:r>
    </w:p>
    <w:p>
      <w:pPr>
        <w:spacing w:after="0" w:line="89" w:lineRule="exact"/>
        <w:rPr>
          <w:rFonts w:ascii="Arial" w:cs="Arial" w:eastAsia="Arial" w:hAnsi="Arial"/>
          <w:sz w:val="18"/>
          <w:szCs w:val="18"/>
          <w:color w:val="auto"/>
        </w:rPr>
      </w:pPr>
    </w:p>
    <w:p>
      <w:pPr>
        <w:ind w:left="964" w:right="80" w:hanging="532"/>
        <w:spacing w:after="0" w:line="255" w:lineRule="auto"/>
        <w:tabs>
          <w:tab w:leader="none" w:pos="96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On each of the Trade Date, the Premium Payment Date and immediately after giving effect to the Transaction on the Premium Payment Date, (A) the present fair market value (or present fair saleable value) of the total assets of Company is not less than the total amount required to pay the probable total liabilities (including contingent liabilities) of Company as they mature and become absolute, (B) the capital of Company is adequate to conduct its business, (C) Company has the ability to pay its debts and obligations as such debts mature, and (D) Company is not “insolvent” (as such term is defined under Section 101(32) of the U.S. Bankruptcy Code (Title 11 of the United States Code)).</w:t>
      </w:r>
    </w:p>
    <w:p>
      <w:pPr>
        <w:spacing w:after="0" w:line="97" w:lineRule="exact"/>
        <w:rPr>
          <w:rFonts w:ascii="Arial" w:cs="Arial" w:eastAsia="Arial" w:hAnsi="Arial"/>
          <w:sz w:val="18"/>
          <w:szCs w:val="18"/>
          <w:color w:val="auto"/>
        </w:rPr>
      </w:pPr>
    </w:p>
    <w:p>
      <w:pPr>
        <w:ind w:left="964" w:hanging="532"/>
        <w:spacing w:after="0" w:line="259" w:lineRule="auto"/>
        <w:tabs>
          <w:tab w:leader="none" w:pos="96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Company understands that notwithstanding any other relationship between Company and Dealer and its affiliates, in connection with this Transaction and any other over-the-counter derivative transactions between Company and Dealer or its affiliates, Dealer or its affiliate is acting as principal and is not a fiduciary or advisor in respect of any such transaction, including any entry, exercise, amendment, unwind or termination thereof.</w:t>
      </w:r>
    </w:p>
    <w:p>
      <w:pPr>
        <w:spacing w:after="0" w:line="92" w:lineRule="exact"/>
        <w:rPr>
          <w:sz w:val="20"/>
          <w:szCs w:val="20"/>
          <w:color w:val="auto"/>
        </w:rPr>
      </w:pPr>
    </w:p>
    <w:p>
      <w:pPr>
        <w:ind w:left="964" w:right="60" w:hanging="532"/>
        <w:spacing w:after="0" w:line="263" w:lineRule="auto"/>
        <w:tabs>
          <w:tab w:leader="none" w:pos="964"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Eligible Contract Participants</w:t>
      </w:r>
      <w:r>
        <w:rPr>
          <w:rFonts w:ascii="Arial" w:cs="Arial" w:eastAsia="Arial" w:hAnsi="Arial"/>
          <w:sz w:val="18"/>
          <w:szCs w:val="18"/>
          <w:color w:val="auto"/>
        </w:rPr>
        <w:t>. Each of Company and Dealer represents that it is an “eligible contract participant”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1a(18) of the Commodity Exchange Act, as amended, other than a person that is an eligible contract participant under Section 1a(18)(C) of the Commodity Exchange Act).</w:t>
      </w:r>
    </w:p>
    <w:p>
      <w:pPr>
        <w:spacing w:after="0" w:line="89" w:lineRule="exact"/>
        <w:rPr>
          <w:sz w:val="20"/>
          <w:szCs w:val="20"/>
          <w:color w:val="auto"/>
        </w:rPr>
      </w:pPr>
    </w:p>
    <w:p>
      <w:pPr>
        <w:ind w:left="964" w:hanging="532"/>
        <w:spacing w:after="0" w:line="287" w:lineRule="auto"/>
        <w:tabs>
          <w:tab w:leader="none" w:pos="964" w:val="left"/>
        </w:tabs>
        <w:numPr>
          <w:ilvl w:val="1"/>
          <w:numId w:val="352"/>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Representations. </w:t>
      </w:r>
      <w:r>
        <w:rPr>
          <w:rFonts w:ascii="Arial" w:cs="Arial" w:eastAsia="Arial" w:hAnsi="Arial"/>
          <w:sz w:val="16"/>
          <w:szCs w:val="16"/>
          <w:color w:val="auto"/>
        </w:rPr>
        <w:t>Each of Dealer and Company acknowledges that the offer and sale of the Transaction to it is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exempt from registration under the Securities Act, by virtue of Section 4(a)(2) thereof. Accordingly, Dealer represents and warrants to Company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69" w:lineRule="exact"/>
        <w:rPr>
          <w:rFonts w:ascii="Arial" w:cs="Arial" w:eastAsia="Arial" w:hAnsi="Arial"/>
          <w:sz w:val="16"/>
          <w:szCs w:val="16"/>
          <w:color w:val="auto"/>
        </w:rPr>
      </w:pPr>
    </w:p>
    <w:p>
      <w:pPr>
        <w:ind w:left="424" w:hanging="424"/>
        <w:spacing w:after="0"/>
        <w:tabs>
          <w:tab w:leader="none" w:pos="424" w:val="left"/>
        </w:tabs>
        <w:numPr>
          <w:ilvl w:val="0"/>
          <w:numId w:val="35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135" w:lineRule="exact"/>
        <w:rPr>
          <w:sz w:val="20"/>
          <w:szCs w:val="20"/>
          <w:color w:val="auto"/>
        </w:rPr>
      </w:pPr>
    </w:p>
    <w:p>
      <w:pPr>
        <w:ind w:left="964" w:right="60" w:hanging="532"/>
        <w:spacing w:after="0" w:line="273" w:lineRule="auto"/>
        <w:tabs>
          <w:tab w:leader="none" w:pos="964" w:val="left"/>
        </w:tabs>
        <w:numPr>
          <w:ilvl w:val="0"/>
          <w:numId w:val="354"/>
        </w:numPr>
        <w:rPr>
          <w:rFonts w:ascii="Arial" w:cs="Arial" w:eastAsia="Arial" w:hAnsi="Arial"/>
          <w:sz w:val="17"/>
          <w:szCs w:val="17"/>
          <w:color w:val="auto"/>
        </w:rPr>
      </w:pPr>
      <w:r>
        <w:rPr>
          <w:rFonts w:ascii="Arial" w:cs="Arial" w:eastAsia="Arial" w:hAnsi="Arial"/>
          <w:sz w:val="17"/>
          <w:szCs w:val="17"/>
          <w:i w:val="1"/>
          <w:iCs w:val="1"/>
          <w:u w:val="single" w:color="auto"/>
          <w:color w:val="auto"/>
        </w:rPr>
        <w:t>Opinions</w:t>
      </w:r>
      <w:r>
        <w:rPr>
          <w:rFonts w:ascii="Arial" w:cs="Arial" w:eastAsia="Arial" w:hAnsi="Arial"/>
          <w:sz w:val="17"/>
          <w:szCs w:val="17"/>
          <w:i w:val="1"/>
          <w:iCs w:val="1"/>
          <w:color w:val="auto"/>
        </w:rPr>
        <w:t xml:space="preserve">. </w:t>
      </w:r>
      <w:r>
        <w:rPr>
          <w:rFonts w:ascii="Arial" w:cs="Arial" w:eastAsia="Arial" w:hAnsi="Arial"/>
          <w:sz w:val="17"/>
          <w:szCs w:val="17"/>
          <w:color w:val="auto"/>
        </w:rPr>
        <w:t>On or prior to the Premium Payment Date, Company shall deliver to Dealer an opinion of counsel, dated as of the Trade Date,</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due incorporation, existence and good standing of Company in Delaware, the due authorization, execution and delivery of this Confirmation, and, in respect of the execution, delivery and performance of this Confirmation, the absence of any conflict with or breach of any material agreement required to be filed as an exhibit to Company’s Annual Report on Form 10-K, Company’s certificate of incorporation or Company’s by-laws. Delivery of such opinion to Dealer shall be a condition precedent for the purpose of Section 2(a)(iii) of the Agreement with respect to each obligation of Dealer under Section 2(a)(i) of the Agreement.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297" w:name="page298"/>
    <w:bookmarkEnd w:id="297"/>
    <w:p>
      <w:pPr>
        <w:ind w:left="964" w:hanging="532"/>
        <w:spacing w:after="0" w:line="283" w:lineRule="auto"/>
        <w:tabs>
          <w:tab w:leader="none" w:pos="964" w:val="left"/>
        </w:tabs>
        <w:numPr>
          <w:ilvl w:val="0"/>
          <w:numId w:val="355"/>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Repurchase Notices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at least one Exchange Business Day prior to any day on which Company effects any repurchase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promptly give Dealer a written notice of such repurchase (a “</w:t>
      </w:r>
      <w:r>
        <w:rPr>
          <w:rFonts w:ascii="Arial" w:cs="Arial" w:eastAsia="Arial" w:hAnsi="Arial"/>
          <w:sz w:val="16"/>
          <w:szCs w:val="16"/>
          <w:b w:val="1"/>
          <w:bCs w:val="1"/>
          <w:color w:val="auto"/>
        </w:rPr>
        <w:t>Repurchase Notice</w:t>
      </w:r>
      <w:r>
        <w:rPr>
          <w:rFonts w:ascii="Arial" w:cs="Arial" w:eastAsia="Arial" w:hAnsi="Arial"/>
          <w:sz w:val="16"/>
          <w:szCs w:val="16"/>
          <w:color w:val="auto"/>
        </w:rPr>
        <w:t>”) on such day if following such repurchase, the Notice Percentage would reasonably be expected to be (i) greater than [__]</w:t>
      </w:r>
      <w:r>
        <w:rPr>
          <w:rFonts w:ascii="Arial" w:cs="Arial" w:eastAsia="Arial" w:hAnsi="Arial"/>
          <w:sz w:val="13"/>
          <w:szCs w:val="13"/>
          <w:color w:val="auto"/>
        </w:rPr>
        <w:t>2</w:t>
      </w:r>
      <w:r>
        <w:rPr>
          <w:rFonts w:ascii="Arial" w:cs="Arial" w:eastAsia="Arial" w:hAnsi="Arial"/>
          <w:sz w:val="16"/>
          <w:szCs w:val="16"/>
          <w:color w:val="auto"/>
        </w:rPr>
        <w:t xml:space="preserve">% and (ii) greater by 0.5% than the Notice Percentage included in the immediately preceding Repurchase/Adjustment Notice (or, in the case of the first such Repurchase/Adjustment Notice, greater by 0.5% than the Notice Percentage as of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Company shall not deliver any material non-public information to any employee of Dealer unless that employee has been identified to Company as being on the “private side”. The “</w:t>
      </w:r>
      <w:r>
        <w:rPr>
          <w:rFonts w:ascii="Arial" w:cs="Arial" w:eastAsia="Arial" w:hAnsi="Arial"/>
          <w:sz w:val="16"/>
          <w:szCs w:val="16"/>
          <w:b w:val="1"/>
          <w:bCs w:val="1"/>
          <w:color w:val="auto"/>
        </w:rPr>
        <w:t>Notice Percentage</w:t>
      </w:r>
      <w:r>
        <w:rPr>
          <w:rFonts w:ascii="Arial" w:cs="Arial" w:eastAsia="Arial" w:hAnsi="Arial"/>
          <w:sz w:val="16"/>
          <w:szCs w:val="16"/>
          <w:color w:val="auto"/>
        </w:rPr>
        <w:t>” as of any day is the fraction, expressed as a percentage, the numerator of which is the sum of (a) the product of the Number of Warrants and the Warrant Entitlement and (b) the number of Shares underlying any other similar warrant transaction sold by Company to Dealer and the denominator of which is the number of Shares outstanding on such day. Company agrees to indemnify and hold harmless Dealer and its affiliates and their respective officers, directors, employees, affiliates, advisors, agents and controlling persons (each,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from and against any and all losses (including losses relating to Dealer’s commercially reasonable hedging activities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 of becoming, or of the risk of becoming, a Section 16 “insider”, including without limitation, any forbearance from hedging activities or cessation of hedging activities in a commercially reasonable manner and any losses in connection therewith with respect to the Transaction), claims, damages, judgments, liabilities, expenses and fees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commercially reasonable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expects to be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liabilities, expenses or fees referred to therein, then Company, in lieu of indemnifying such Indemnified Person hereunder, shall contribute to the amount paid or payable by such Indemnified Person as a result of such losses, claims, damages, liabilities, expenses or fees. The remedies provided for in this paragraph are not exclusive and shall not limit any rights or remedies that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715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4" w:lineRule="exact"/>
        <w:rPr>
          <w:sz w:val="20"/>
          <w:szCs w:val="20"/>
          <w:color w:val="auto"/>
        </w:rPr>
      </w:pPr>
    </w:p>
    <w:p>
      <w:pPr>
        <w:jc w:val="center"/>
        <w:ind w:left="5424" w:right="140" w:hanging="5424"/>
        <w:spacing w:after="0" w:line="449" w:lineRule="auto"/>
        <w:tabs>
          <w:tab w:leader="none" w:pos="438" w:val="left"/>
        </w:tabs>
        <w:numPr>
          <w:ilvl w:val="0"/>
          <w:numId w:val="356"/>
        </w:numPr>
        <w:rPr>
          <w:rFonts w:ascii="Arial" w:cs="Arial" w:eastAsia="Arial" w:hAnsi="Arial"/>
          <w:sz w:val="15"/>
          <w:szCs w:val="15"/>
          <w:color w:val="auto"/>
        </w:rPr>
      </w:pPr>
      <w:r>
        <w:rPr>
          <w:rFonts w:ascii="Arial" w:cs="Arial" w:eastAsia="Arial" w:hAnsi="Arial"/>
          <w:sz w:val="18"/>
          <w:szCs w:val="18"/>
          <w:color w:val="auto"/>
        </w:rPr>
        <w:t>To be 0.5% higher than the number of Shares underlying the warrant (including any additional warrant) of the Dealer with the highest allocation. 15</w:t>
      </w:r>
    </w:p>
    <w:p>
      <w:pPr>
        <w:sectPr>
          <w:pgSz w:w="11900" w:h="16838" w:orient="portrait"/>
          <w:cols w:equalWidth="0" w:num="1">
            <w:col w:w="11004"/>
          </w:cols>
          <w:pgMar w:left="436" w:top="274" w:right="459" w:bottom="1440" w:gutter="0" w:footer="0" w:header="0"/>
        </w:sectPr>
      </w:pPr>
    </w:p>
    <w:bookmarkStart w:id="298" w:name="page299"/>
    <w:bookmarkEnd w:id="298"/>
    <w:p>
      <w:pPr>
        <w:ind w:left="540" w:right="80" w:hanging="532"/>
        <w:spacing w:after="0" w:line="259" w:lineRule="auto"/>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Regulation M</w:t>
      </w:r>
      <w:r>
        <w:rPr>
          <w:rFonts w:ascii="Arial" w:cs="Arial" w:eastAsia="Arial" w:hAnsi="Arial"/>
          <w:sz w:val="18"/>
          <w:szCs w:val="18"/>
          <w:color w:val="auto"/>
        </w:rPr>
        <w:t>. Company is not on the Trade Date engaged in a distribution, as such term is used in Regulation M under the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of a securities of Company, other than a distribution meeting the requirements of the exception set forth in Rules 101(b)(10) and 102(b)(7) of Regulation M. Company shall not, until the second scheduled Trading Day immediately following the Trade Date, engage in any such distribution.</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 or Assignment; Designation of Affiliates</w:t>
      </w:r>
      <w:r>
        <w:rPr>
          <w:rFonts w:ascii="Arial" w:cs="Arial" w:eastAsia="Arial" w:hAnsi="Arial"/>
          <w:sz w:val="18"/>
          <w:szCs w:val="18"/>
          <w:i w:val="1"/>
          <w:iCs w:val="1"/>
          <w:color w:val="auto"/>
        </w:rPr>
        <w:t>. [check cloudflare]</w:t>
      </w:r>
    </w:p>
    <w:p>
      <w:pPr>
        <w:spacing w:after="0" w:line="130" w:lineRule="exact"/>
        <w:rPr>
          <w:rFonts w:ascii="Arial" w:cs="Arial" w:eastAsia="Arial" w:hAnsi="Arial"/>
          <w:sz w:val="18"/>
          <w:szCs w:val="18"/>
          <w:color w:val="auto"/>
        </w:rPr>
      </w:pPr>
    </w:p>
    <w:p>
      <w:pPr>
        <w:ind w:left="1000" w:hanging="439"/>
        <w:spacing w:after="0" w:line="283" w:lineRule="auto"/>
        <w:tabs>
          <w:tab w:leader="none" w:pos="100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 xml:space="preserve">Company may not transfer any of its rights or obligations under the Transaction without the prior written consent of Dealer. Dealer may, without Company’s consent, transfer or assign all or any part of its rights or obligations under the Transaction to any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any such transfer or assignment, Company shall not be required to pay the transferee on any payment date an amount under Section 2(d)(i)(4) of the Agreement greater than an amount that Company would have been required to pay to Dealer in the absence of such transfer or assignment, except to the extent that the greater amount is due to a Change in Tax Law after the date of such transfer or assignment;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Dealer shall cause the transferee to deliver to the Company one duly executed and completed applicable Internal Revenue Service Form W-8 or Form W-9 (or successor thereto);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Dealer shall provide prompt written notice to Company following any such Transfer. If at any time at which (A)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 Percentage exceeds 7.5%, (B) the Warrant Equity Percentage exceeds 14.5%, or (C) the Share Amount exceeds the Applicable Share Limit (if any applies) (any such condition described in clauses (A), (B) or (C),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Dealer, acting in good faith,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was not the Affected Party). The “</w:t>
      </w:r>
      <w:r>
        <w:rPr>
          <w:rFonts w:ascii="Arial" w:cs="Arial" w:eastAsia="Arial" w:hAnsi="Arial"/>
          <w:sz w:val="16"/>
          <w:szCs w:val="16"/>
          <w:b w:val="1"/>
          <w:bCs w:val="1"/>
          <w:color w:val="auto"/>
        </w:rPr>
        <w:t>Section 16</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number of Shares that Dealer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Warrant Equity Percentage</w:t>
      </w:r>
      <w:r>
        <w:rPr>
          <w:rFonts w:ascii="Arial" w:cs="Arial" w:eastAsia="Arial" w:hAnsi="Arial"/>
          <w:sz w:val="16"/>
          <w:szCs w:val="16"/>
          <w:color w:val="auto"/>
        </w:rPr>
        <w:t>” as of any day is the fraction, expressed as a percentage, (A) the numerator of which is the sum of (1) the product of the Number of Warrants and the Warrant Entitlement and (2) the aggregate number of Shares underlying any other warrants purchased by Dealer from Company, and (B) the denominator of which is the number of Shares outstanding. The “</w:t>
      </w:r>
      <w:r>
        <w:rPr>
          <w:rFonts w:ascii="Arial" w:cs="Arial" w:eastAsia="Arial" w:hAnsi="Arial"/>
          <w:sz w:val="16"/>
          <w:szCs w:val="16"/>
          <w:b w:val="1"/>
          <w:bCs w:val="1"/>
          <w:color w:val="auto"/>
        </w:rPr>
        <w:t>Share Amount</w:t>
      </w:r>
      <w:r>
        <w:rPr>
          <w:rFonts w:ascii="Arial" w:cs="Arial" w:eastAsia="Arial" w:hAnsi="Arial"/>
          <w:sz w:val="16"/>
          <w:szCs w:val="16"/>
          <w:color w:val="auto"/>
        </w:rPr>
        <w:t>” as of any day is the number of Shares that Dealer and any person whose ownership position would be aggregated with 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Company that are, in each case, applicable to ownership of Shares, including without limitation, under</w:t>
      </w:r>
    </w:p>
    <w:p>
      <w:pPr>
        <w:spacing w:after="0" w:line="33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60" w:top="274" w:right="459" w:bottom="1440" w:gutter="0" w:footer="0" w:header="0"/>
        </w:sectPr>
      </w:pPr>
    </w:p>
    <w:bookmarkStart w:id="299" w:name="page300"/>
    <w:bookmarkEnd w:id="299"/>
    <w:p>
      <w:pPr>
        <w:ind w:left="10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or federal banking laws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commercially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could give rise to reporting or registration obligations or other requirements (including obtaining prior approval from any person or entity) of a Dealer Person, or could result in an adverse effect on a Dealer Person, under any Applicable Restriction, as determined by Dealer in its commercially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w:t>
      </w:r>
    </w:p>
    <w:p>
      <w:pPr>
        <w:spacing w:after="0" w:line="69" w:lineRule="exact"/>
        <w:rPr>
          <w:sz w:val="20"/>
          <w:szCs w:val="20"/>
          <w:color w:val="auto"/>
        </w:rPr>
      </w:pPr>
    </w:p>
    <w:p>
      <w:pPr>
        <w:ind w:left="1000" w:right="60" w:hanging="439"/>
        <w:spacing w:after="0" w:line="275" w:lineRule="auto"/>
        <w:tabs>
          <w:tab w:leader="none" w:pos="100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81" w:lineRule="exact"/>
        <w:rPr>
          <w:rFonts w:ascii="Arial" w:cs="Arial" w:eastAsia="Arial" w:hAnsi="Arial"/>
          <w:sz w:val="17"/>
          <w:szCs w:val="17"/>
          <w:color w:val="auto"/>
        </w:rPr>
      </w:pPr>
    </w:p>
    <w:p>
      <w:pPr>
        <w:ind w:left="540" w:right="60" w:hanging="532"/>
        <w:spacing w:after="0" w:line="273" w:lineRule="auto"/>
        <w:tabs>
          <w:tab w:leader="none" w:pos="540" w:val="left"/>
        </w:tabs>
        <w:numPr>
          <w:ilvl w:val="0"/>
          <w:numId w:val="359"/>
        </w:numPr>
        <w:rPr>
          <w:rFonts w:ascii="Arial" w:cs="Arial" w:eastAsia="Arial" w:hAnsi="Arial"/>
          <w:sz w:val="17"/>
          <w:szCs w:val="17"/>
          <w:color w:val="auto"/>
        </w:rPr>
      </w:pPr>
      <w:r>
        <w:rPr>
          <w:rFonts w:ascii="Arial" w:cs="Arial" w:eastAsia="Arial" w:hAnsi="Arial"/>
          <w:sz w:val="17"/>
          <w:szCs w:val="17"/>
          <w:i w:val="1"/>
          <w:iCs w:val="1"/>
          <w:u w:val="single" w:color="auto"/>
          <w:color w:val="auto"/>
        </w:rPr>
        <w:t>Dividends</w:t>
      </w:r>
      <w:r>
        <w:rPr>
          <w:rFonts w:ascii="Arial" w:cs="Arial" w:eastAsia="Arial" w:hAnsi="Arial"/>
          <w:sz w:val="17"/>
          <w:szCs w:val="17"/>
          <w:color w:val="auto"/>
        </w:rPr>
        <w:t>. If at any time during the period from and including the Effective Date, to and including the last Expiration Date (or, if any</w:t>
      </w:r>
      <w:r>
        <w:rPr>
          <w:rFonts w:ascii="Arial" w:cs="Arial" w:eastAsia="Arial" w:hAnsi="Arial"/>
          <w:sz w:val="17"/>
          <w:szCs w:val="17"/>
          <w:i w:val="1"/>
          <w:iCs w:val="1"/>
          <w:color w:val="auto"/>
        </w:rPr>
        <w:t xml:space="preserve"> </w:t>
      </w:r>
      <w:r>
        <w:rPr>
          <w:rFonts w:ascii="Arial" w:cs="Arial" w:eastAsia="Arial" w:hAnsi="Arial"/>
          <w:sz w:val="17"/>
          <w:szCs w:val="17"/>
          <w:color w:val="auto"/>
        </w:rPr>
        <w:t>Deficit Shares are owed pursuant to Section 9(o)(ii) of this Confirmation, such later date on which Company’s obligations under this Transaction have been satisfied in full), an ex-dividend date for a cash dividend or cash distribution occurs with respect to the Shares (an “</w:t>
      </w:r>
      <w:r>
        <w:rPr>
          <w:rFonts w:ascii="Arial" w:cs="Arial" w:eastAsia="Arial" w:hAnsi="Arial"/>
          <w:sz w:val="17"/>
          <w:szCs w:val="17"/>
          <w:b w:val="1"/>
          <w:bCs w:val="1"/>
          <w:color w:val="auto"/>
        </w:rPr>
        <w:t>Ex-Dividend Date</w:t>
      </w:r>
      <w:r>
        <w:rPr>
          <w:rFonts w:ascii="Arial" w:cs="Arial" w:eastAsia="Arial" w:hAnsi="Arial"/>
          <w:sz w:val="17"/>
          <w:szCs w:val="17"/>
          <w:color w:val="auto"/>
        </w:rPr>
        <w:t>”), then the Calculation Agent will adjust any of the Strike Price, Number of Warrants, Daily Number of Warrants and/or any other variable relevant to the exercise, settlement or payment of the Transaction in good faith and in a commercially reasonable manner to preserve the fair value of the Warrants after taking into account such dividend or distribution.</w:t>
      </w:r>
    </w:p>
    <w:p>
      <w:pPr>
        <w:spacing w:after="0" w:line="83" w:lineRule="exact"/>
        <w:rPr>
          <w:rFonts w:ascii="Arial" w:cs="Arial" w:eastAsia="Arial" w:hAnsi="Arial"/>
          <w:sz w:val="17"/>
          <w:szCs w:val="17"/>
          <w:color w:val="auto"/>
        </w:rPr>
      </w:pPr>
    </w:p>
    <w:p>
      <w:pPr>
        <w:ind w:left="540" w:hanging="532"/>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Agency language, if necessary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Provisions</w:t>
      </w:r>
      <w:r>
        <w:rPr>
          <w:rFonts w:ascii="Arial" w:cs="Arial" w:eastAsia="Arial" w:hAnsi="Arial"/>
          <w:sz w:val="18"/>
          <w:szCs w:val="18"/>
          <w:u w:val="single" w:color="auto"/>
          <w:color w:val="auto"/>
        </w:rPr>
        <w: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Amendments to the Equity Definitions:</w:t>
      </w:r>
    </w:p>
    <w:p>
      <w:pPr>
        <w:spacing w:after="0" w:line="130" w:lineRule="exact"/>
        <w:rPr>
          <w:rFonts w:ascii="Arial" w:cs="Arial" w:eastAsia="Arial" w:hAnsi="Arial"/>
          <w:sz w:val="18"/>
          <w:szCs w:val="18"/>
          <w:color w:val="auto"/>
        </w:rPr>
      </w:pPr>
    </w:p>
    <w:p>
      <w:pPr>
        <w:ind w:left="1540" w:right="20" w:hanging="533"/>
        <w:spacing w:after="0" w:line="286" w:lineRule="auto"/>
        <w:tabs>
          <w:tab w:leader="none" w:pos="1540" w:val="left"/>
        </w:tabs>
        <w:numPr>
          <w:ilvl w:val="2"/>
          <w:numId w:val="359"/>
        </w:numPr>
        <w:rPr>
          <w:rFonts w:ascii="Arial" w:cs="Arial" w:eastAsia="Arial" w:hAnsi="Arial"/>
          <w:sz w:val="16"/>
          <w:szCs w:val="16"/>
          <w:color w:val="auto"/>
        </w:rPr>
      </w:pPr>
      <w:r>
        <w:rPr>
          <w:rFonts w:ascii="Arial" w:cs="Arial" w:eastAsia="Arial" w:hAnsi="Arial"/>
          <w:sz w:val="16"/>
          <w:szCs w:val="16"/>
          <w:color w:val="auto"/>
        </w:rPr>
        <w:t>Section 11.2(a) of the Equity Definitions is hereby amended by (1) deleting the words “in the determination of the Calculation Agent, a diluting or concentrative effect on the theoretical value of the relevant Shares” and replacing these words with “in the commercially reasonable judgment of the Calculation Agent, a material economic effect on the theoretical value of the Shares or options on such Shares”; and (2) adding at the end thereof “; provided that such event is not based on</w:t>
      </w:r>
    </w:p>
    <w:p>
      <w:pPr>
        <w:spacing w:after="0" w:line="1" w:lineRule="exact"/>
        <w:rPr>
          <w:rFonts w:ascii="Arial" w:cs="Arial" w:eastAsia="Arial" w:hAnsi="Arial"/>
          <w:sz w:val="16"/>
          <w:szCs w:val="16"/>
          <w:color w:val="auto"/>
        </w:rPr>
      </w:pPr>
    </w:p>
    <w:p>
      <w:pPr>
        <w:ind w:left="1540" w:right="80" w:firstLine="7"/>
        <w:spacing w:after="0" w:line="260" w:lineRule="auto"/>
        <w:tabs>
          <w:tab w:leader="none" w:pos="1755" w:val="left"/>
        </w:tabs>
        <w:numPr>
          <w:ilvl w:val="3"/>
          <w:numId w:val="359"/>
        </w:numPr>
        <w:rPr>
          <w:rFonts w:ascii="Arial" w:cs="Arial" w:eastAsia="Arial" w:hAnsi="Arial"/>
          <w:sz w:val="18"/>
          <w:szCs w:val="18"/>
          <w:color w:val="auto"/>
        </w:rPr>
      </w:pPr>
      <w:r>
        <w:rPr>
          <w:rFonts w:ascii="Arial" w:cs="Arial" w:eastAsia="Arial" w:hAnsi="Arial"/>
          <w:sz w:val="18"/>
          <w:szCs w:val="18"/>
          <w:color w:val="auto"/>
        </w:rPr>
        <w:t>an observable market, other than the market for Counterparty’s own stock or (ii) an observable index, other than an index calculated measured solely by reference to Counterparty’s own operations.”</w:t>
      </w:r>
    </w:p>
    <w:p>
      <w:pPr>
        <w:spacing w:after="0" w:line="90" w:lineRule="exact"/>
        <w:rPr>
          <w:rFonts w:ascii="Arial" w:cs="Arial" w:eastAsia="Arial" w:hAnsi="Arial"/>
          <w:sz w:val="18"/>
          <w:szCs w:val="18"/>
          <w:color w:val="auto"/>
        </w:rPr>
      </w:pPr>
    </w:p>
    <w:p>
      <w:pPr>
        <w:ind w:left="1540" w:right="100" w:hanging="533"/>
        <w:spacing w:after="0" w:line="291" w:lineRule="auto"/>
        <w:tabs>
          <w:tab w:leader="none" w:pos="1540" w:val="left"/>
        </w:tabs>
        <w:numPr>
          <w:ilvl w:val="2"/>
          <w:numId w:val="359"/>
        </w:numPr>
        <w:rPr>
          <w:rFonts w:ascii="Arial" w:cs="Arial" w:eastAsia="Arial" w:hAnsi="Arial"/>
          <w:sz w:val="16"/>
          <w:szCs w:val="16"/>
          <w:color w:val="auto"/>
        </w:rPr>
      </w:pPr>
      <w:r>
        <w:rPr>
          <w:rFonts w:ascii="Arial" w:cs="Arial" w:eastAsia="Arial" w:hAnsi="Arial"/>
          <w:sz w:val="16"/>
          <w:szCs w:val="16"/>
          <w:color w:val="auto"/>
        </w:rPr>
        <w:t>Section 11.2(c) of the Equity Definitions is hereby amended by (w) replacing the words “a diluting or concentrative” with “an” in the fifth line thereof, (x) adding the phrase “or Warrants” after the words “the relevant Shares” in the same sentence,</w:t>
      </w:r>
    </w:p>
    <w:p>
      <w:pPr>
        <w:ind w:left="1540" w:firstLine="7"/>
        <w:spacing w:after="0" w:line="252" w:lineRule="auto"/>
        <w:tabs>
          <w:tab w:leader="none" w:pos="1795" w:val="left"/>
        </w:tabs>
        <w:numPr>
          <w:ilvl w:val="3"/>
          <w:numId w:val="360"/>
        </w:numPr>
        <w:rPr>
          <w:rFonts w:ascii="Arial" w:cs="Arial" w:eastAsia="Arial" w:hAnsi="Arial"/>
          <w:sz w:val="18"/>
          <w:szCs w:val="18"/>
          <w:color w:val="auto"/>
        </w:rPr>
      </w:pPr>
      <w:r>
        <w:rPr>
          <w:rFonts w:ascii="Arial" w:cs="Arial" w:eastAsia="Arial" w:hAnsi="Arial"/>
          <w:sz w:val="18"/>
          <w:szCs w:val="18"/>
          <w:color w:val="auto"/>
        </w:rPr>
        <w:t>deleting the words “diluting or concentrative” in the sixth to last line thereof and (z) deleting the phrase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to account solely for changes in volatility, expected dividends, stock loan rate or liquidity relative to the relevant Shares)” and replacing it with the phrase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in the case of Sections 11.2(e)(i), (ii) (A), (iv) and (v), no adjustments will be made to account solely for changes in volatility, expected dividends, stock loan rate or liquidity relative to the relevant Shares but, for the avoidance of doubt, solely in the case of Sections 11.2(e)(ii)(B) through (D), (iii), (vi), (vii) adjustments may be made to account solely for changes in volatility, expected dividends, stock loan rate or liquidity relative to the relevant Shares).”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60" w:top="270" w:right="459" w:bottom="1440" w:gutter="0" w:footer="0" w:header="0"/>
        </w:sectPr>
      </w:pPr>
    </w:p>
    <w:bookmarkStart w:id="300" w:name="page301"/>
    <w:bookmarkEnd w:id="300"/>
    <w:p>
      <w:pPr>
        <w:ind w:left="960" w:right="80" w:hanging="533"/>
        <w:spacing w:after="0" w:line="275" w:lineRule="auto"/>
        <w:tabs>
          <w:tab w:leader="none" w:pos="9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11.2(e)(vii) of the Equity Definitions is hereby amended and restated as follows: “any corporate event involving the Issuer or its securities that in the commercially reasonable judgment of the Calculation Agent has a material economic effect on the theoretical value of the Shares or options on the Shares; provided that such event is not based on (a) an observable market, other than the market for Counterparty’s own stock or (b) an observable index, other than an index calculated measured solely by reference to Counterparty’s own operations.”</w:t>
      </w:r>
    </w:p>
    <w:p>
      <w:pPr>
        <w:spacing w:after="0" w:line="81" w:lineRule="exact"/>
        <w:rPr>
          <w:rFonts w:ascii="Arial" w:cs="Arial" w:eastAsia="Arial" w:hAnsi="Arial"/>
          <w:sz w:val="17"/>
          <w:szCs w:val="17"/>
          <w:color w:val="auto"/>
        </w:rPr>
      </w:pPr>
    </w:p>
    <w:p>
      <w:pPr>
        <w:ind w:left="960" w:right="100" w:hanging="533"/>
        <w:spacing w:after="0" w:line="259" w:lineRule="auto"/>
        <w:tabs>
          <w:tab w:leader="none" w:pos="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the occurrence of any of the events specified in Section 5(a)(vii) (1) through (9) of the ISDA Master Agreement with respect to that Issuer.”</w:t>
      </w:r>
    </w:p>
    <w:p>
      <w:pPr>
        <w:spacing w:after="0" w:line="92" w:lineRule="exact"/>
        <w:rPr>
          <w:rFonts w:ascii="Arial" w:cs="Arial" w:eastAsia="Arial" w:hAnsi="Arial"/>
          <w:sz w:val="18"/>
          <w:szCs w:val="18"/>
          <w:color w:val="auto"/>
        </w:rPr>
      </w:pPr>
    </w:p>
    <w:p>
      <w:pPr>
        <w:ind w:left="960" w:hanging="533"/>
        <w:spacing w:after="0" w:line="284" w:lineRule="auto"/>
        <w:tabs>
          <w:tab w:leader="none" w:pos="96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 the amount of the Hedging Shares or” in the penultimate sentence; “</w:t>
      </w:r>
      <w:r>
        <w:rPr>
          <w:rFonts w:ascii="Arial" w:cs="Arial" w:eastAsia="Arial" w:hAnsi="Arial"/>
          <w:sz w:val="16"/>
          <w:szCs w:val="16"/>
          <w:b w:val="1"/>
          <w:bCs w:val="1"/>
          <w:color w:val="auto"/>
        </w:rPr>
        <w:t>Lending Party</w:t>
      </w:r>
      <w:r>
        <w:rPr>
          <w:rFonts w:ascii="Arial" w:cs="Arial" w:eastAsia="Arial" w:hAnsi="Arial"/>
          <w:sz w:val="16"/>
          <w:szCs w:val="16"/>
          <w:color w:val="auto"/>
        </w:rPr>
        <w:t>” means a third party that is not Company or an affiliate of Company that Dealer considers to be an acceptable counterparty (acting in good faith and in a reasonable manner in light of (x) other transactions that Dealer (or its agent or affiliate) may have entered into with such party and</w:t>
      </w:r>
    </w:p>
    <w:p>
      <w:pPr>
        <w:spacing w:after="0" w:line="4" w:lineRule="exact"/>
        <w:rPr>
          <w:rFonts w:ascii="Arial" w:cs="Arial" w:eastAsia="Arial" w:hAnsi="Arial"/>
          <w:sz w:val="16"/>
          <w:szCs w:val="16"/>
          <w:color w:val="auto"/>
        </w:rPr>
      </w:pPr>
    </w:p>
    <w:p>
      <w:pPr>
        <w:ind w:left="960" w:right="20" w:firstLine="7"/>
        <w:spacing w:after="0" w:line="255" w:lineRule="auto"/>
        <w:tabs>
          <w:tab w:leader="none" w:pos="1215"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w:t>
      </w:r>
    </w:p>
    <w:p>
      <w:pPr>
        <w:spacing w:after="0" w:line="95" w:lineRule="exact"/>
        <w:rPr>
          <w:rFonts w:ascii="Arial" w:cs="Arial" w:eastAsia="Arial" w:hAnsi="Arial"/>
          <w:sz w:val="18"/>
          <w:szCs w:val="18"/>
          <w:color w:val="auto"/>
        </w:rPr>
      </w:pPr>
    </w:p>
    <w:p>
      <w:pPr>
        <w:ind w:left="960" w:hanging="533"/>
        <w:spacing w:after="0"/>
        <w:tabs>
          <w:tab w:leader="none" w:pos="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w:t>
      </w:r>
    </w:p>
    <w:p>
      <w:pPr>
        <w:spacing w:after="0" w:line="130" w:lineRule="exact"/>
        <w:rPr>
          <w:rFonts w:ascii="Arial" w:cs="Arial" w:eastAsia="Arial" w:hAnsi="Arial"/>
          <w:sz w:val="18"/>
          <w:szCs w:val="18"/>
          <w:color w:val="auto"/>
        </w:rPr>
      </w:pPr>
    </w:p>
    <w:p>
      <w:pPr>
        <w:ind w:left="1400" w:hanging="433"/>
        <w:spacing w:after="0"/>
        <w:tabs>
          <w:tab w:leader="none" w:pos="140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adding the word “or” immediately before subsection “(B)” and deleting the comma at the end of subsection (A); and</w:t>
      </w:r>
    </w:p>
    <w:p>
      <w:pPr>
        <w:spacing w:after="0" w:line="153" w:lineRule="exact"/>
        <w:rPr>
          <w:rFonts w:ascii="Arial" w:cs="Arial" w:eastAsia="Arial" w:hAnsi="Arial"/>
          <w:sz w:val="16"/>
          <w:szCs w:val="16"/>
          <w:color w:val="auto"/>
        </w:rPr>
      </w:pPr>
    </w:p>
    <w:p>
      <w:pPr>
        <w:ind w:left="1400" w:right="20" w:hanging="433"/>
        <w:spacing w:after="0" w:line="287" w:lineRule="auto"/>
        <w:tabs>
          <w:tab w:leader="none" w:pos="140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in a commercially reasonable manner.” and (4) deleting clause</w:t>
      </w:r>
    </w:p>
    <w:p>
      <w:pPr>
        <w:spacing w:after="0" w:line="2"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(X) in the final sentence.</w:t>
      </w:r>
    </w:p>
    <w:p>
      <w:pPr>
        <w:spacing w:after="0" w:line="116" w:lineRule="exact"/>
        <w:rPr>
          <w:rFonts w:ascii="Arial" w:cs="Arial" w:eastAsia="Arial" w:hAnsi="Arial"/>
          <w:sz w:val="16"/>
          <w:szCs w:val="16"/>
          <w:color w:val="auto"/>
        </w:rPr>
      </w:pPr>
    </w:p>
    <w:p>
      <w:pPr>
        <w:ind w:left="960" w:hanging="533"/>
        <w:spacing w:after="0"/>
        <w:tabs>
          <w:tab w:leader="none" w:pos="9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Section 12.9(b)(vi) of the Equity Definitions is hereby amended by:</w:t>
      </w:r>
    </w:p>
    <w:p>
      <w:pPr>
        <w:spacing w:after="0" w:line="130" w:lineRule="exact"/>
        <w:rPr>
          <w:rFonts w:ascii="Arial" w:cs="Arial" w:eastAsia="Arial" w:hAnsi="Arial"/>
          <w:sz w:val="18"/>
          <w:szCs w:val="18"/>
          <w:color w:val="auto"/>
        </w:rPr>
      </w:pPr>
    </w:p>
    <w:p>
      <w:pPr>
        <w:ind w:left="1400" w:hanging="433"/>
        <w:spacing w:after="0"/>
        <w:tabs>
          <w:tab w:leader="none" w:pos="140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adding the word “or” immediately before subsection “(B)” and deleting the comma at the end of subsection (A); and</w:t>
      </w:r>
    </w:p>
    <w:p>
      <w:pPr>
        <w:spacing w:after="0" w:line="153" w:lineRule="exact"/>
        <w:rPr>
          <w:rFonts w:ascii="Arial" w:cs="Arial" w:eastAsia="Arial" w:hAnsi="Arial"/>
          <w:sz w:val="16"/>
          <w:szCs w:val="16"/>
          <w:color w:val="auto"/>
        </w:rPr>
      </w:pPr>
    </w:p>
    <w:p>
      <w:pPr>
        <w:ind w:left="1400" w:right="100" w:hanging="433"/>
        <w:spacing w:after="0" w:line="286" w:lineRule="auto"/>
        <w:tabs>
          <w:tab w:leader="none" w:pos="140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(1) deleting subsection (C) in its entirety, (2) deleting the word “or” immediately preceding subsection (C) and (3) deleting the final sentence in its entirety and replacing it with the sentence “The Hedging Party will determine in good faith and in a commercially reasonable manner the Cancellation Amount payable by one party to the other.”</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301" w:name="page302"/>
    <w:bookmarkEnd w:id="301"/>
    <w:p>
      <w:pPr>
        <w:ind w:left="439" w:right="80" w:hanging="439"/>
        <w:spacing w:after="0" w:line="269" w:lineRule="auto"/>
        <w:tabs>
          <w:tab w:leader="none" w:pos="439" w:val="left"/>
        </w:tabs>
        <w:numPr>
          <w:ilvl w:val="0"/>
          <w:numId w:val="3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or, at the election of Dealer in its sole reasonable discretion, any portion of the Transaction, shall be deemed the sole Affected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Dealer so designates an Early Termination Date with respect to a portion of the Transaction, (a) a payment shall be made pursuant to Section 6 of the Agreement as if an Early Termination Date had been designated in respect of a Transaction having terms identical to the Transaction and a Number of Warrants equal to the number of Warrants included in the terminated portion of the Transaction, and (b) for the avoidance of doubt, the Transaction shall remain in full force and effect except that the Number of Warrants shall be reduced by the number of Warrants included in such terminated portion:</w:t>
      </w:r>
    </w:p>
    <w:p>
      <w:pPr>
        <w:spacing w:after="0" w:line="90" w:lineRule="exact"/>
        <w:rPr>
          <w:rFonts w:ascii="Arial" w:cs="Arial" w:eastAsia="Arial" w:hAnsi="Arial"/>
          <w:sz w:val="17"/>
          <w:szCs w:val="17"/>
          <w:color w:val="auto"/>
        </w:rPr>
      </w:pPr>
    </w:p>
    <w:p>
      <w:pPr>
        <w:ind w:left="979" w:hanging="533"/>
        <w:spacing w:after="0" w:line="283" w:lineRule="auto"/>
        <w:tabs>
          <w:tab w:leader="none" w:pos="979" w:val="left"/>
        </w:tabs>
        <w:numPr>
          <w:ilvl w:val="1"/>
          <w:numId w:val="364"/>
        </w:numPr>
        <w:rPr>
          <w:rFonts w:ascii="Arial" w:cs="Arial" w:eastAsia="Arial" w:hAnsi="Arial"/>
          <w:sz w:val="16"/>
          <w:szCs w:val="16"/>
          <w:color w:val="auto"/>
        </w:rPr>
      </w:pPr>
      <w:r>
        <w:rPr>
          <w:rFonts w:ascii="Arial" w:cs="Arial" w:eastAsia="Arial" w:hAnsi="Arial"/>
          <w:sz w:val="16"/>
          <w:szCs w:val="16"/>
          <w:color w:val="auto"/>
        </w:rPr>
        <w:t xml:space="preserve">A “person” or “group” within the meaning of Section 13(d) of the Exchange Act, other than Company, its direct or indirect wholly owned subsidiaries or its and their employee benefit plans, files a Schedule TO (or any successor schedule, form or report) or any schedule, form or report under the Exchange Act disclosing that such person or group has become the direct or indirect “beneficial owner,” as defined in Rule 13d-3 under the Exchange Act, of the Common Stock of Company representing more than 50% of the voting power of the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voting power of the Shares (or such common equity into which the Shares has been reclassified) directly or indirectly “beneficially owned,” as defined in Rule 13d-3 under the Exchange Act, by a Founder (as defined below) or “group” (that includes the Founders) will exclude (I) any Shares (or such common equity into which the Shares have been reclassified) directly or indirectly beneficially owned by the Founders on the date of the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relating to the Convertible Senior Notes due 202[__] (as originally issued by Counterparty, the “</w:t>
      </w:r>
      <w:r>
        <w:rPr>
          <w:rFonts w:ascii="Arial" w:cs="Arial" w:eastAsia="Arial" w:hAnsi="Arial"/>
          <w:sz w:val="16"/>
          <w:szCs w:val="16"/>
          <w:b w:val="1"/>
          <w:bCs w:val="1"/>
          <w:color w:val="auto"/>
        </w:rPr>
        <w:t>Convertible Notes</w:t>
      </w:r>
      <w:r>
        <w:rPr>
          <w:rFonts w:ascii="Arial" w:cs="Arial" w:eastAsia="Arial" w:hAnsi="Arial"/>
          <w:sz w:val="16"/>
          <w:szCs w:val="16"/>
          <w:color w:val="auto"/>
        </w:rPr>
        <w:t xml:space="preserve">”) and (II) any Shares (or such common equity into which the Shares has been reclassified) directly or indirectly beneficially owned by the Founders as a result of the acquisition by any of the Founders of equity grants (or the exercise or conversion thereof) outstanding on the date of the Indenture or subsequently granted, in each case, made under the Company’s equity incentive plans;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person or group shall be deemed to be the beneficial owner of any securities (i) tendered pursuant to a tender or exchange offer made by or on behalf of such “person” or “group” until such tendered securities are accepted for purchase or exchange under such offer or</w:t>
      </w:r>
    </w:p>
    <w:p>
      <w:pPr>
        <w:ind w:left="979" w:right="18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(ii) subject to a support, voting, tender or similar agreement, arrangement or understanding (with or without granting a proxy) entered into in connection with a Liquidation Event (as defined in the amended and restated certificate of incorporation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Liquidation Event was approved by a majority of the Independent Directors (as defined in the amended and restated certificate of incorporation of the Company) then in office until such Liquidation Event is consummated. As used herein, “</w:t>
      </w:r>
      <w:r>
        <w:rPr>
          <w:rFonts w:ascii="Arial" w:cs="Arial" w:eastAsia="Arial" w:hAnsi="Arial"/>
          <w:sz w:val="16"/>
          <w:szCs w:val="16"/>
          <w:b w:val="1"/>
          <w:bCs w:val="1"/>
          <w:color w:val="auto"/>
        </w:rPr>
        <w:t>Founder</w:t>
      </w:r>
      <w:r>
        <w:rPr>
          <w:rFonts w:ascii="Arial" w:cs="Arial" w:eastAsia="Arial" w:hAnsi="Arial"/>
          <w:sz w:val="16"/>
          <w:szCs w:val="16"/>
          <w:color w:val="auto"/>
        </w:rPr>
        <w:t>” shall mean each of (a) Andrew W. Houston, (b) any trust, individual retirement account, or business entity (including any corporation, limited liability company, partnership, foundation, or similar entity) for which Andrew W. Houston retains sole voting and dispositive power with respect to the Shares or Class B common stock held by such trust, individual retirement account, or business entity (including, without limitation, the Houston Remainder Trust dated 12/30/2010, the Andrew W. Houston Revocable Trust dated 9/7/2011, the Houston 2012 Irrevocable Children’s Trust dated 4/12/2012 and the Andrew Houston Revocable Trust u/a/d 9/7/2011), and the trustees, legal representatives, beneficiaries, and/or beneficial owners of such trust, individual retirement account, or business entity, and (c) the estate, heirs, and lineal descendants of Andrew W. Houston.</w:t>
      </w:r>
    </w:p>
    <w:p>
      <w:pPr>
        <w:spacing w:after="0" w:line="104"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1421" w:top="274" w:right="459" w:bottom="1440" w:gutter="0" w:footer="0" w:header="0"/>
        </w:sectPr>
      </w:pPr>
    </w:p>
    <w:bookmarkStart w:id="302" w:name="page303"/>
    <w:bookmarkEnd w:id="302"/>
    <w:p>
      <w:pPr>
        <w:ind w:left="960" w:hanging="533"/>
        <w:spacing w:after="0" w:line="285" w:lineRule="auto"/>
        <w:tabs>
          <w:tab w:leader="none" w:pos="960" w:val="left"/>
        </w:tabs>
        <w:numPr>
          <w:ilvl w:val="0"/>
          <w:numId w:val="3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consummation of (I) any recapitalization, reclassification, or change of the Shares (other than changes resulting from a subdivision or combination or a change in par value, or the reclassification of the Class B common stock into the Shares pursuant to the terms of the amended and restated certificate of incorporation of the Company or the reclassification of the Class C common stock into the Shares pursuant to the terms of the amended and restated certificate of incorporation of the Company, including, in each case, without limitation, any amendment to the amended and restated certificate of incorporation of the Company to remove references to the Shares, Class B common stock or Class C common stock and any inoperative provision related to such class of stock or multiple class structure in connection therewith) as a result of which the Shares would be converted into, or exchanged for, stock, other securities, or other property or assets; (II) any share exchange, consolidation or merger of the Company pursuant to which the Shares will be converted into cash, securities, or other property or assets; or (III) any sale, lease, or other transfer in one transaction or a series of transactions of all or substantially all of the consolidated assets of the Company and its subsidiaries, taken as a whole, to any person other than one of the Company’s direct or indirect wholly owned subsidiaries. Notwithstanding the foregoing, any transaction or transactions set forth in this clause (B) shall not constitute an Additional Termination Event if (y)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or (z) any merger of the Company is solely for the purpose of changing its jurisdiction of incorporation that results in a reclassification, conversion or exchange of outstanding shares of common stock solely into shares of common stock of the surviving entity.</w:t>
      </w:r>
    </w:p>
    <w:p>
      <w:pPr>
        <w:spacing w:after="0" w:line="76" w:lineRule="exact"/>
        <w:rPr>
          <w:rFonts w:ascii="Arial" w:cs="Arial" w:eastAsia="Arial" w:hAnsi="Arial"/>
          <w:sz w:val="16"/>
          <w:szCs w:val="16"/>
          <w:color w:val="auto"/>
        </w:rPr>
      </w:pPr>
    </w:p>
    <w:p>
      <w:pPr>
        <w:ind w:left="960" w:hanging="533"/>
        <w:spacing w:after="0"/>
        <w:tabs>
          <w:tab w:leader="none" w:pos="9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stockholders of Company approve any plan or proposal for the liquidation or dissolution of Company.</w:t>
      </w:r>
    </w:p>
    <w:p>
      <w:pPr>
        <w:spacing w:after="0" w:line="130" w:lineRule="exact"/>
        <w:rPr>
          <w:rFonts w:ascii="Arial" w:cs="Arial" w:eastAsia="Arial" w:hAnsi="Arial"/>
          <w:sz w:val="18"/>
          <w:szCs w:val="18"/>
          <w:color w:val="auto"/>
        </w:rPr>
      </w:pPr>
    </w:p>
    <w:p>
      <w:pPr>
        <w:ind w:left="960" w:right="200" w:hanging="533"/>
        <w:spacing w:after="0" w:line="277" w:lineRule="auto"/>
        <w:tabs>
          <w:tab w:leader="none" w:pos="9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Shares cease to be listed or quoted on any of The New York Stock Exchange, The NASDAQ Global Select Market or The NASDAQ Global Market (or any of their respective successors).</w:t>
      </w:r>
    </w:p>
    <w:p>
      <w:pPr>
        <w:spacing w:after="0" w:line="75" w:lineRule="exact"/>
        <w:rPr>
          <w:rFonts w:ascii="Arial" w:cs="Arial" w:eastAsia="Arial" w:hAnsi="Arial"/>
          <w:sz w:val="18"/>
          <w:szCs w:val="18"/>
          <w:color w:val="auto"/>
        </w:rPr>
      </w:pPr>
    </w:p>
    <w:p>
      <w:pPr>
        <w:ind w:left="960" w:right="120" w:hanging="533"/>
        <w:spacing w:after="0" w:line="269" w:lineRule="auto"/>
        <w:tabs>
          <w:tab w:leader="none" w:pos="9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Default by Company or any of its Significant Subsidiaries (as defined below) with respect to any mortgage, agreement or other instrument under which there may be outstanding, or by which there may be secured or evidenced, any indebtedness for money borrowed in excess of USD 75,000,000 (or its foreign currency equivalent) in the aggregate of the Company and/or any such subsidiary, whether such indebtedness now exists or shall hereafter be created (i) resulting in such indebtedness becoming or being declared due and payable or (ii) constituting a failure to pay the principal of any such indebtedness when due and payable at its stated maturity, upon required repurchase, upon declaration of acceleration or otherwise, and in the cases of clauses (i) and (ii), such acceleration shall not, after the expiration of any applicable grace period, have been rescinded or annulled or such failure to pay or default shall not have been cured or waived, or such indebtedness shall not have been paid or discharged, as the case may be, within 30 days after written notice to Company by the trustee or to the Company and the trustee by holders of at least 25% in aggregate principal amount of notes then outstanding in accordance with the Indenture.</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960"/>
          </w:cols>
          <w:pgMar w:left="1440" w:top="274" w:right="499" w:bottom="1440" w:gutter="0" w:footer="0" w:header="0"/>
        </w:sectPr>
      </w:pPr>
    </w:p>
    <w:bookmarkStart w:id="303" w:name="page304"/>
    <w:bookmarkEnd w:id="303"/>
    <w:p>
      <w:pPr>
        <w:ind w:left="1980"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a subsidiary of the Company that meets the definition of “significant subsidiary” in Article 1, Rule 1-02(w) of Regulation S-X promulgated by the Securities and Exchange Commission (or any successor</w:t>
      </w:r>
    </w:p>
    <w:p>
      <w:pPr>
        <w:spacing w:after="0" w:line="1" w:lineRule="exact"/>
        <w:rPr>
          <w:sz w:val="20"/>
          <w:szCs w:val="20"/>
          <w:color w:val="auto"/>
        </w:rPr>
      </w:pPr>
    </w:p>
    <w:p>
      <w:pPr>
        <w:ind w:left="1980"/>
        <w:spacing w:after="0" w:line="268" w:lineRule="auto"/>
        <w:rPr>
          <w:sz w:val="20"/>
          <w:szCs w:val="20"/>
          <w:color w:val="auto"/>
        </w:rPr>
      </w:pPr>
      <w:r>
        <w:rPr>
          <w:rFonts w:ascii="Arial" w:cs="Arial" w:eastAsia="Arial" w:hAnsi="Arial"/>
          <w:sz w:val="17"/>
          <w:szCs w:val="17"/>
          <w:color w:val="auto"/>
        </w:rPr>
        <w:t xml:space="preserve">rule);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subsidiary that meets the criteria of clause (1)(iii) of the definition thereof but not clause (1)(i) or (1)(ii) thereof, in each case as such rule is in effect on the date hereof, then such subsidiary shall not be deemed to be a Significant Subsidiary unless the subsidiary’s income from continuing operations before income taxes, exclusive of amounts attributable to any non-controlling interests, for the last completed fiscal year prior to the date of such determination exceeds $35,000,000 (with such amount calculated pursuant to Rule 1-02(w) as in effect on the date hereof). For the avoidance of doubt, for purposes of this definition, to the extent any such subsidiary would not be deemed to be a “significant subsidiary” under the relevant definition set forth in Rule 1-02(w) of Regulation S-X (or any successor rule) as in effect on the relevant date of determination, such Subsidiary shall not be deemed to be a “Significant Subsidiary” under the Indenture irrespective of whether such subsidiary would otherwise be deemed to be a “Significant Subsidiary” after giving effect to the proviso in the immediately preceding sentence.</w:t>
      </w:r>
    </w:p>
    <w:p>
      <w:pPr>
        <w:spacing w:after="0" w:line="84" w:lineRule="exact"/>
        <w:rPr>
          <w:sz w:val="20"/>
          <w:szCs w:val="20"/>
          <w:color w:val="auto"/>
        </w:rPr>
      </w:pPr>
    </w:p>
    <w:p>
      <w:pPr>
        <w:ind w:left="1960" w:right="20" w:hanging="533"/>
        <w:spacing w:after="0" w:line="269" w:lineRule="auto"/>
        <w:tabs>
          <w:tab w:leader="none" w:pos="196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Dealer reasonably determines, based on the advice of counsel, that it is advisable to terminate a portion of the Transaction so that Dealer’s related commercially reasonable hedging activities will comply with applicable securities laws, rules or regulations or related policies and procedures of Dealer generally applicable to corporate equity derivatives transactions (whether or not such requirements, policies or procedures are imposed by law or have been voluntarily adopted by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requirements, policies and procedures relate to regulatory issues and are generally applicable in similar situations and are applied in a consistent manner to similar transactions)), or Dealer, despite using commercially reasonable efforts, is unable or reasonably determines that it is impractical or illegal to effect a commercially reasonable hedge with respect to this Transaction in the public market without registration under the Securities Act or as a result of any legal, regulatory or self-regulatory requirements or related policies and procedures (whether or not such requirements, policies or procedures are imposed by law or have been voluntarily adopted by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requirements, policies and procedures relate to regulatory issues and are generally applicable in similar situations and are applied in a consistent manner to similar transactions)).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Notwithstanding the foregoing, any transaction or transactions set forth in this clause (A) or clause (B) shall not constitute an Additional Termination Event if (y) at least 90% of the consideration received or to be received by holders of the Shares, excluding cash payments for fractional Shares or pursuant to statutory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excluding cash payments for fractional shares or pursuant to statutory dissenters’ appraisal rights.</w:t>
      </w:r>
    </w:p>
    <w:p>
      <w:pPr>
        <w:spacing w:after="0" w:line="98" w:lineRule="exact"/>
        <w:rPr>
          <w:sz w:val="20"/>
          <w:szCs w:val="20"/>
          <w:color w:val="auto"/>
        </w:rPr>
      </w:pPr>
    </w:p>
    <w:p>
      <w:pPr>
        <w:ind w:left="1420" w:right="100" w:hanging="439"/>
        <w:spacing w:after="0" w:line="257" w:lineRule="auto"/>
        <w:tabs>
          <w:tab w:leader="none" w:pos="14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portions thereof) being the Affected Transaction and Company being the sole Affected Party) shall be deemed to occur, and, in lieu of Sections 12.7, 12.8 and 12.9 of the Equity Definitions, Section 6 of the Agreement shall apply to such Affected Transaction.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04" w:name="page305"/>
    <w:bookmarkEnd w:id="304"/>
    <w:p>
      <w:pPr>
        <w:ind w:left="532" w:right="180" w:hanging="532"/>
        <w:spacing w:after="0" w:line="259" w:lineRule="auto"/>
        <w:tabs>
          <w:tab w:leader="none" w:pos="532" w:val="left"/>
        </w:tabs>
        <w:numPr>
          <w:ilvl w:val="0"/>
          <w:numId w:val="368"/>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Collateral or Setoff</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provision of the Agreement or any other agreement between the parties to the contrary,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Company hereunder are not secured by any collateral. Obligations under the Transaction shall not be set off by Company against any other obligations of the parties, whether arising under the Agreement, this Confirmation, under any other agreement between the parties hereto, by operation of law or otherwise.</w:t>
      </w:r>
    </w:p>
    <w:p>
      <w:pPr>
        <w:spacing w:after="0" w:line="92" w:lineRule="exact"/>
        <w:rPr>
          <w:rFonts w:ascii="Arial" w:cs="Arial" w:eastAsia="Arial" w:hAnsi="Arial"/>
          <w:sz w:val="18"/>
          <w:szCs w:val="18"/>
          <w:color w:val="auto"/>
        </w:rPr>
      </w:pPr>
    </w:p>
    <w:p>
      <w:pPr>
        <w:ind w:left="532" w:right="80" w:hanging="532"/>
        <w:spacing w:after="0" w:line="271" w:lineRule="auto"/>
        <w:tabs>
          <w:tab w:leader="none" w:pos="532" w:val="left"/>
        </w:tabs>
        <w:numPr>
          <w:ilvl w:val="0"/>
          <w:numId w:val="368"/>
        </w:numPr>
        <w:rPr>
          <w:rFonts w:ascii="Arial" w:cs="Arial" w:eastAsia="Arial" w:hAnsi="Arial"/>
          <w:sz w:val="17"/>
          <w:szCs w:val="17"/>
          <w:color w:val="auto"/>
        </w:rPr>
      </w:pPr>
      <w:r>
        <w:rPr>
          <w:rFonts w:ascii="Arial" w:cs="Arial" w:eastAsia="Arial" w:hAnsi="Arial"/>
          <w:sz w:val="17"/>
          <w:szCs w:val="17"/>
          <w:i w:val="1"/>
          <w:iCs w:val="1"/>
          <w:u w:val="single" w:color="auto"/>
          <w:color w:val="auto"/>
        </w:rPr>
        <w:t>Alternative Calculations and Payment on Early Termination and on Certain Extraordinary Events</w:t>
      </w:r>
      <w:r>
        <w:rPr>
          <w:rFonts w:ascii="Arial" w:cs="Arial" w:eastAsia="Arial" w:hAnsi="Arial"/>
          <w:sz w:val="17"/>
          <w:szCs w:val="17"/>
          <w:color w:val="auto"/>
        </w:rPr>
        <w:t>. If, in respect of the Transaction, an</w:t>
      </w:r>
      <w:r>
        <w:rPr>
          <w:rFonts w:ascii="Arial" w:cs="Arial" w:eastAsia="Arial" w:hAnsi="Arial"/>
          <w:sz w:val="17"/>
          <w:szCs w:val="17"/>
          <w:i w:val="1"/>
          <w:iCs w:val="1"/>
          <w:color w:val="auto"/>
        </w:rPr>
        <w:t xml:space="preserve"> </w:t>
      </w:r>
      <w:r>
        <w:rPr>
          <w:rFonts w:ascii="Arial" w:cs="Arial" w:eastAsia="Arial" w:hAnsi="Arial"/>
          <w:sz w:val="17"/>
          <w:szCs w:val="17"/>
          <w:color w:val="auto"/>
        </w:rPr>
        <w:t>amount is payable by Company to Dealer pursuant to Section 6(d)(ii) of the Agreement (any such amount, a “</w:t>
      </w:r>
      <w:r>
        <w:rPr>
          <w:rFonts w:ascii="Arial" w:cs="Arial" w:eastAsia="Arial" w:hAnsi="Arial"/>
          <w:sz w:val="17"/>
          <w:szCs w:val="17"/>
          <w:b w:val="1"/>
          <w:bCs w:val="1"/>
          <w:color w:val="auto"/>
        </w:rPr>
        <w:t>Payment Obligation</w:t>
      </w:r>
      <w:r>
        <w:rPr>
          <w:rFonts w:ascii="Arial" w:cs="Arial" w:eastAsia="Arial" w:hAnsi="Arial"/>
          <w:sz w:val="17"/>
          <w:szCs w:val="17"/>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8I(c) as of the date of such election and (c) Dealer agrees, in its commercially reasonable discretion, to such election, in which case the provisions of Section 6(d)(ii) of the Agreement shall apply.</w:t>
      </w:r>
    </w:p>
    <w:p>
      <w:pPr>
        <w:sectPr>
          <w:pgSz w:w="11900" w:h="16838" w:orient="portrait"/>
          <w:cols w:equalWidth="0" w:num="1">
            <w:col w:w="10572"/>
          </w:cols>
          <w:pgMar w:left="868" w:top="274" w:right="459" w:bottom="1440" w:gutter="0" w:footer="0" w:header="0"/>
        </w:sectPr>
      </w:pPr>
    </w:p>
    <w:p>
      <w:pPr>
        <w:spacing w:after="0" w:line="205" w:lineRule="exact"/>
        <w:rPr>
          <w:sz w:val="20"/>
          <w:szCs w:val="20"/>
          <w:color w:val="auto"/>
        </w:rPr>
      </w:pPr>
    </w:p>
    <w:p>
      <w:pPr>
        <w:ind w:left="292"/>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applicable, Company shall deliver to Dealer the Share Termination Delivery Property on the date (the “</w:t>
      </w:r>
      <w:r>
        <w:rPr>
          <w:rFonts w:ascii="Arial" w:cs="Arial" w:eastAsia="Arial" w:hAnsi="Arial"/>
          <w:sz w:val="17"/>
          <w:szCs w:val="17"/>
          <w:b w:val="1"/>
          <w:bCs w:val="1"/>
          <w:color w:val="auto"/>
        </w:rPr>
        <w:t>Share Termination Payment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on which the Payment Obligation would otherwise be due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6(d)(ii) of the Agreement, subject to Section 9(j)(i) below, in satisfaction, subject to Section 9(j)(ii) below, of the relevant Payment Obligation, in the manner reasonably requested by Dealer free of payment.</w:t>
      </w:r>
    </w:p>
    <w:p>
      <w:pPr>
        <w:spacing w:after="0" w:line="69" w:lineRule="exact"/>
        <w:rPr>
          <w:sz w:val="20"/>
          <w:szCs w:val="20"/>
          <w:color w:val="auto"/>
        </w:rPr>
      </w:pPr>
    </w:p>
    <w:p>
      <w:pPr>
        <w:sectPr>
          <w:pgSz w:w="11900" w:h="16838" w:orient="portrait"/>
          <w:cols w:equalWidth="0" w:num="2">
            <w:col w:w="4592" w:space="720"/>
            <w:col w:w="5260"/>
          </w:cols>
          <w:pgMar w:left="868" w:top="274" w:right="459" w:bottom="1440" w:gutter="0" w:footer="0" w:header="0"/>
          <w:type w:val="continuous"/>
        </w:sectPr>
      </w:pPr>
    </w:p>
    <w:p>
      <w:pPr>
        <w:ind w:left="292"/>
        <w:spacing w:after="0"/>
        <w:rPr>
          <w:sz w:val="20"/>
          <w:szCs w:val="20"/>
          <w:color w:val="auto"/>
        </w:rPr>
      </w:pPr>
      <w:r>
        <w:rPr>
          <w:rFonts w:ascii="Arial" w:cs="Arial" w:eastAsia="Arial" w:hAnsi="Arial"/>
          <w:sz w:val="16"/>
          <w:szCs w:val="16"/>
          <w:color w:val="auto"/>
        </w:rPr>
        <w:t>Share Termination Delivery</w:t>
      </w:r>
    </w:p>
    <w:p>
      <w:pPr>
        <w:spacing w:after="0" w:line="46" w:lineRule="exact"/>
        <w:rPr>
          <w:sz w:val="20"/>
          <w:szCs w:val="20"/>
          <w:color w:val="auto"/>
        </w:rPr>
      </w:pPr>
    </w:p>
    <w:p>
      <w:pPr>
        <w:ind w:left="292"/>
        <w:spacing w:after="0"/>
        <w:rPr>
          <w:sz w:val="20"/>
          <w:szCs w:val="20"/>
          <w:color w:val="auto"/>
        </w:rPr>
      </w:pPr>
      <w:r>
        <w:rPr>
          <w:rFonts w:ascii="Arial" w:cs="Arial" w:eastAsia="Arial" w:hAnsi="Arial"/>
          <w:sz w:val="18"/>
          <w:szCs w:val="18"/>
          <w:color w:val="auto"/>
        </w:rPr>
        <w:t>Property: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 number of Share Termination Delivery Units, as calculated by the Calculation Agent, equal to the relevant Payment Obligation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9(j)(i)).</w:t>
      </w:r>
    </w:p>
    <w:p>
      <w:pPr>
        <w:spacing w:after="0" w:line="70" w:lineRule="exact"/>
        <w:rPr>
          <w:sz w:val="20"/>
          <w:szCs w:val="20"/>
          <w:color w:val="auto"/>
        </w:rPr>
      </w:pPr>
    </w:p>
    <w:p>
      <w:pPr>
        <w:sectPr>
          <w:pgSz w:w="11900" w:h="16838" w:orient="portrait"/>
          <w:cols w:equalWidth="0" w:num="2">
            <w:col w:w="4592" w:space="720"/>
            <w:col w:w="5260"/>
          </w:cols>
          <w:pgMar w:left="868" w:top="274" w:right="459" w:bottom="1440" w:gutter="0" w:footer="0" w:header="0"/>
          <w:type w:val="continuous"/>
        </w:sectPr>
      </w:pPr>
    </w:p>
    <w:p>
      <w:pPr>
        <w:ind w:left="292"/>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The value of property contained in one Share Termination Delivery Unit on the date such Share Termination Delivery Units are to be delivered as Share Termination Delivery Property, as determined by the Calculation Agent in its discretion by commercially reasonable means. In the case of a Private Placement of Share Termination Delivery Units that are Restricted Shares (as defined below), as set forth in Section 9(j)(i)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9(j)(ii) below, notwithstanding the foregoing, the</w:t>
      </w:r>
    </w:p>
    <w:p>
      <w:pPr>
        <w:spacing w:after="0" w:line="104" w:lineRule="exact"/>
        <w:rPr>
          <w:sz w:val="20"/>
          <w:szCs w:val="20"/>
          <w:color w:val="auto"/>
        </w:rPr>
      </w:pPr>
    </w:p>
    <w:p>
      <w:pPr>
        <w:sectPr>
          <w:pgSz w:w="11900" w:h="16838" w:orient="portrait"/>
          <w:cols w:equalWidth="0" w:num="2">
            <w:col w:w="4592" w:space="720"/>
            <w:col w:w="5260"/>
          </w:cols>
          <w:pgMar w:left="868" w:top="274" w:right="459" w:bottom="1440" w:gutter="0" w:footer="0" w:header="0"/>
          <w:type w:val="continuous"/>
        </w:sectPr>
      </w:pPr>
    </w:p>
    <w:p>
      <w:pPr>
        <w:jc w:val="center"/>
        <w:ind w:right="408"/>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572"/>
          </w:cols>
          <w:pgMar w:left="868" w:top="274" w:right="459" w:bottom="1440" w:gutter="0" w:footer="0" w:header="0"/>
          <w:type w:val="continuous"/>
        </w:sectPr>
      </w:pPr>
    </w:p>
    <w:bookmarkStart w:id="305" w:name="page306"/>
    <w:bookmarkEnd w:id="305"/>
    <w:p>
      <w:pPr>
        <w:ind w:left="53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 Termination Unit Price shall be the Settlement Price on the Merger</w:t>
      </w:r>
    </w:p>
    <w:p>
      <w:pPr>
        <w:spacing w:after="0" w:line="4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Date, Tender Offer Date, Announcement Date (in the case of a</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Nationalization, Insolvency or Delisting), Early Termination Date or date</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of cancellation, as applicable. The Calculation Agent shall notify</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Company of the Share Termination Unit Price at the time of notification</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of such Payment Obligation to Company or, if applicable, at the time the</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discounted price applicable to the relevant Share Termination Units is</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determined pursuant to Section 9(j)(i).</w:t>
      </w:r>
    </w:p>
    <w:p>
      <w:pPr>
        <w:sectPr>
          <w:pgSz w:w="11900" w:h="16838" w:orient="portrait"/>
          <w:cols w:equalWidth="0" w:num="1">
            <w:col w:w="10580"/>
          </w:cols>
          <w:pgMar w:left="860" w:top="274" w:right="459" w:bottom="1440" w:gutter="0" w:footer="0" w:header="0"/>
        </w:sectPr>
      </w:pPr>
    </w:p>
    <w:p>
      <w:pPr>
        <w:spacing w:after="0" w:line="2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One Share or, if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6"/>
          <w:szCs w:val="16"/>
          <w:b w:val="1"/>
          <w:bCs w:val="1"/>
          <w:color w:val="auto"/>
        </w:rPr>
        <w:t>Exchange Property</w:t>
      </w:r>
      <w:r>
        <w:rPr>
          <w:rFonts w:ascii="Arial" w:cs="Arial" w:eastAsia="Arial" w:hAnsi="Arial"/>
          <w:sz w:val="16"/>
          <w:szCs w:val="16"/>
          <w:color w:val="auto"/>
        </w:rPr>
        <w:t>”), a unit consisting of the type and amount of Exchange Property received by a holder of one Share (without consideration of any requirement to pay cash or other consideration in lieu of fractional amounts of any securities) in such Nationalization, Insolvency or Merger Event. If such Nationalization, Insolvency or Merger Event involves a choice of Exchange Property to be received by holders, such holder shall be deemed to have elected to receive the maximum possible amount of cash.</w:t>
      </w:r>
    </w:p>
    <w:p>
      <w:pPr>
        <w:spacing w:after="0" w:line="172" w:lineRule="exact"/>
        <w:rPr>
          <w:sz w:val="20"/>
          <w:szCs w:val="20"/>
          <w:color w:val="auto"/>
        </w:rPr>
      </w:pPr>
    </w:p>
    <w:p>
      <w:pPr>
        <w:sectPr>
          <w:pgSz w:w="11900" w:h="16838" w:orient="portrait"/>
          <w:cols w:equalWidth="0" w:num="2">
            <w:col w:w="4600" w:space="720"/>
            <w:col w:w="5260"/>
          </w:cols>
          <w:pgMar w:left="860" w:top="274" w:right="4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Inapplicable</w:t>
      </w:r>
    </w:p>
    <w:p>
      <w:pPr>
        <w:spacing w:after="0" w:line="200" w:lineRule="exact"/>
        <w:rPr>
          <w:sz w:val="20"/>
          <w:szCs w:val="20"/>
          <w:color w:val="auto"/>
        </w:rPr>
      </w:pPr>
    </w:p>
    <w:p>
      <w:pPr>
        <w:sectPr>
          <w:pgSz w:w="11900" w:h="16838" w:orient="portrait"/>
          <w:cols w:equalWidth="0" w:num="2">
            <w:col w:w="4600" w:space="720"/>
            <w:col w:w="5260"/>
          </w:cols>
          <w:pgMar w:left="860" w:top="274" w:right="45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Share Termination Alternative is applicable, the provisions of Sections 9.8, 9.9, 9.11 and 9.12 (as modified above) of the Equity Definitions will be applicable as if Physical Settlement applied to the Transaction and the provisions set forth opposite the caption “Representation and Agreement” in Section 2 will be applicable.</w:t>
      </w:r>
    </w:p>
    <w:p>
      <w:pPr>
        <w:spacing w:after="0" w:line="93" w:lineRule="exact"/>
        <w:rPr>
          <w:sz w:val="20"/>
          <w:szCs w:val="20"/>
          <w:color w:val="auto"/>
        </w:rPr>
      </w:pPr>
    </w:p>
    <w:p>
      <w:pPr>
        <w:sectPr>
          <w:pgSz w:w="11900" w:h="16838" w:orient="portrait"/>
          <w:cols w:equalWidth="0" w:num="2">
            <w:col w:w="4600" w:space="720"/>
            <w:col w:w="5260"/>
          </w:cols>
          <w:pgMar w:left="860" w:top="274" w:right="459" w:bottom="1440" w:gutter="0" w:footer="0" w:header="0"/>
          <w:type w:val="continuous"/>
        </w:sectPr>
      </w:pPr>
    </w:p>
    <w:p>
      <w:pPr>
        <w:ind w:left="540" w:hanging="532"/>
        <w:spacing w:after="0" w:line="267" w:lineRule="auto"/>
        <w:tabs>
          <w:tab w:leader="none" w:pos="540" w:val="left"/>
        </w:tabs>
        <w:numPr>
          <w:ilvl w:val="0"/>
          <w:numId w:val="369"/>
        </w:numPr>
        <w:rPr>
          <w:rFonts w:ascii="Arial" w:cs="Arial" w:eastAsia="Arial" w:hAnsi="Arial"/>
          <w:sz w:val="17"/>
          <w:szCs w:val="17"/>
          <w:color w:val="auto"/>
        </w:rPr>
      </w:pPr>
      <w:r>
        <w:rPr>
          <w:rFonts w:ascii="Arial" w:cs="Arial" w:eastAsia="Arial" w:hAnsi="Arial"/>
          <w:sz w:val="17"/>
          <w:szCs w:val="17"/>
          <w:i w:val="1"/>
          <w:iCs w:val="1"/>
          <w:u w:val="single" w:color="auto"/>
          <w:color w:val="auto"/>
        </w:rPr>
        <w:t>Registration/Private Placement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If, in the reasonable opinion of Dealer, based on the advice of counsel, following any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or Share Termination Delivery Property to Dealer hereunder, such Shares or Share Termination Delivery Property would be in the hands of Dealer subject to any applicable restrictions with respect to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(such Shares or Share Termination Delivery Property, “</w:t>
      </w:r>
      <w:r>
        <w:rPr>
          <w:rFonts w:ascii="Arial" w:cs="Arial" w:eastAsia="Arial" w:hAnsi="Arial"/>
          <w:sz w:val="17"/>
          <w:szCs w:val="17"/>
          <w:b w:val="1"/>
          <w:bCs w:val="1"/>
          <w:color w:val="auto"/>
        </w:rPr>
        <w:t>Restricted Shares</w:t>
      </w:r>
      <w:r>
        <w:rPr>
          <w:rFonts w:ascii="Arial" w:cs="Arial" w:eastAsia="Arial" w:hAnsi="Arial"/>
          <w:sz w:val="17"/>
          <w:szCs w:val="17"/>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commercially reasonable adjustments to settlement terms and provisions under this Confirmation to reflect a single Private Placement or Registration Settlement for such aggregate Restricted Shares delivered hereunder. For the avoidance of doubt, these adjustments will only be commercially reasonable in nature (such as to consider changes in volatility, expected dividends, stock loan rate or liquidity relevant to the Shares and the ability to maintain a commercially reasonable hedge position in the Shares) and will not impact Company’s unilateral right to settle in Shares.</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60" w:top="274" w:right="459" w:bottom="1440" w:gutter="0" w:footer="0" w:header="0"/>
          <w:type w:val="continuous"/>
        </w:sectPr>
      </w:pPr>
    </w:p>
    <w:bookmarkStart w:id="306" w:name="page307"/>
    <w:bookmarkEnd w:id="306"/>
    <w:p>
      <w:pPr>
        <w:ind w:left="439" w:hanging="439"/>
        <w:spacing w:after="0" w:line="284" w:lineRule="auto"/>
        <w:tabs>
          <w:tab w:leader="none" w:pos="439" w:val="left"/>
        </w:tabs>
        <w:numPr>
          <w:ilvl w:val="0"/>
          <w:numId w:val="3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Company elects to settle the Transaction pursuant to this clause (i) (a “</w:t>
      </w:r>
      <w:r>
        <w:rPr>
          <w:rFonts w:ascii="Arial" w:cs="Arial" w:eastAsia="Arial" w:hAnsi="Arial"/>
          <w:sz w:val="16"/>
          <w:szCs w:val="16"/>
          <w:b w:val="1"/>
          <w:bCs w:val="1"/>
          <w:color w:val="auto"/>
        </w:rPr>
        <w:t>Private Placement Settlement</w:t>
      </w:r>
      <w:r>
        <w:rPr>
          <w:rFonts w:ascii="Arial" w:cs="Arial" w:eastAsia="Arial" w:hAnsi="Arial"/>
          <w:sz w:val="16"/>
          <w:szCs w:val="16"/>
          <w:color w:val="auto"/>
        </w:rPr>
        <w:t xml:space="preserve">”), then delivery of Restricted Shares by Company shall be effected in customary private placement procedures with respect to such Restricted Shares commercially reasonably acceptable to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for such Restricted Shares shall include such customary representations, covenants, blue sky and other governmental filings and/or registrations, indemnities to Dealer, due diligence rights (for Dealer or any designated buyer of the Restricted Shares by Dealer), opinions and certificates, and such other documentation, in each case as is customary for private placement agreements of companies of comparable size, maturity and line of business, all commercially reasonably acceptable to Dealer. In the case of a Private Placement Settlement, Dealer shall determine the appropriate discount to the Share Termination Unit Price (in the case of settlement of Share Termination Delivery Units pursuant to Section 9(i) above) or any Settlement Price (in the case of settlement of Shares pursuant to Section 2 above) applicable to such Restricted Shares in a commercially reasonable manner and appropriately adjust the number of such Restricted Shares to be delivered to Dealer hereunder, which discount shall only take into account the illiquidity resulting from the fact that the Restricted Shares will not be registered for resale and any commercially reasonable fees and expenses of Dealer (and any affiliate thereof) in connection with such resale.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9(i) above) or on the Settlement Date for such Restricted Shares (in the case of settlement in Shares pursuant to Section 2 above).</w:t>
      </w:r>
    </w:p>
    <w:p>
      <w:pPr>
        <w:spacing w:after="0" w:line="301" w:lineRule="exact"/>
        <w:rPr>
          <w:rFonts w:ascii="Arial" w:cs="Arial" w:eastAsia="Arial" w:hAnsi="Arial"/>
          <w:sz w:val="16"/>
          <w:szCs w:val="16"/>
          <w:color w:val="auto"/>
        </w:rPr>
      </w:pPr>
    </w:p>
    <w:p>
      <w:pPr>
        <w:ind w:left="439" w:right="60" w:hanging="439"/>
        <w:spacing w:after="0" w:line="287" w:lineRule="auto"/>
        <w:tabs>
          <w:tab w:leader="none" w:pos="439" w:val="left"/>
        </w:tabs>
        <w:numPr>
          <w:ilvl w:val="0"/>
          <w:numId w:val="370"/>
        </w:numPr>
        <w:rPr>
          <w:rFonts w:ascii="Arial" w:cs="Arial" w:eastAsia="Arial" w:hAnsi="Arial"/>
          <w:sz w:val="16"/>
          <w:szCs w:val="16"/>
          <w:color w:val="auto"/>
        </w:rPr>
      </w:pPr>
      <w:r>
        <w:rPr>
          <w:rFonts w:ascii="Arial" w:cs="Arial" w:eastAsia="Arial" w:hAnsi="Arial"/>
          <w:sz w:val="16"/>
          <w:szCs w:val="16"/>
          <w:color w:val="auto"/>
        </w:rPr>
        <w:t>If Company elects to settle the Transaction pursuant to this clause (ii) (a “</w:t>
      </w:r>
      <w:r>
        <w:rPr>
          <w:rFonts w:ascii="Arial" w:cs="Arial" w:eastAsia="Arial" w:hAnsi="Arial"/>
          <w:sz w:val="16"/>
          <w:szCs w:val="16"/>
          <w:b w:val="1"/>
          <w:bCs w:val="1"/>
          <w:color w:val="auto"/>
        </w:rPr>
        <w:t>Registration Settlement</w:t>
      </w:r>
      <w:r>
        <w:rPr>
          <w:rFonts w:ascii="Arial" w:cs="Arial" w:eastAsia="Arial" w:hAnsi="Arial"/>
          <w:sz w:val="16"/>
          <w:szCs w:val="16"/>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commercially reasonable underwriting discounts (if applicable), commercially reasonable commissions (if applicable), indemnities due diligence rights, opinions and certificates, and such other documentation as is customary for equity resale underwriting agreements of companies of comparable size, maturity and line of business, all commercially reasonably acceptable to Dealer. If Dealer, in its commercially reasonable discretion, is not satisfied with such procedures and documentation or, in its discretion, is not satisfied with results of a customary due diligence investigation, then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Restricted Shares (which, for the avoidance of doubt, shall be (x) the Share Termination Payment Date in case of settlement in Share Termination Delivery Units pursuant to Section 9(i) above or</w:t>
      </w:r>
    </w:p>
    <w:p>
      <w:pPr>
        <w:spacing w:after="0" w:line="100"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19"/>
          </w:cols>
          <w:pgMar w:left="1421" w:top="270" w:right="459" w:bottom="1440" w:gutter="0" w:footer="0" w:header="0"/>
        </w:sectPr>
      </w:pPr>
    </w:p>
    <w:bookmarkStart w:id="307" w:name="page308"/>
    <w:bookmarkEnd w:id="307"/>
    <w:p>
      <w:pPr>
        <w:ind w:left="1260" w:hanging="253"/>
        <w:spacing w:after="0"/>
        <w:tabs>
          <w:tab w:leader="none" w:pos="1260" w:val="left"/>
        </w:tabs>
        <w:numPr>
          <w:ilvl w:val="2"/>
          <w:numId w:val="3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Settlement Date in respect of the final Expiration Date for all Daily Number of Warrants) and ending on the Exchange</w:t>
      </w:r>
    </w:p>
    <w:p>
      <w:pPr>
        <w:spacing w:after="0" w:line="34" w:lineRule="exact"/>
        <w:rPr>
          <w:rFonts w:ascii="Arial" w:cs="Arial" w:eastAsia="Arial" w:hAnsi="Arial"/>
          <w:sz w:val="17"/>
          <w:szCs w:val="17"/>
          <w:color w:val="auto"/>
        </w:rPr>
      </w:pPr>
    </w:p>
    <w:p>
      <w:pPr>
        <w:ind w:left="1000"/>
        <w:spacing w:after="0" w:line="267" w:lineRule="auto"/>
        <w:rPr>
          <w:rFonts w:ascii="Arial" w:cs="Arial" w:eastAsia="Arial" w:hAnsi="Arial"/>
          <w:sz w:val="17"/>
          <w:szCs w:val="17"/>
          <w:color w:val="auto"/>
        </w:rPr>
      </w:pPr>
      <w:r>
        <w:rPr>
          <w:rFonts w:ascii="Arial" w:cs="Arial" w:eastAsia="Arial" w:hAnsi="Arial"/>
          <w:sz w:val="17"/>
          <w:szCs w:val="17"/>
          <w:color w:val="auto"/>
        </w:rPr>
        <w:t>Business Day on which Dealer completes the sale of all Restricted Shares in a commercially reasonable manner or, in the case of settlement of Share Termination Delivery Units, a sufficient number of Restricted Shares so that the realized net proceeds of such sales equals or exceeds the Payment Obligation (as defined above). Dealer shall endeavor to sell such Shares or Share Termination Delivery Units as soon as practicable following delivery of such Shares or Share Termination Delivery Units. If any of such delivered Shares or Share Termination Delivery Units remain after the realized net proceeds from such resale exceed the Payment Obligation, Dealer shall return such remaining Shares or Share Termination Delivery Units to Company. If the Payment Obligation exceeds the realized net proceeds from such resale, Company shall transfer to Dealer by the open of the regular trading session on the Exchange on the Exchange Trading Day immediately following such resale the amount of such excess (the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in cash or in a number of Shares (“</w:t>
      </w:r>
      <w:r>
        <w:rPr>
          <w:rFonts w:ascii="Arial" w:cs="Arial" w:eastAsia="Arial" w:hAnsi="Arial"/>
          <w:sz w:val="17"/>
          <w:szCs w:val="17"/>
          <w:b w:val="1"/>
          <w:bCs w:val="1"/>
          <w:color w:val="auto"/>
        </w:rPr>
        <w:t>Make-whole Shares</w:t>
      </w:r>
      <w:r>
        <w:rPr>
          <w:rFonts w:ascii="Arial" w:cs="Arial" w:eastAsia="Arial" w:hAnsi="Arial"/>
          <w:sz w:val="17"/>
          <w:szCs w:val="17"/>
          <w:color w:val="auto"/>
        </w:rPr>
        <w:t>”), at Company’s option, in an amount that,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Price on such day (as if such day was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86" w:lineRule="exact"/>
        <w:rPr>
          <w:rFonts w:ascii="Arial" w:cs="Arial" w:eastAsia="Arial" w:hAnsi="Arial"/>
          <w:sz w:val="17"/>
          <w:szCs w:val="17"/>
          <w:color w:val="auto"/>
        </w:rPr>
      </w:pPr>
    </w:p>
    <w:p>
      <w:pPr>
        <w:ind w:left="1000" w:right="200" w:hanging="439"/>
        <w:spacing w:after="0" w:line="291" w:lineRule="auto"/>
        <w:tabs>
          <w:tab w:leader="none" w:pos="100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Without limiting the generality of the foregoing, Company agrees that (A) any Restricted Shares delivered to Dealer may be transferred by and among Dealer and its affiliates and Company shall effect such transfer without any further action by Dealer and</w:t>
      </w:r>
    </w:p>
    <w:p>
      <w:pPr>
        <w:ind w:left="1000"/>
        <w:spacing w:after="0" w:line="267" w:lineRule="auto"/>
        <w:rPr>
          <w:rFonts w:ascii="Arial" w:cs="Arial" w:eastAsia="Arial" w:hAnsi="Arial"/>
          <w:sz w:val="16"/>
          <w:szCs w:val="16"/>
          <w:color w:val="auto"/>
        </w:rPr>
      </w:pPr>
      <w:r>
        <w:rPr>
          <w:rFonts w:ascii="Arial" w:cs="Arial" w:eastAsia="Arial" w:hAnsi="Arial"/>
          <w:sz w:val="17"/>
          <w:szCs w:val="17"/>
          <w:color w:val="auto"/>
        </w:rPr>
        <w:t>(B) after the period of 6 months from the Trade Date if at the time the informational requirements of Rule 144(c) under the Securities Act have been satisfied by the Company (or 1 year from the Trade Date if, at such time, informational requirements of Rule 144(c) under the Securities Act are not satisfied with respect to Company) has elapsed in respect of any Restricted Shares delivered to Dealer, unless Dealer is an affiliate of Company at such time or has been an affiliate of Company in the immediately preceding three months, Company shall promptly remove, or cause the transfer agent for such Restricted Shares to remove, any legends referring to any such restrictions or requirements from such Restricted Shares upon request by Dealer (or such affiliate of Dealer) to Company or such transfer agent, without any requirement for the delivery of any certificate, consent, agreement, opinion of counsel, notice or any other document, any transfer tax stamps or payment of any other amount or any other action by Dealer (or such affiliate of Dealer).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as in effect at the time of delivery of the relevant Shares or Share Termination Delivery Property.</w:t>
      </w:r>
    </w:p>
    <w:p>
      <w:pPr>
        <w:spacing w:after="0" w:line="88" w:lineRule="exact"/>
        <w:rPr>
          <w:rFonts w:ascii="Arial" w:cs="Arial" w:eastAsia="Arial" w:hAnsi="Arial"/>
          <w:sz w:val="16"/>
          <w:szCs w:val="16"/>
          <w:color w:val="auto"/>
        </w:rPr>
      </w:pPr>
    </w:p>
    <w:p>
      <w:pPr>
        <w:ind w:left="1000" w:right="20" w:hanging="439"/>
        <w:spacing w:after="0" w:line="263" w:lineRule="auto"/>
        <w:tabs>
          <w:tab w:leader="none" w:pos="10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89"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373"/>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 on Beneficial Ownership</w:t>
      </w:r>
      <w:r>
        <w:rPr>
          <w:rFonts w:ascii="Arial" w:cs="Arial" w:eastAsia="Arial" w:hAnsi="Arial"/>
          <w:sz w:val="18"/>
          <w:szCs w:val="18"/>
          <w:color w:val="auto"/>
        </w:rPr>
        <w:t>. Notwithstanding anything to the contrary in the Agreement, the Equity Definitions or this Confirmation,</w:t>
      </w:r>
      <w:r>
        <w:rPr>
          <w:rFonts w:ascii="Arial" w:cs="Arial" w:eastAsia="Arial" w:hAnsi="Arial"/>
          <w:sz w:val="18"/>
          <w:szCs w:val="18"/>
          <w:i w:val="1"/>
          <w:iCs w:val="1"/>
          <w:color w:val="auto"/>
        </w:rPr>
        <w:t xml:space="preserve"> </w:t>
      </w:r>
      <w:r>
        <w:rPr>
          <w:rFonts w:ascii="Arial" w:cs="Arial" w:eastAsia="Arial" w:hAnsi="Arial"/>
          <w:sz w:val="18"/>
          <w:szCs w:val="18"/>
          <w:color w:val="auto"/>
        </w:rPr>
        <w:t>Dealer may not exercise any Warrant hereunder, in no event shall Dealer be entitled to receive or take delivery of any Shares deliverable hereunder (or be deemed to so receive or so take delivery), and Automatic Exercise shall not apply with respect to any Warrant hereunder, in each case, to the extent (but only to the extent) that, after such receipt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60" w:top="274" w:right="459" w:bottom="1440" w:gutter="0" w:footer="0" w:header="0"/>
        </w:sectPr>
      </w:pPr>
    </w:p>
    <w:bookmarkStart w:id="308" w:name="page309"/>
    <w:bookmarkEnd w:id="308"/>
    <w:p>
      <w:pPr>
        <w:ind w:left="98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delivery of any Shares upon the exercise of such Warrant or otherwise hereunder and after taking into account any Shares deliverable to Dealer pursuant to any other warrants purchased by Dealer from Company [including, without limitation, the letter agreement dated</w:t>
      </w:r>
    </w:p>
    <w:p>
      <w:pPr>
        <w:ind w:left="984" w:right="80" w:firstLine="1"/>
        <w:spacing w:after="0" w:line="281" w:lineRule="auto"/>
        <w:tabs>
          <w:tab w:leader="none" w:pos="1764" w:val="left"/>
        </w:tabs>
        <w:numPr>
          <w:ilvl w:val="1"/>
          <w:numId w:val="374"/>
        </w:numPr>
        <w:rPr>
          <w:rFonts w:ascii="Arial" w:cs="Arial" w:eastAsia="Arial" w:hAnsi="Arial"/>
          <w:sz w:val="16"/>
          <w:szCs w:val="16"/>
          <w:color w:val="auto"/>
        </w:rPr>
      </w:pPr>
      <w:r>
        <w:rPr>
          <w:rFonts w:ascii="Arial" w:cs="Arial" w:eastAsia="Arial" w:hAnsi="Arial"/>
          <w:sz w:val="16"/>
          <w:szCs w:val="16"/>
          <w:color w:val="auto"/>
        </w:rPr>
        <w:t>], 2021 between Dealer and Company regarding Base Warrants (the “</w:t>
      </w:r>
      <w:r>
        <w:rPr>
          <w:rFonts w:ascii="Arial" w:cs="Arial" w:eastAsia="Arial" w:hAnsi="Arial"/>
          <w:sz w:val="16"/>
          <w:szCs w:val="16"/>
          <w:b w:val="1"/>
          <w:bCs w:val="1"/>
          <w:color w:val="auto"/>
        </w:rPr>
        <w:t>Base Warrant Confirmation”</w:t>
      </w:r>
      <w:r>
        <w:rPr>
          <w:rFonts w:ascii="Arial" w:cs="Arial" w:eastAsia="Arial" w:hAnsi="Arial"/>
          <w:sz w:val="16"/>
          <w:szCs w:val="16"/>
          <w:color w:val="auto"/>
        </w:rPr>
        <w:t>)],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to Dealer pursuant to any other warrants purchased by Dealer from Company [including, without limitation, under the Base Warrant Confirmation]</w:t>
      </w:r>
      <w:r>
        <w:rPr>
          <w:rFonts w:ascii="Arial" w:cs="Arial" w:eastAsia="Arial" w:hAnsi="Arial"/>
          <w:sz w:val="13"/>
          <w:szCs w:val="13"/>
          <w:color w:val="auto"/>
        </w:rPr>
        <w:t>3</w:t>
      </w:r>
      <w:r>
        <w:rPr>
          <w:rFonts w:ascii="Arial" w:cs="Arial" w:eastAsia="Arial" w:hAnsi="Arial"/>
          <w:sz w:val="16"/>
          <w:szCs w:val="16"/>
          <w:color w:val="auto"/>
        </w:rPr>
        <w:t>, (i) the Section 16 Percentage would exceed 7.5%, or (ii) the Share Amount would exceed the Applicable Share Limit. If any delivery owed to Dealer hereunder is not made, in whole or in part, as a result of this provision, Company’s obligation to make such delivery shall not be extinguished and Company shall make such delivery as promptly as practicable after, but in no event later than one Business Day after, Dealer gives notice to Company that, after such delivery, (i) the Section 16 Percentage would not exceed</w:t>
      </w:r>
    </w:p>
    <w:p>
      <w:pPr>
        <w:spacing w:after="0" w:line="4" w:lineRule="exact"/>
        <w:rPr>
          <w:rFonts w:ascii="Arial" w:cs="Arial" w:eastAsia="Arial" w:hAnsi="Arial"/>
          <w:sz w:val="16"/>
          <w:szCs w:val="16"/>
          <w:color w:val="auto"/>
        </w:rPr>
      </w:pPr>
    </w:p>
    <w:p>
      <w:pPr>
        <w:ind w:left="984" w:right="180"/>
        <w:spacing w:after="0" w:line="260" w:lineRule="auto"/>
        <w:rPr>
          <w:rFonts w:ascii="Arial" w:cs="Arial" w:eastAsia="Arial" w:hAnsi="Arial"/>
          <w:sz w:val="16"/>
          <w:szCs w:val="16"/>
          <w:color w:val="auto"/>
        </w:rPr>
      </w:pPr>
      <w:r>
        <w:rPr>
          <w:rFonts w:ascii="Arial" w:cs="Arial" w:eastAsia="Arial" w:hAnsi="Arial"/>
          <w:sz w:val="18"/>
          <w:szCs w:val="18"/>
          <w:color w:val="auto"/>
        </w:rPr>
        <w:t>7.5%, and (ii) the Share Amount would not exceed the Applicable Share Limit; provided, for the avoidance of doubt, in no case shall the Company be obligated to pay such additional amount in cash.</w:t>
      </w:r>
    </w:p>
    <w:p>
      <w:pPr>
        <w:spacing w:after="0" w:line="90" w:lineRule="exact"/>
        <w:rPr>
          <w:rFonts w:ascii="Arial" w:cs="Arial" w:eastAsia="Arial" w:hAnsi="Arial"/>
          <w:sz w:val="16"/>
          <w:szCs w:val="16"/>
          <w:color w:val="auto"/>
        </w:rPr>
      </w:pPr>
    </w:p>
    <w:p>
      <w:pPr>
        <w:ind w:left="964" w:right="120" w:hanging="532"/>
        <w:spacing w:after="0" w:line="311" w:lineRule="auto"/>
        <w:tabs>
          <w:tab w:leader="none" w:pos="964" w:val="left"/>
        </w:tabs>
        <w:numPr>
          <w:ilvl w:val="0"/>
          <w:numId w:val="374"/>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 Deliveries</w:t>
      </w:r>
      <w:r>
        <w:rPr>
          <w:rFonts w:ascii="Arial" w:cs="Arial" w:eastAsia="Arial" w:hAnsi="Arial"/>
          <w:sz w:val="16"/>
          <w:szCs w:val="16"/>
          <w:color w:val="auto"/>
        </w:rPr>
        <w:t>. Notwithstanding anything to the contrary herein, Company agrees that any delivery of Shares or Share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Property shall be effected by book-entry transfer through the facilities of DTC, or any successor depositary, if at the time of delivery, such class of Shares or class of Share Termination Delivery Property is in book-entry form at DTC or such successor depositary.</w:t>
      </w:r>
    </w:p>
    <w:p>
      <w:pPr>
        <w:spacing w:after="0" w:line="54" w:lineRule="exact"/>
        <w:rPr>
          <w:rFonts w:ascii="Arial" w:cs="Arial" w:eastAsia="Arial" w:hAnsi="Arial"/>
          <w:sz w:val="16"/>
          <w:szCs w:val="16"/>
          <w:color w:val="auto"/>
        </w:rPr>
      </w:pPr>
    </w:p>
    <w:p>
      <w:pPr>
        <w:ind w:left="964" w:right="100" w:hanging="532"/>
        <w:spacing w:after="0" w:line="275" w:lineRule="auto"/>
        <w:tabs>
          <w:tab w:leader="none" w:pos="964" w:val="left"/>
        </w:tabs>
        <w:numPr>
          <w:ilvl w:val="0"/>
          <w:numId w:val="374"/>
        </w:numPr>
        <w:rPr>
          <w:rFonts w:ascii="Arial" w:cs="Arial" w:eastAsia="Arial" w:hAnsi="Arial"/>
          <w:sz w:val="17"/>
          <w:szCs w:val="17"/>
          <w:color w:val="auto"/>
        </w:rPr>
      </w:pPr>
      <w:r>
        <w:rPr>
          <w:rFonts w:ascii="Arial" w:cs="Arial" w:eastAsia="Arial" w:hAnsi="Arial"/>
          <w:sz w:val="17"/>
          <w:szCs w:val="17"/>
          <w:i w:val="1"/>
          <w:iCs w:val="1"/>
          <w:u w:val="single" w:color="auto"/>
          <w:color w:val="auto"/>
        </w:rPr>
        <w:t>Waiver of Jury Trial</w:t>
      </w:r>
      <w:r>
        <w:rPr>
          <w:rFonts w:ascii="Arial" w:cs="Arial" w:eastAsia="Arial" w:hAnsi="Arial"/>
          <w:sz w:val="17"/>
          <w:szCs w:val="17"/>
          <w:color w:val="auto"/>
        </w:rPr>
        <w:t>. Each party waives, to the fullest extent permitted by applicable law, any right it may have to a trial by jury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1" w:lineRule="exact"/>
        <w:rPr>
          <w:rFonts w:ascii="Arial" w:cs="Arial" w:eastAsia="Arial" w:hAnsi="Arial"/>
          <w:sz w:val="17"/>
          <w:szCs w:val="17"/>
          <w:color w:val="auto"/>
        </w:rPr>
      </w:pPr>
    </w:p>
    <w:p>
      <w:pPr>
        <w:ind w:left="964" w:right="40" w:hanging="532"/>
        <w:spacing w:after="0" w:line="259" w:lineRule="auto"/>
        <w:tabs>
          <w:tab w:leader="none" w:pos="964" w:val="left"/>
        </w:tabs>
        <w:numPr>
          <w:ilvl w:val="0"/>
          <w:numId w:val="374"/>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from the date of commencement of discussions concerning the Transaction, Company and each of its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0"/>
          <w:numId w:val="374"/>
        </w:numPr>
        <w:rPr>
          <w:rFonts w:ascii="Arial" w:cs="Arial" w:eastAsia="Arial" w:hAnsi="Arial"/>
          <w:sz w:val="18"/>
          <w:szCs w:val="18"/>
          <w:color w:val="auto"/>
        </w:rPr>
      </w:pPr>
      <w:r>
        <w:rPr>
          <w:rFonts w:ascii="Arial" w:cs="Arial" w:eastAsia="Arial" w:hAnsi="Arial"/>
          <w:sz w:val="18"/>
          <w:szCs w:val="18"/>
          <w:i w:val="1"/>
          <w:iCs w:val="1"/>
          <w:u w:val="single" w:color="auto"/>
          <w:color w:val="auto"/>
        </w:rPr>
        <w:t>Maximum Share Delivery</w:t>
      </w:r>
      <w:r>
        <w:rPr>
          <w:rFonts w:ascii="Arial" w:cs="Arial" w:eastAsia="Arial" w:hAnsi="Arial"/>
          <w:sz w:val="18"/>
          <w:szCs w:val="18"/>
          <w:color w:val="auto"/>
        </w:rPr>
        <w:t>.</w:t>
      </w:r>
    </w:p>
    <w:p>
      <w:pPr>
        <w:spacing w:after="0" w:line="131" w:lineRule="exact"/>
        <w:rPr>
          <w:sz w:val="20"/>
          <w:szCs w:val="20"/>
          <w:color w:val="auto"/>
        </w:rPr>
      </w:pPr>
    </w:p>
    <w:p>
      <w:pPr>
        <w:ind w:left="1424" w:hanging="439"/>
        <w:spacing w:after="0"/>
        <w:tabs>
          <w:tab w:leader="none" w:pos="142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Notwithstanding any other provision of this Confirmation, the Agreement or the Equity Definitions, in no event will Company at any</w:t>
      </w:r>
    </w:p>
    <w:p>
      <w:pPr>
        <w:spacing w:after="0" w:line="45" w:lineRule="exact"/>
        <w:rPr>
          <w:sz w:val="20"/>
          <w:szCs w:val="20"/>
          <w:color w:val="auto"/>
        </w:rPr>
      </w:pPr>
    </w:p>
    <w:p>
      <w:pPr>
        <w:ind w:left="1424"/>
        <w:spacing w:after="0" w:line="252" w:lineRule="auto"/>
        <w:rPr>
          <w:sz w:val="20"/>
          <w:szCs w:val="20"/>
          <w:color w:val="auto"/>
        </w:rPr>
      </w:pPr>
      <w:r>
        <w:rPr>
          <w:rFonts w:ascii="Arial" w:cs="Arial" w:eastAsia="Arial" w:hAnsi="Arial"/>
          <w:sz w:val="18"/>
          <w:szCs w:val="18"/>
          <w:color w:val="auto"/>
        </w:rPr>
        <w:t>time be required to deliver a number of Shares greater than [ ]</w:t>
      </w:r>
      <w:r>
        <w:rPr>
          <w:rFonts w:ascii="Arial" w:cs="Arial" w:eastAsia="Arial" w:hAnsi="Arial"/>
          <w:sz w:val="15"/>
          <w:szCs w:val="15"/>
          <w:color w:val="auto"/>
        </w:rPr>
        <w:t>4</w:t>
      </w:r>
      <w:r>
        <w:rPr>
          <w:rFonts w:ascii="Arial" w:cs="Arial" w:eastAsia="Arial" w:hAnsi="Arial"/>
          <w:sz w:val="18"/>
          <w:szCs w:val="18"/>
          <w:color w:val="auto"/>
        </w:rPr>
        <w:t xml:space="preserve"> (the “</w:t>
      </w:r>
      <w:r>
        <w:rPr>
          <w:rFonts w:ascii="Arial" w:cs="Arial" w:eastAsia="Arial" w:hAnsi="Arial"/>
          <w:sz w:val="18"/>
          <w:szCs w:val="18"/>
          <w:b w:val="1"/>
          <w:bCs w:val="1"/>
          <w:color w:val="auto"/>
        </w:rPr>
        <w:t>Maximum Number of Shares</w:t>
      </w:r>
      <w:r>
        <w:rPr>
          <w:rFonts w:ascii="Arial" w:cs="Arial" w:eastAsia="Arial" w:hAnsi="Arial"/>
          <w:sz w:val="18"/>
          <w:szCs w:val="18"/>
          <w:color w:val="auto"/>
        </w:rPr>
        <w:t>”) to Dealer in connection with the Transaction. Notwithstanding anything to the contrary in the Agreement, this Confirmation or the Equity Definitions, (i) the determination of whether the Maximum Number of Shares may be adjusted upon any event, and, if so, the applicable adjustment thereto, shall be made without regard to any amendments set forth herein to the relevant provisions of the Equity Definitions, (ii) the Maximum Number of Shares shall not be adjusted to exceed the Available Shares on account of any event that (x) constitutes a Potential Adjustment Event solely on account of Section 11.2(e)(vii) of the Equity Definitions and (y) is not within Company’s control and (iii) any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715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8" w:lineRule="exact"/>
        <w:rPr>
          <w:sz w:val="20"/>
          <w:szCs w:val="20"/>
          <w:color w:val="auto"/>
        </w:rPr>
      </w:pPr>
    </w:p>
    <w:p>
      <w:pPr>
        <w:ind w:left="424" w:hanging="424"/>
        <w:spacing w:after="0"/>
        <w:tabs>
          <w:tab w:leader="none" w:pos="424" w:val="left"/>
        </w:tabs>
        <w:numPr>
          <w:ilvl w:val="0"/>
          <w:numId w:val="376"/>
        </w:numPr>
        <w:rPr>
          <w:rFonts w:ascii="Arial" w:cs="Arial" w:eastAsia="Arial" w:hAnsi="Arial"/>
          <w:sz w:val="15"/>
          <w:szCs w:val="15"/>
          <w:color w:val="auto"/>
        </w:rPr>
      </w:pPr>
      <w:r>
        <w:rPr>
          <w:rFonts w:ascii="Arial" w:cs="Arial" w:eastAsia="Arial" w:hAnsi="Arial"/>
          <w:sz w:val="18"/>
          <w:szCs w:val="18"/>
          <w:color w:val="auto"/>
        </w:rPr>
        <w:t>Include in Additional Warrant Confirmation.</w:t>
      </w:r>
    </w:p>
    <w:p>
      <w:pPr>
        <w:spacing w:after="0" w:line="22" w:lineRule="exact"/>
        <w:rPr>
          <w:sz w:val="20"/>
          <w:szCs w:val="20"/>
          <w:color w:val="auto"/>
        </w:rPr>
      </w:pPr>
    </w:p>
    <w:p>
      <w:pPr>
        <w:ind w:left="424" w:right="720" w:hanging="424"/>
        <w:spacing w:after="0" w:line="262" w:lineRule="auto"/>
        <w:tabs>
          <w:tab w:leader="none" w:pos="424" w:val="left"/>
        </w:tabs>
        <w:numPr>
          <w:ilvl w:val="0"/>
          <w:numId w:val="377"/>
        </w:numPr>
        <w:rPr>
          <w:rFonts w:ascii="Arial" w:cs="Arial" w:eastAsia="Arial" w:hAnsi="Arial"/>
          <w:sz w:val="15"/>
          <w:szCs w:val="15"/>
          <w:color w:val="auto"/>
        </w:rPr>
      </w:pPr>
      <w:r>
        <w:rPr>
          <w:rFonts w:ascii="Arial" w:cs="Arial" w:eastAsia="Arial" w:hAnsi="Arial"/>
          <w:sz w:val="18"/>
          <w:szCs w:val="18"/>
          <w:color w:val="auto"/>
        </w:rPr>
        <w:t xml:space="preserve">To be the lesser of (x) two times the Number of Shares and (y) (i) 19.9% of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(a) for the Base Warrant Confirmation, 100/115 or (b) for the Additional Warrant Confirmation, 15/115.</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09" w:name="page310"/>
    <w:bookmarkEnd w:id="309"/>
    <w:p>
      <w:pPr>
        <w:ind w:left="1000"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Obligation hereunder shall be calculated without regard to the Maximum Number of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number of Shares deliverable under Section 9(i) shall be limited to the Maximum Number of Shares.</w:t>
      </w:r>
    </w:p>
    <w:p>
      <w:pPr>
        <w:spacing w:after="0" w:line="29" w:lineRule="exact"/>
        <w:rPr>
          <w:sz w:val="20"/>
          <w:szCs w:val="20"/>
          <w:color w:val="auto"/>
        </w:rPr>
      </w:pPr>
    </w:p>
    <w:p>
      <w:pPr>
        <w:ind w:left="1000" w:right="80" w:hanging="439"/>
        <w:spacing w:after="0" w:line="284" w:lineRule="auto"/>
        <w:tabs>
          <w:tab w:leader="none" w:pos="100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6"/>
          <w:szCs w:val="16"/>
          <w:b w:val="1"/>
          <w:bCs w:val="1"/>
          <w:color w:val="auto"/>
        </w:rPr>
        <w:t>Deficit Shares</w:t>
      </w:r>
      <w:r>
        <w:rPr>
          <w:rFonts w:ascii="Arial" w:cs="Arial" w:eastAsia="Arial" w:hAnsi="Arial"/>
          <w:sz w:val="16"/>
          <w:szCs w:val="16"/>
          <w:color w:val="auto"/>
        </w:rPr>
        <w:t>”), Company shall be continually obligated to deliver, from time to time, Shares or Restricted Shares, as the case may be, to Dealer until the full number of Deficit Shares have been delivered pursuant to this Section 9(o)(ii), when, and to the extent that, (A) Shares are repurchased, acquired or otherwise received by Company or any of its subsidiaries after the Trade Date (whether or not in exchange for cash, fair value or any other consideration),</w:t>
      </w:r>
    </w:p>
    <w:p>
      <w:pPr>
        <w:spacing w:after="0" w:line="4" w:lineRule="exact"/>
        <w:rPr>
          <w:rFonts w:ascii="Arial" w:cs="Arial" w:eastAsia="Arial" w:hAnsi="Arial"/>
          <w:sz w:val="16"/>
          <w:szCs w:val="16"/>
          <w:color w:val="auto"/>
        </w:rPr>
      </w:pPr>
    </w:p>
    <w:p>
      <w:pPr>
        <w:ind w:left="1280" w:hanging="287"/>
        <w:spacing w:after="0"/>
        <w:tabs>
          <w:tab w:leader="none" w:pos="1280" w:val="left"/>
        </w:tabs>
        <w:numPr>
          <w:ilvl w:val="2"/>
          <w:numId w:val="378"/>
        </w:numPr>
        <w:rPr>
          <w:rFonts w:ascii="Arial" w:cs="Arial" w:eastAsia="Arial" w:hAnsi="Arial"/>
          <w:sz w:val="16"/>
          <w:szCs w:val="16"/>
          <w:color w:val="auto"/>
        </w:rPr>
      </w:pPr>
      <w:r>
        <w:rPr>
          <w:rFonts w:ascii="Arial" w:cs="Arial" w:eastAsia="Arial" w:hAnsi="Arial"/>
          <w:sz w:val="16"/>
          <w:szCs w:val="16"/>
          <w:color w:val="auto"/>
        </w:rPr>
        <w:t>authorized and unissued Shares previously reserved for issuance in respect of other transactions become no longer so reserved or</w:t>
      </w:r>
    </w:p>
    <w:p>
      <w:pPr>
        <w:spacing w:after="0" w:line="32" w:lineRule="exact"/>
        <w:rPr>
          <w:rFonts w:ascii="Arial" w:cs="Arial" w:eastAsia="Arial" w:hAnsi="Arial"/>
          <w:sz w:val="16"/>
          <w:szCs w:val="16"/>
          <w:color w:val="auto"/>
        </w:rPr>
      </w:pPr>
    </w:p>
    <w:p>
      <w:pPr>
        <w:ind w:left="1000" w:right="40" w:hanging="7"/>
        <w:spacing w:after="0" w:line="270" w:lineRule="auto"/>
        <w:tabs>
          <w:tab w:leader="none" w:pos="1285" w:val="left"/>
        </w:tabs>
        <w:numPr>
          <w:ilvl w:val="2"/>
          <w:numId w:val="378"/>
        </w:numPr>
        <w:rPr>
          <w:rFonts w:ascii="Arial" w:cs="Arial" w:eastAsia="Arial" w:hAnsi="Arial"/>
          <w:sz w:val="17"/>
          <w:szCs w:val="17"/>
          <w:color w:val="auto"/>
        </w:rPr>
      </w:pPr>
      <w:r>
        <w:rPr>
          <w:rFonts w:ascii="Arial" w:cs="Arial" w:eastAsia="Arial" w:hAnsi="Arial"/>
          <w:sz w:val="17"/>
          <w:szCs w:val="17"/>
          <w:color w:val="auto"/>
        </w:rPr>
        <w:t xml:space="preserve">Company additionally authorizes any unissued Shares that are not reserved for other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Company deliver any Shares or Restricted Shares to Dealer pursuant to this Section 9(o)(ii) to the 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83" w:lineRule="exact"/>
        <w:rPr>
          <w:rFonts w:ascii="Arial" w:cs="Arial" w:eastAsia="Arial" w:hAnsi="Arial"/>
          <w:sz w:val="17"/>
          <w:szCs w:val="17"/>
          <w:color w:val="auto"/>
        </w:rPr>
      </w:pPr>
    </w:p>
    <w:p>
      <w:pPr>
        <w:ind w:left="540" w:hanging="532"/>
        <w:spacing w:after="0" w:line="259" w:lineRule="auto"/>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THE PARTIES HERETO IRREVOCABLY SUBMIT TO THE EXCLUSIVE JURISDICTION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Insert relevant Dealer QFC Stay Rule language, if any.</w:t>
      </w:r>
      <w:r>
        <w:rPr>
          <w:rFonts w:ascii="Arial" w:cs="Arial" w:eastAsia="Arial" w:hAnsi="Arial"/>
          <w:sz w:val="18"/>
          <w:szCs w:val="18"/>
          <w:color w:val="auto"/>
        </w:rPr>
        <w:t>]</w:t>
      </w:r>
    </w:p>
    <w:p>
      <w:pPr>
        <w:spacing w:after="0" w:line="131" w:lineRule="exact"/>
        <w:rPr>
          <w:sz w:val="20"/>
          <w:szCs w:val="20"/>
          <w:color w:val="auto"/>
        </w:rPr>
      </w:pPr>
    </w:p>
    <w:p>
      <w:pPr>
        <w:ind w:left="540" w:right="100" w:hanging="532"/>
        <w:spacing w:after="0" w:line="269" w:lineRule="auto"/>
        <w:tabs>
          <w:tab w:leader="none" w:pos="540" w:val="left"/>
        </w:tabs>
        <w:numPr>
          <w:ilvl w:val="0"/>
          <w:numId w:val="380"/>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Extend</w:t>
      </w:r>
      <w:r>
        <w:rPr>
          <w:rFonts w:ascii="Arial" w:cs="Arial" w:eastAsia="Arial" w:hAnsi="Arial"/>
          <w:sz w:val="17"/>
          <w:szCs w:val="17"/>
          <w:color w:val="auto"/>
        </w:rPr>
        <w:t>. Dealer may postpone or add, in whole or in part, any Expiration Date or any other date of valuation or delivery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some or all of the relevant Warrants (in which event the Calculation Agent shall make appropriate adjustments to the Daily Number of Warrants with respect to one or more Expiration Dates) if Dealer determines, in its commercially reasonable judgment, that such extension is reasonably necessary or appropriate to preserve Dealer’s commercially reasonable hedging or hedge unwind activity hereunder in light of existing liquidity conditions in the cash market, the stock loan market or other relevant market or to enable Dealer to effect purchases of Shares in connection with its commercially reasonable hedging, hedge unwind or settlement activity hereunder in a manner that would, if Dealer were Issuer or an affiliated purchaser of Issuer, be in compliance with applicable legal, regulatory or self-regulatory requirements, or with related policies and procedures applicable to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requirements, policies and procedures relate to regulatory issues and are generally applicable in similar situations and are applied in a consistent manner to similar transactions).</w:t>
      </w:r>
    </w:p>
    <w:p>
      <w:pPr>
        <w:spacing w:after="0" w:line="90" w:lineRule="exact"/>
        <w:rPr>
          <w:rFonts w:ascii="Arial" w:cs="Arial" w:eastAsia="Arial" w:hAnsi="Arial"/>
          <w:sz w:val="17"/>
          <w:szCs w:val="17"/>
          <w:color w:val="auto"/>
        </w:rPr>
      </w:pPr>
    </w:p>
    <w:p>
      <w:pPr>
        <w:ind w:left="540" w:right="40" w:hanging="532"/>
        <w:spacing w:after="0" w:line="255" w:lineRule="auto"/>
        <w:tabs>
          <w:tab w:leader="none" w:pos="540" w:val="left"/>
        </w:tabs>
        <w:numPr>
          <w:ilvl w:val="0"/>
          <w:numId w:val="380"/>
        </w:numPr>
        <w:rPr>
          <w:rFonts w:ascii="Arial" w:cs="Arial" w:eastAsia="Arial" w:hAnsi="Arial"/>
          <w:sz w:val="18"/>
          <w:szCs w:val="18"/>
          <w:color w:val="auto"/>
        </w:rPr>
      </w:pPr>
      <w:r>
        <w:rPr>
          <w:rFonts w:ascii="Arial" w:cs="Arial" w:eastAsia="Arial" w:hAnsi="Arial"/>
          <w:sz w:val="18"/>
          <w:szCs w:val="18"/>
          <w:i w:val="1"/>
          <w:iCs w:val="1"/>
          <w:u w:val="single" w:color="auto"/>
          <w:color w:val="auto"/>
        </w:rPr>
        <w:t>Status of Claims in Bankruptcy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Dealer acknowledges and agrees that this Confirmation is not intended to convey to Dealer rights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with respect to the Transaction that are senior to the claims of common stockholders of Company in any United States bankruptcy proceedings of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rights in respect of any transactions other than the Transaction.</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60" w:top="274" w:right="479" w:bottom="1440" w:gutter="0" w:footer="0" w:header="0"/>
        </w:sectPr>
      </w:pPr>
    </w:p>
    <w:bookmarkStart w:id="310" w:name="page311"/>
    <w:bookmarkEnd w:id="310"/>
    <w:p>
      <w:pPr>
        <w:ind w:left="964" w:hanging="532"/>
        <w:spacing w:after="0" w:line="273" w:lineRule="auto"/>
        <w:tabs>
          <w:tab w:leader="none" w:pos="964" w:val="left"/>
        </w:tabs>
        <w:numPr>
          <w:ilvl w:val="0"/>
          <w:numId w:val="381"/>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hereto intend for (i) the Transaction to be a “securities contract” as defined in the Bankruptcy Code (Title</w:t>
      </w:r>
      <w:r>
        <w:rPr>
          <w:rFonts w:ascii="Arial" w:cs="Arial" w:eastAsia="Arial" w:hAnsi="Arial"/>
          <w:sz w:val="17"/>
          <w:szCs w:val="17"/>
          <w:i w:val="1"/>
          <w:iCs w:val="1"/>
          <w:color w:val="auto"/>
        </w:rPr>
        <w:t xml:space="preserve"> </w:t>
      </w:r>
      <w:r>
        <w:rPr>
          <w:rFonts w:ascii="Arial" w:cs="Arial" w:eastAsia="Arial" w:hAnsi="Arial"/>
          <w:sz w:val="17"/>
          <w:szCs w:val="17"/>
          <w:color w:val="auto"/>
        </w:rPr>
        <w:t>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the parties hereto to be entitled to the protections afforded by, among other Sections, Sections 362(b)(6), 546(e) and 555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3" w:lineRule="exact"/>
        <w:rPr>
          <w:rFonts w:ascii="Arial" w:cs="Arial" w:eastAsia="Arial" w:hAnsi="Arial"/>
          <w:sz w:val="17"/>
          <w:szCs w:val="17"/>
          <w:color w:val="auto"/>
        </w:rPr>
      </w:pPr>
    </w:p>
    <w:p>
      <w:pPr>
        <w:ind w:left="964" w:right="120" w:hanging="532"/>
        <w:spacing w:after="0" w:line="270" w:lineRule="auto"/>
        <w:tabs>
          <w:tab w:leader="none" w:pos="964" w:val="left"/>
        </w:tabs>
        <w:numPr>
          <w:ilvl w:val="0"/>
          <w:numId w:val="381"/>
        </w:numPr>
        <w:rPr>
          <w:rFonts w:ascii="Arial" w:cs="Arial" w:eastAsia="Arial" w:hAnsi="Arial"/>
          <w:sz w:val="17"/>
          <w:szCs w:val="17"/>
          <w:color w:val="auto"/>
        </w:rPr>
      </w:pPr>
      <w:r>
        <w:rPr>
          <w:rFonts w:ascii="Arial" w:cs="Arial" w:eastAsia="Arial" w:hAnsi="Arial"/>
          <w:sz w:val="17"/>
          <w:szCs w:val="17"/>
          <w:i w:val="1"/>
          <w:iCs w:val="1"/>
          <w:u w:val="single" w:color="auto"/>
          <w:color w:val="auto"/>
        </w:rPr>
        <w:t>Wall Street Transparency and Accountability Act</w:t>
      </w:r>
      <w:r>
        <w:rPr>
          <w:rFonts w:ascii="Arial" w:cs="Arial" w:eastAsia="Arial" w:hAnsi="Arial"/>
          <w:sz w:val="17"/>
          <w:szCs w:val="17"/>
          <w:color w:val="auto"/>
        </w:rPr>
        <w:t>. In connection with Section 739 of the Wall Street Transparency and Accountability Act</w:t>
      </w:r>
      <w:r>
        <w:rPr>
          <w:rFonts w:ascii="Arial" w:cs="Arial" w:eastAsia="Arial" w:hAnsi="Arial"/>
          <w:sz w:val="17"/>
          <w:szCs w:val="17"/>
          <w:i w:val="1"/>
          <w:iCs w:val="1"/>
          <w:color w:val="auto"/>
        </w:rPr>
        <w:t xml:space="preserve"> </w:t>
      </w:r>
      <w:r>
        <w:rPr>
          <w:rFonts w:ascii="Arial" w:cs="Arial" w:eastAsia="Arial" w:hAnsi="Arial"/>
          <w:sz w:val="17"/>
          <w:szCs w:val="17"/>
          <w:color w:val="auto"/>
        </w:rPr>
        <w:t>of 2010 (“</w:t>
      </w:r>
      <w:r>
        <w:rPr>
          <w:rFonts w:ascii="Arial" w:cs="Arial" w:eastAsia="Arial" w:hAnsi="Arial"/>
          <w:sz w:val="17"/>
          <w:szCs w:val="17"/>
          <w:b w:val="1"/>
          <w:bCs w:val="1"/>
          <w:color w:val="auto"/>
        </w:rPr>
        <w:t>WSTAA</w:t>
      </w:r>
      <w:r>
        <w:rPr>
          <w:rFonts w:ascii="Arial" w:cs="Arial" w:eastAsia="Arial" w:hAnsi="Arial"/>
          <w:sz w:val="17"/>
          <w:szCs w:val="17"/>
          <w:color w:val="auto"/>
        </w:rPr>
        <w:t>”), the parties hereby agree that neither the enactment of WSTAA (or any statute containing any legal certainty provision similar to Section 739 of the WSTAA) or any regulation under the WSTAA (or any such statute), nor any requirement under WSTAA (or any statute containing any legal certainty provision similar to Section 739 of the WSTAA) or an amendment made by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86" w:lineRule="exact"/>
        <w:rPr>
          <w:rFonts w:ascii="Arial" w:cs="Arial" w:eastAsia="Arial" w:hAnsi="Arial"/>
          <w:sz w:val="17"/>
          <w:szCs w:val="17"/>
          <w:color w:val="auto"/>
        </w:rPr>
      </w:pPr>
    </w:p>
    <w:p>
      <w:pPr>
        <w:ind w:left="964" w:right="100" w:hanging="532"/>
        <w:spacing w:after="0" w:line="286" w:lineRule="auto"/>
        <w:tabs>
          <w:tab w:leader="none" w:pos="964" w:val="left"/>
        </w:tabs>
        <w:numPr>
          <w:ilvl w:val="0"/>
          <w:numId w:val="381"/>
        </w:numPr>
        <w:rPr>
          <w:rFonts w:ascii="Arial" w:cs="Arial" w:eastAsia="Arial" w:hAnsi="Arial"/>
          <w:sz w:val="16"/>
          <w:szCs w:val="16"/>
          <w:color w:val="auto"/>
        </w:rPr>
      </w:pPr>
      <w:r>
        <w:rPr>
          <w:rFonts w:ascii="Arial" w:cs="Arial" w:eastAsia="Arial" w:hAnsi="Arial"/>
          <w:sz w:val="16"/>
          <w:szCs w:val="16"/>
          <w:i w:val="1"/>
          <w:iCs w:val="1"/>
          <w:u w:val="single" w:color="auto"/>
          <w:color w:val="auto"/>
        </w:rPr>
        <w:t>Agreements and Acknowledgements Regarding Hedging</w:t>
      </w:r>
      <w:r>
        <w:rPr>
          <w:rFonts w:ascii="Arial" w:cs="Arial" w:eastAsia="Arial" w:hAnsi="Arial"/>
          <w:sz w:val="16"/>
          <w:szCs w:val="16"/>
          <w:color w:val="auto"/>
        </w:rPr>
        <w:t>. Company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w:t>
      </w:r>
    </w:p>
    <w:p>
      <w:pPr>
        <w:spacing w:after="0" w:line="1" w:lineRule="exact"/>
        <w:rPr>
          <w:rFonts w:ascii="Arial" w:cs="Arial" w:eastAsia="Arial" w:hAnsi="Arial"/>
          <w:sz w:val="16"/>
          <w:szCs w:val="16"/>
          <w:color w:val="auto"/>
        </w:rPr>
      </w:pPr>
    </w:p>
    <w:p>
      <w:pPr>
        <w:ind w:left="964" w:right="60"/>
        <w:spacing w:after="0" w:line="273" w:lineRule="auto"/>
        <w:rPr>
          <w:rFonts w:ascii="Arial" w:cs="Arial" w:eastAsia="Arial" w:hAnsi="Arial"/>
          <w:sz w:val="16"/>
          <w:szCs w:val="16"/>
          <w:color w:val="auto"/>
        </w:rPr>
      </w:pPr>
      <w:r>
        <w:rPr>
          <w:rFonts w:ascii="Arial" w:cs="Arial" w:eastAsia="Arial" w:hAnsi="Arial"/>
          <w:sz w:val="17"/>
          <w:szCs w:val="17"/>
          <w:color w:val="auto"/>
        </w:rPr>
        <w:t>(C)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81" w:lineRule="exact"/>
        <w:rPr>
          <w:rFonts w:ascii="Arial" w:cs="Arial" w:eastAsia="Arial" w:hAnsi="Arial"/>
          <w:sz w:val="16"/>
          <w:szCs w:val="16"/>
          <w:color w:val="auto"/>
        </w:rPr>
      </w:pPr>
    </w:p>
    <w:p>
      <w:pPr>
        <w:ind w:left="964" w:right="60" w:hanging="532"/>
        <w:spacing w:after="0" w:line="253" w:lineRule="auto"/>
        <w:tabs>
          <w:tab w:leader="none" w:pos="964" w:val="left"/>
        </w:tabs>
        <w:numPr>
          <w:ilvl w:val="0"/>
          <w:numId w:val="381"/>
        </w:numPr>
        <w:rPr>
          <w:rFonts w:ascii="Arial" w:cs="Arial" w:eastAsia="Arial" w:hAnsi="Arial"/>
          <w:sz w:val="18"/>
          <w:szCs w:val="18"/>
          <w:color w:val="auto"/>
        </w:rPr>
      </w:pPr>
      <w:r>
        <w:rPr>
          <w:rFonts w:ascii="Arial" w:cs="Arial" w:eastAsia="Arial" w:hAnsi="Arial"/>
          <w:sz w:val="18"/>
          <w:szCs w:val="18"/>
          <w:i w:val="1"/>
          <w:iCs w:val="1"/>
          <w:u w:val="single" w:color="auto"/>
          <w:color w:val="auto"/>
        </w:rPr>
        <w:t>Early Unwind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the sale of the [“Firm Securities”]</w:t>
      </w:r>
      <w:r>
        <w:rPr>
          <w:rFonts w:ascii="Arial" w:cs="Arial" w:eastAsia="Arial" w:hAnsi="Arial"/>
          <w:sz w:val="15"/>
          <w:szCs w:val="15"/>
          <w:color w:val="auto"/>
        </w:rPr>
        <w:t>5</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Securities”]</w:t>
      </w:r>
      <w:r>
        <w:rPr>
          <w:rFonts w:ascii="Arial" w:cs="Arial" w:eastAsia="Arial" w:hAnsi="Arial"/>
          <w:sz w:val="15"/>
          <w:szCs w:val="15"/>
          <w:color w:val="auto"/>
        </w:rPr>
        <w:t>6</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Purchase Agreement)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consummated with the Initial Purchasers for any reason, or Company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8"/>
          <w:szCs w:val="18"/>
          <w:b w:val="1"/>
          <w:bCs w:val="1"/>
          <w:color w:val="auto"/>
        </w:rPr>
        <w:t>Early Unwind Date</w:t>
      </w:r>
      <w:r>
        <w:rPr>
          <w:rFonts w:ascii="Arial" w:cs="Arial" w:eastAsia="Arial" w:hAnsi="Arial"/>
          <w:sz w:val="18"/>
          <w:szCs w:val="18"/>
          <w:color w:val="auto"/>
        </w:rPr>
        <w:t>”), the Transaction shall automatically terminate (the “</w:t>
      </w:r>
      <w:r>
        <w:rPr>
          <w:rFonts w:ascii="Arial" w:cs="Arial" w:eastAsia="Arial" w:hAnsi="Arial"/>
          <w:sz w:val="18"/>
          <w:szCs w:val="18"/>
          <w:b w:val="1"/>
          <w:bCs w:val="1"/>
          <w:color w:val="auto"/>
        </w:rPr>
        <w:t>Early Unwind</w:t>
      </w:r>
      <w:r>
        <w:rPr>
          <w:rFonts w:ascii="Arial" w:cs="Arial" w:eastAsia="Arial" w:hAnsi="Arial"/>
          <w:sz w:val="18"/>
          <w:szCs w:val="18"/>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715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9" w:lineRule="exact"/>
        <w:rPr>
          <w:sz w:val="20"/>
          <w:szCs w:val="20"/>
          <w:color w:val="auto"/>
        </w:rPr>
      </w:pPr>
    </w:p>
    <w:p>
      <w:pPr>
        <w:ind w:left="424" w:hanging="424"/>
        <w:spacing w:after="0"/>
        <w:tabs>
          <w:tab w:leader="none" w:pos="424" w:val="left"/>
        </w:tabs>
        <w:numPr>
          <w:ilvl w:val="0"/>
          <w:numId w:val="382"/>
        </w:numPr>
        <w:rPr>
          <w:rFonts w:ascii="Arial" w:cs="Arial" w:eastAsia="Arial" w:hAnsi="Arial"/>
          <w:sz w:val="15"/>
          <w:szCs w:val="15"/>
          <w:color w:val="auto"/>
        </w:rPr>
      </w:pPr>
      <w:r>
        <w:rPr>
          <w:rFonts w:ascii="Arial" w:cs="Arial" w:eastAsia="Arial" w:hAnsi="Arial"/>
          <w:sz w:val="18"/>
          <w:szCs w:val="18"/>
          <w:color w:val="auto"/>
        </w:rPr>
        <w:t>Insert for Base Warrant Confirmation.</w:t>
      </w:r>
    </w:p>
    <w:p>
      <w:pPr>
        <w:spacing w:after="0" w:line="22" w:lineRule="exact"/>
        <w:rPr>
          <w:sz w:val="20"/>
          <w:szCs w:val="20"/>
          <w:color w:val="auto"/>
        </w:rPr>
      </w:pPr>
    </w:p>
    <w:p>
      <w:pPr>
        <w:ind w:left="424" w:hanging="424"/>
        <w:spacing w:after="0"/>
        <w:tabs>
          <w:tab w:leader="none" w:pos="424" w:val="left"/>
        </w:tabs>
        <w:numPr>
          <w:ilvl w:val="0"/>
          <w:numId w:val="383"/>
        </w:numPr>
        <w:rPr>
          <w:rFonts w:ascii="Arial" w:cs="Arial" w:eastAsia="Arial" w:hAnsi="Arial"/>
          <w:sz w:val="15"/>
          <w:szCs w:val="15"/>
          <w:color w:val="auto"/>
        </w:rPr>
      </w:pPr>
      <w:r>
        <w:rPr>
          <w:rFonts w:ascii="Arial" w:cs="Arial" w:eastAsia="Arial" w:hAnsi="Arial"/>
          <w:sz w:val="18"/>
          <w:szCs w:val="18"/>
          <w:color w:val="auto"/>
        </w:rPr>
        <w:t>Insert for Additional Warrant Confirmation.</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11" w:name="page312"/>
    <w:bookmarkEnd w:id="311"/>
    <w:p>
      <w:pPr>
        <w:ind w:left="964" w:right="340" w:hanging="532"/>
        <w:spacing w:after="0" w:line="275" w:lineRule="auto"/>
        <w:tabs>
          <w:tab w:leader="none" w:pos="964" w:val="left"/>
        </w:tabs>
        <w:numPr>
          <w:ilvl w:val="0"/>
          <w:numId w:val="384"/>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 by Dealer</w:t>
      </w:r>
      <w:r>
        <w:rPr>
          <w:rFonts w:ascii="Arial" w:cs="Arial" w:eastAsia="Arial" w:hAnsi="Arial"/>
          <w:sz w:val="17"/>
          <w:szCs w:val="17"/>
          <w:color w:val="auto"/>
        </w:rPr>
        <w:t>. In the event that, following payment of the Premium, (i) an Early Termination Date occurs or is designated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Transaction as a result of a 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81" w:lineRule="exact"/>
        <w:rPr>
          <w:rFonts w:ascii="Arial" w:cs="Arial" w:eastAsia="Arial" w:hAnsi="Arial"/>
          <w:sz w:val="17"/>
          <w:szCs w:val="17"/>
          <w:color w:val="auto"/>
        </w:rPr>
      </w:pPr>
    </w:p>
    <w:p>
      <w:pPr>
        <w:ind w:left="964" w:hanging="532"/>
        <w:spacing w:after="0" w:line="257" w:lineRule="auto"/>
        <w:tabs>
          <w:tab w:leader="none" w:pos="964" w:val="left"/>
        </w:tabs>
        <w:numPr>
          <w:ilvl w:val="0"/>
          <w:numId w:val="384"/>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or Receipt of Cash</w:t>
      </w:r>
      <w:r>
        <w:rPr>
          <w:rFonts w:ascii="Arial" w:cs="Arial" w:eastAsia="Arial" w:hAnsi="Arial"/>
          <w:sz w:val="18"/>
          <w:szCs w:val="18"/>
          <w:color w:val="auto"/>
        </w:rPr>
        <w:t>. For the avoidance of doubt, other than receipt of the Premium by Company, nothing in this Confirmation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interpreted as requiring Company to cash settle the Transaction, except in circumstances where cash settlement is within Company’s control (including, without limitation, where Company elects to deliver or receive cash, or where Company has made Private Placement Settlement unavailable due to the occurrence of events within its control) or in those circumstances in which all holders of Shares would also receive cash.</w:t>
      </w:r>
    </w:p>
    <w:p>
      <w:pPr>
        <w:spacing w:after="0" w:line="93" w:lineRule="exact"/>
        <w:rPr>
          <w:rFonts w:ascii="Arial" w:cs="Arial" w:eastAsia="Arial" w:hAnsi="Arial"/>
          <w:sz w:val="18"/>
          <w:szCs w:val="18"/>
          <w:color w:val="auto"/>
        </w:rPr>
      </w:pPr>
    </w:p>
    <w:p>
      <w:pPr>
        <w:ind w:left="964" w:hanging="532"/>
        <w:spacing w:after="0" w:line="301" w:lineRule="auto"/>
        <w:tabs>
          <w:tab w:leader="none" w:pos="964" w:val="left"/>
        </w:tabs>
        <w:numPr>
          <w:ilvl w:val="0"/>
          <w:numId w:val="384"/>
        </w:numPr>
        <w:rPr>
          <w:rFonts w:ascii="Arial" w:cs="Arial" w:eastAsia="Arial" w:hAnsi="Arial"/>
          <w:sz w:val="16"/>
          <w:szCs w:val="16"/>
          <w:color w:val="auto"/>
        </w:rPr>
      </w:pPr>
      <w:r>
        <w:rPr>
          <w:rFonts w:ascii="Arial" w:cs="Arial" w:eastAsia="Arial" w:hAnsi="Arial"/>
          <w:sz w:val="16"/>
          <w:szCs w:val="16"/>
          <w:i w:val="1"/>
          <w:iCs w:val="1"/>
          <w:u w:val="single" w:color="auto"/>
          <w:color w:val="auto"/>
        </w:rPr>
        <w:t>Listing of Warrant Shares</w:t>
      </w:r>
      <w:r>
        <w:rPr>
          <w:rFonts w:ascii="Arial" w:cs="Arial" w:eastAsia="Arial" w:hAnsi="Arial"/>
          <w:sz w:val="16"/>
          <w:szCs w:val="16"/>
          <w:color w:val="auto"/>
        </w:rPr>
        <w:t>. Company shall have submitted an application for the listing of the Warrant Shares on the Exchange, and such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and listing shall have been approved by the Exchange, subject only to official notice of issuance, in each case, on or prior to the Premium Payment Date. Company agrees and acknowledges that such submission and approval shall be a condition precedent for the purpose of Section 2(a)(iii) of the Agreement with respect to each obligation of Dealer under Section 2(a)(i) of the Agreement.</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0"/>
          <w:numId w:val="384"/>
        </w:numPr>
        <w:rPr>
          <w:rFonts w:ascii="Arial" w:cs="Arial" w:eastAsia="Arial" w:hAnsi="Arial"/>
          <w:sz w:val="18"/>
          <w:szCs w:val="18"/>
          <w:color w:val="auto"/>
        </w:rPr>
      </w:pPr>
      <w:r>
        <w:rPr>
          <w:rFonts w:ascii="Arial" w:cs="Arial" w:eastAsia="Arial" w:hAnsi="Arial"/>
          <w:sz w:val="18"/>
          <w:szCs w:val="18"/>
          <w:i w:val="1"/>
          <w:iCs w:val="1"/>
          <w:u w:val="single" w:color="auto"/>
          <w:color w:val="auto"/>
        </w:rPr>
        <w:t>Tax Matters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424" w:hanging="439"/>
        <w:spacing w:after="0"/>
        <w:tabs>
          <w:tab w:leader="none" w:pos="1424" w:val="left"/>
        </w:tabs>
        <w:numPr>
          <w:ilvl w:val="1"/>
          <w:numId w:val="384"/>
        </w:numPr>
        <w:rPr>
          <w:rFonts w:ascii="Arial" w:cs="Arial" w:eastAsia="Arial" w:hAnsi="Arial"/>
          <w:sz w:val="18"/>
          <w:szCs w:val="18"/>
          <w:color w:val="auto"/>
        </w:rPr>
      </w:pPr>
      <w:r>
        <w:rPr>
          <w:rFonts w:ascii="Arial" w:cs="Arial" w:eastAsia="Arial" w:hAnsi="Arial"/>
          <w:sz w:val="18"/>
          <w:szCs w:val="18"/>
          <w:i w:val="1"/>
          <w:iCs w:val="1"/>
          <w:color w:val="auto"/>
        </w:rPr>
        <w:t>Payee Representations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For the purpose of Section 3(f) of this Agreement, Company makes the following representation to Dealer:</w:t>
      </w:r>
    </w:p>
    <w:p>
      <w:pPr>
        <w:spacing w:after="0" w:line="117" w:lineRule="exact"/>
        <w:rPr>
          <w:rFonts w:ascii="Arial" w:cs="Arial" w:eastAsia="Arial" w:hAnsi="Arial"/>
          <w:sz w:val="18"/>
          <w:szCs w:val="18"/>
          <w:color w:val="auto"/>
        </w:rPr>
      </w:pPr>
    </w:p>
    <w:p>
      <w:pPr>
        <w:ind w:left="1424" w:right="380"/>
        <w:spacing w:after="0" w:line="277" w:lineRule="auto"/>
        <w:rPr>
          <w:rFonts w:ascii="Arial" w:cs="Arial" w:eastAsia="Arial" w:hAnsi="Arial"/>
          <w:sz w:val="18"/>
          <w:szCs w:val="18"/>
          <w:color w:val="auto"/>
        </w:rPr>
      </w:pPr>
      <w:r>
        <w:rPr>
          <w:rFonts w:ascii="Arial" w:cs="Arial" w:eastAsia="Arial" w:hAnsi="Arial"/>
          <w:sz w:val="18"/>
          <w:szCs w:val="18"/>
          <w:color w:val="auto"/>
        </w:rPr>
        <w:t>Company is a corporation for U.S. tax purposes and a U.S. person (as that term is defined in Section 7701(a)(30)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For the purpose of Section 3(f) of this Agreement, Dealer makes the following representation to Company:</w:t>
      </w:r>
    </w:p>
    <w:p>
      <w:pPr>
        <w:sectPr>
          <w:pgSz w:w="11900" w:h="16838" w:orient="portrait"/>
          <w:cols w:equalWidth="0" w:num="1">
            <w:col w:w="11004"/>
          </w:cols>
          <w:pgMar w:left="436" w:top="274" w:right="459" w:bottom="1440" w:gutter="0" w:footer="0" w:header="0"/>
        </w:sectPr>
      </w:pP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is a national banking association organized and existing under the laws of the United States of America, and its federal taxpayer identification number is [ ].]/ [It is a “U.S. person” (as that term is used in Section 1.1441-4(a)(3)(ii) of the United States Treasury Regulations) for U.S. federal income tax purposes.]</w:t>
      </w:r>
      <w:r>
        <w:rPr>
          <w:rFonts w:ascii="Arial" w:cs="Arial" w:eastAsia="Arial" w:hAnsi="Arial"/>
          <w:sz w:val="15"/>
          <w:szCs w:val="15"/>
          <w:color w:val="auto"/>
        </w:rPr>
        <w:t>7</w:t>
      </w:r>
    </w:p>
    <w:p>
      <w:pPr>
        <w:spacing w:after="0" w:line="89" w:lineRule="exact"/>
        <w:rPr>
          <w:sz w:val="20"/>
          <w:szCs w:val="20"/>
          <w:color w:val="auto"/>
        </w:rPr>
      </w:pPr>
    </w:p>
    <w:p>
      <w:pPr>
        <w:sectPr>
          <w:pgSz w:w="11900" w:h="16838" w:orient="portrait"/>
          <w:cols w:equalWidth="0" w:num="2">
            <w:col w:w="1164" w:space="260"/>
            <w:col w:w="9580"/>
          </w:cols>
          <w:pgMar w:left="436" w:top="274" w:right="459" w:bottom="1440" w:gutter="0" w:footer="0" w:header="0"/>
          <w:type w:val="continuous"/>
        </w:sectPr>
      </w:pPr>
    </w:p>
    <w:p>
      <w:pPr>
        <w:ind w:left="1424" w:right="80" w:hanging="439"/>
        <w:spacing w:after="0" w:line="279" w:lineRule="auto"/>
        <w:tabs>
          <w:tab w:leader="none" w:pos="1424" w:val="left"/>
        </w:tabs>
        <w:numPr>
          <w:ilvl w:val="0"/>
          <w:numId w:val="385"/>
        </w:numPr>
        <w:rPr>
          <w:rFonts w:ascii="Arial" w:cs="Arial" w:eastAsia="Arial" w:hAnsi="Arial"/>
          <w:sz w:val="17"/>
          <w:szCs w:val="17"/>
          <w:color w:val="auto"/>
        </w:rPr>
      </w:pPr>
      <w:r>
        <w:rPr>
          <w:rFonts w:ascii="Arial" w:cs="Arial" w:eastAsia="Arial" w:hAnsi="Arial"/>
          <w:sz w:val="17"/>
          <w:szCs w:val="17"/>
          <w:i w:val="1"/>
          <w:iCs w:val="1"/>
          <w:color w:val="auto"/>
        </w:rPr>
        <w:t xml:space="preserve">Tax Documentation. </w:t>
      </w:r>
      <w:r>
        <w:rPr>
          <w:rFonts w:ascii="Arial" w:cs="Arial" w:eastAsia="Arial" w:hAnsi="Arial"/>
          <w:sz w:val="17"/>
          <w:szCs w:val="17"/>
          <w:color w:val="auto"/>
        </w:rPr>
        <w:t>Each party shall provide to the other party a valid United States Internal Revenue Service Form W-9 (or</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thereto), (i) on or before the date of execution of this confirmation and (ii) promptly upon learning that any such tax form previously provided by it has become obsolete or incorrect. Additionally, each party shall, promptly upon request by the other party, provide such other tax forms and documents reasonably requested by the other party.</w:t>
      </w:r>
    </w:p>
    <w:p>
      <w:pPr>
        <w:spacing w:after="0" w:line="76" w:lineRule="exact"/>
        <w:rPr>
          <w:rFonts w:ascii="Arial" w:cs="Arial" w:eastAsia="Arial" w:hAnsi="Arial"/>
          <w:sz w:val="17"/>
          <w:szCs w:val="17"/>
          <w:color w:val="auto"/>
        </w:rPr>
      </w:pPr>
    </w:p>
    <w:p>
      <w:pPr>
        <w:ind w:left="1424" w:right="20" w:hanging="439"/>
        <w:spacing w:after="0" w:line="272" w:lineRule="auto"/>
        <w:tabs>
          <w:tab w:leader="none" w:pos="1424" w:val="left"/>
        </w:tabs>
        <w:numPr>
          <w:ilvl w:val="0"/>
          <w:numId w:val="385"/>
        </w:numPr>
        <w:rPr>
          <w:rFonts w:ascii="Arial" w:cs="Arial" w:eastAsia="Arial" w:hAnsi="Arial"/>
          <w:sz w:val="17"/>
          <w:szCs w:val="17"/>
          <w:color w:val="auto"/>
        </w:rPr>
      </w:pPr>
      <w:r>
        <w:rPr>
          <w:rFonts w:ascii="Arial" w:cs="Arial" w:eastAsia="Arial" w:hAnsi="Arial"/>
          <w:sz w:val="17"/>
          <w:szCs w:val="17"/>
          <w:i w:val="1"/>
          <w:iCs w:val="1"/>
          <w:color w:val="auto"/>
        </w:rPr>
        <w:t>Withholding Tax imposed on payments to non-US counterparties under the United States Foreign Account Tax Compliance Act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 Withholding Tax</w:t>
      </w:r>
      <w:r>
        <w:rPr>
          <w:rFonts w:ascii="Arial" w:cs="Arial" w:eastAsia="Arial" w:hAnsi="Arial"/>
          <w:sz w:val="17"/>
          <w:szCs w:val="17"/>
          <w:color w:val="auto"/>
        </w:rPr>
        <w:t>”). For the avoidance of doubt, a FATCA Withholding Tax is a Tax the deduction or withholding of which is required by applicable law for the purposes of Section 2(d)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424" w:hanging="424"/>
        <w:spacing w:after="0"/>
        <w:tabs>
          <w:tab w:leader="none" w:pos="424" w:val="left"/>
        </w:tabs>
        <w:numPr>
          <w:ilvl w:val="0"/>
          <w:numId w:val="386"/>
        </w:numPr>
        <w:rPr>
          <w:rFonts w:ascii="Arial" w:cs="Arial" w:eastAsia="Arial" w:hAnsi="Arial"/>
          <w:sz w:val="15"/>
          <w:szCs w:val="15"/>
          <w:color w:val="auto"/>
        </w:rPr>
      </w:pPr>
      <w:r>
        <w:rPr>
          <w:rFonts w:ascii="Arial" w:cs="Arial" w:eastAsia="Arial" w:hAnsi="Arial"/>
          <w:sz w:val="18"/>
          <w:szCs w:val="18"/>
          <w:color w:val="auto"/>
        </w:rPr>
        <w:t>Insert as applicable.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type w:val="continuous"/>
        </w:sectPr>
      </w:pPr>
    </w:p>
    <w:bookmarkStart w:id="312" w:name="page313"/>
    <w:bookmarkEnd w:id="312"/>
    <w:p>
      <w:pPr>
        <w:ind w:left="1000" w:hanging="439"/>
        <w:spacing w:after="0" w:line="342" w:lineRule="auto"/>
        <w:tabs>
          <w:tab w:leader="none" w:pos="1000" w:val="left"/>
        </w:tabs>
        <w:numPr>
          <w:ilvl w:val="1"/>
          <w:numId w:val="38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HIRE Act</w:t>
      </w:r>
      <w:r>
        <w:rPr>
          <w:rFonts w:ascii="Arial" w:cs="Arial" w:eastAsia="Arial" w:hAnsi="Arial"/>
          <w:sz w:val="16"/>
          <w:szCs w:val="16"/>
          <w:color w:val="auto"/>
        </w:rPr>
        <w:t>. “Indemnifiable Tax”, as defined in Section 14 of the Agreement, shall not include any tax imposed on payments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from sources within the United States under Section 871(m) of the Code or any regulations issued thereunder.</w:t>
      </w:r>
    </w:p>
    <w:p>
      <w:pPr>
        <w:spacing w:after="0" w:line="25" w:lineRule="exact"/>
        <w:rPr>
          <w:rFonts w:ascii="Arial" w:cs="Arial" w:eastAsia="Arial" w:hAnsi="Arial"/>
          <w:sz w:val="16"/>
          <w:szCs w:val="16"/>
          <w:color w:val="auto"/>
        </w:rPr>
      </w:pPr>
    </w:p>
    <w:p>
      <w:pPr>
        <w:ind w:left="540" w:hanging="532"/>
        <w:spacing w:after="0"/>
        <w:tabs>
          <w:tab w:leader="none" w:pos="540" w:val="left"/>
        </w:tabs>
        <w:numPr>
          <w:ilvl w:val="0"/>
          <w:numId w:val="388"/>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ind w:left="540" w:right="14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THE NEW YORK GENERAL OBLIGATIONS LAW).</w:t>
      </w:r>
    </w:p>
    <w:p>
      <w:pPr>
        <w:spacing w:after="0" w:line="95"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388"/>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Company and Dealer.</w:t>
      </w:r>
    </w:p>
    <w:p>
      <w:pPr>
        <w:spacing w:after="0" w:line="75" w:lineRule="exact"/>
        <w:rPr>
          <w:rFonts w:ascii="Arial" w:cs="Arial" w:eastAsia="Arial" w:hAnsi="Arial"/>
          <w:sz w:val="18"/>
          <w:szCs w:val="18"/>
          <w:color w:val="auto"/>
        </w:rPr>
      </w:pPr>
    </w:p>
    <w:p>
      <w:pPr>
        <w:ind w:left="540" w:right="420" w:hanging="532"/>
        <w:spacing w:after="0" w:line="277" w:lineRule="auto"/>
        <w:tabs>
          <w:tab w:leader="none" w:pos="540" w:val="left"/>
        </w:tabs>
        <w:numPr>
          <w:ilvl w:val="0"/>
          <w:numId w:val="388"/>
        </w:numPr>
        <w:rPr>
          <w:rFonts w:ascii="Arial" w:cs="Arial" w:eastAsia="Arial" w:hAnsi="Arial"/>
          <w:sz w:val="18"/>
          <w:szCs w:val="18"/>
          <w:color w:val="auto"/>
        </w:rPr>
      </w:pPr>
      <w:r>
        <w:rPr>
          <w:rFonts w:ascii="Arial" w:cs="Arial" w:eastAsia="Arial" w:hAnsi="Arial"/>
          <w:sz w:val="18"/>
          <w:szCs w:val="18"/>
          <w:i w:val="1"/>
          <w:iCs w:val="1"/>
          <w:u w:val="single" w:color="auto"/>
          <w:color w:val="auto"/>
        </w:rPr>
        <w:t>Counterparts</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80"/>
          </w:cols>
          <w:pgMar w:left="860" w:top="274" w:right="459" w:bottom="1440" w:gutter="0" w:footer="0" w:header="0"/>
        </w:sectPr>
      </w:pPr>
    </w:p>
    <w:bookmarkStart w:id="313" w:name="page314"/>
    <w:bookmarkEnd w:id="31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Company with respect to the Transaction, by manually signing this Confirmation or this page hereof as evidence of agreement to such terms and providing the other information requested herein and immediately returning an executed copy to Dealer.</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546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[Base][Additional] Warrant Confirmation]</w:t>
      </w:r>
    </w:p>
    <w:p>
      <w:pPr>
        <w:sectPr>
          <w:pgSz w:w="11900" w:h="16838" w:orient="portrait"/>
          <w:cols w:equalWidth="0" w:num="1">
            <w:col w:w="10960"/>
          </w:cols>
          <w:pgMar w:left="440" w:top="274" w:right="49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Expiration Dates and the Daily Number of Warrants for each Expiration Date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3"/>
          </w:tcPr>
          <w:p>
            <w:pPr>
              <w:ind w:left="2320"/>
              <w:spacing w:after="0"/>
              <w:rPr>
                <w:sz w:val="20"/>
                <w:szCs w:val="20"/>
                <w:color w:val="auto"/>
              </w:rPr>
            </w:pPr>
            <w:r>
              <w:rPr>
                <w:rFonts w:ascii="Arial" w:cs="Arial" w:eastAsia="Arial" w:hAnsi="Arial"/>
                <w:sz w:val="14"/>
                <w:szCs w:val="14"/>
                <w:b w:val="1"/>
                <w:bCs w:val="1"/>
                <w:color w:val="auto"/>
              </w:rPr>
              <w:t>Expiration Date</w:t>
            </w:r>
          </w:p>
        </w:tc>
        <w:tc>
          <w:tcPr>
            <w:tcW w:w="5280" w:type="dxa"/>
            <w:vAlign w:val="bottom"/>
            <w:gridSpan w:val="2"/>
          </w:tcPr>
          <w:p>
            <w:pPr>
              <w:jc w:val="right"/>
              <w:ind w:right="1730"/>
              <w:spacing w:after="0"/>
              <w:rPr>
                <w:sz w:val="20"/>
                <w:szCs w:val="20"/>
                <w:color w:val="auto"/>
              </w:rPr>
            </w:pPr>
            <w:r>
              <w:rPr>
                <w:rFonts w:ascii="Arial" w:cs="Arial" w:eastAsia="Arial" w:hAnsi="Arial"/>
                <w:sz w:val="14"/>
                <w:szCs w:val="14"/>
                <w:b w:val="1"/>
                <w:bCs w:val="1"/>
                <w:color w:val="auto"/>
              </w:rPr>
              <w:t>Daily Number of Warrants</w:t>
            </w:r>
          </w:p>
        </w:tc>
      </w:tr>
      <w:tr>
        <w:trPr>
          <w:trHeight w:val="195"/>
        </w:trPr>
        <w:tc>
          <w:tcPr>
            <w:tcW w:w="282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2800" w:type="dxa"/>
            <w:vAlign w:val="bottom"/>
            <w:tcBorders>
              <w:top w:val="single" w:sz="8" w:color="auto"/>
            </w:tcBorders>
          </w:tcPr>
          <w:p>
            <w:pPr>
              <w:jc w:val="right"/>
              <w:ind w:right="229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6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2640" w:type="dxa"/>
            <w:vAlign w:val="bottom"/>
            <w:tcBorders>
              <w:top w:val="single" w:sz="8" w:color="auto"/>
            </w:tcBorders>
          </w:tcPr>
          <w:p>
            <w:pPr>
              <w:jc w:val="right"/>
              <w:ind w:right="2130"/>
              <w:spacing w:after="0" w:line="195" w:lineRule="exact"/>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0" w:right="439" w:bottom="1440" w:gutter="0" w:footer="0" w:header="0"/>
        </w:sectPr>
      </w:pPr>
    </w:p>
    <w:bookmarkStart w:id="315" w:name="page316"/>
    <w:bookmarkEnd w:id="315"/>
    <w:p>
      <w:pPr>
        <w:ind w:left="10084"/>
        <w:spacing w:after="0"/>
        <w:rPr>
          <w:sz w:val="20"/>
          <w:szCs w:val="20"/>
          <w:color w:val="auto"/>
        </w:rPr>
      </w:pPr>
      <w:r>
        <w:rPr>
          <w:rFonts w:ascii="Arial" w:cs="Arial" w:eastAsia="Arial" w:hAnsi="Arial"/>
          <w:sz w:val="16"/>
          <w:szCs w:val="16"/>
          <w:b w:val="1"/>
          <w:bCs w:val="1"/>
          <w:color w:val="auto"/>
        </w:rPr>
        <w:t>Exhibit 10.5</w:t>
      </w:r>
    </w:p>
    <w:p>
      <w:pPr>
        <w:spacing w:after="0" w:line="252" w:lineRule="exact"/>
        <w:rPr>
          <w:sz w:val="20"/>
          <w:szCs w:val="20"/>
          <w:color w:val="auto"/>
        </w:rPr>
      </w:pPr>
    </w:p>
    <w:p>
      <w:pPr>
        <w:ind w:left="4" w:right="200"/>
        <w:spacing w:after="0" w:line="279" w:lineRule="auto"/>
        <w:rPr>
          <w:sz w:val="20"/>
          <w:szCs w:val="20"/>
          <w:color w:val="auto"/>
        </w:rPr>
      </w:pPr>
      <w:r>
        <w:rPr>
          <w:rFonts w:ascii="Arial" w:cs="Arial" w:eastAsia="Arial" w:hAnsi="Arial"/>
          <w:sz w:val="17"/>
          <w:szCs w:val="17"/>
          <w:color w:val="auto"/>
        </w:rPr>
        <w:t>THE SECURITIES REPRESENTED HEREBY (THE “WARRANTS”) WERE ORIGINALLY ISSUED IN A TRANSACTION EXEMPT FROM REGISTRATION UNDER THE UNITED STATES SECURITIES ACT OF 1933, AS AMENDED (THE “SECURITIES ACT”), AND THE WARRANTS MAY NOT BE OFFERED, SOLD OR OTHERWISE TRANSFERRED EXCEPT PURSUANT TO A REGISTRATION STATEMENT UNDER THE SECURITIES ACT OR AN APPLICABLE EXEMPTION FROM THE REGISTRATION REQUIREMENTS THEREOF.</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[Dealer 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[Dealer Address]</w:t>
      </w:r>
    </w:p>
    <w:p>
      <w:pPr>
        <w:spacing w:after="0" w:line="211" w:lineRule="exact"/>
        <w:rPr>
          <w:sz w:val="20"/>
          <w:szCs w:val="20"/>
          <w:color w:val="auto"/>
        </w:rPr>
      </w:pPr>
    </w:p>
    <w:tbl>
      <w:tblPr>
        <w:tblLayout w:type="fixed"/>
        <w:tblInd w:w="9724" w:type="dxa"/>
        <w:tblCellMar>
          <w:top w:w="0" w:type="dxa"/>
          <w:left w:w="0" w:type="dxa"/>
          <w:bottom w:w="0" w:type="dxa"/>
          <w:right w:w="0" w:type="dxa"/>
        </w:tblCellMar>
      </w:tblPr>
      <w:tr>
        <w:trPr>
          <w:trHeight w:val="230"/>
        </w:trPr>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To:</w:t>
        <w:tab/>
        <w:t>Dropbox,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San Francisco, California 94158</w:t>
      </w:r>
    </w:p>
    <w:p>
      <w:pPr>
        <w:spacing w:after="0" w:line="9" w:lineRule="exact"/>
        <w:rPr>
          <w:sz w:val="20"/>
          <w:szCs w:val="20"/>
          <w:color w:val="auto"/>
        </w:rPr>
      </w:pPr>
    </w:p>
    <w:p>
      <w:pPr>
        <w:ind w:left="444" w:right="8940" w:hanging="4"/>
        <w:spacing w:after="0" w:line="323" w:lineRule="auto"/>
        <w:tabs>
          <w:tab w:leader="none" w:pos="87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857-6800 Email: [___________]</w:t>
      </w:r>
    </w:p>
    <w:p>
      <w:pPr>
        <w:spacing w:after="0" w:line="16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[Base][Additional] Warrants</w:t>
      </w:r>
    </w:p>
    <w:p>
      <w:pPr>
        <w:spacing w:after="0" w:line="221"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The purpose of this letter agreement (this “</w:t>
      </w:r>
      <w:r>
        <w:rPr>
          <w:rFonts w:ascii="Arial" w:cs="Arial" w:eastAsia="Arial" w:hAnsi="Arial"/>
          <w:sz w:val="17"/>
          <w:szCs w:val="17"/>
          <w:b w:val="1"/>
          <w:bCs w:val="1"/>
          <w:color w:val="auto"/>
        </w:rPr>
        <w:t>Confirmation</w:t>
      </w:r>
      <w:r>
        <w:rPr>
          <w:rFonts w:ascii="Arial" w:cs="Arial" w:eastAsia="Arial" w:hAnsi="Arial"/>
          <w:sz w:val="17"/>
          <w:szCs w:val="17"/>
          <w:color w:val="auto"/>
        </w:rPr>
        <w:t>”) is to confirm the terms and conditions of the Warrants issued by Dropbox, Inc.</w:t>
      </w:r>
    </w:p>
    <w:p>
      <w:pPr>
        <w:spacing w:after="0" w:line="39" w:lineRule="exact"/>
        <w:rPr>
          <w:sz w:val="20"/>
          <w:szCs w:val="20"/>
          <w:color w:val="auto"/>
        </w:rPr>
      </w:pPr>
    </w:p>
    <w:p>
      <w:pPr>
        <w:jc w:val="both"/>
        <w:ind w:left="4" w:right="1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to [ ] (“</w:t>
      </w:r>
      <w:r>
        <w:rPr>
          <w:rFonts w:ascii="Arial" w:cs="Arial" w:eastAsia="Arial" w:hAnsi="Arial"/>
          <w:sz w:val="17"/>
          <w:szCs w:val="17"/>
          <w:b w:val="1"/>
          <w:bCs w:val="1"/>
          <w:color w:val="auto"/>
        </w:rPr>
        <w:t>Dealer</w:t>
      </w:r>
      <w:r>
        <w:rPr>
          <w:rFonts w:ascii="Arial" w:cs="Arial" w:eastAsia="Arial" w:hAnsi="Arial"/>
          <w:sz w:val="17"/>
          <w:szCs w:val="17"/>
          <w:color w:val="auto"/>
        </w:rPr>
        <w:t>”) as of the Trade Date specified below (the “</w:t>
      </w:r>
      <w:r>
        <w:rPr>
          <w:rFonts w:ascii="Arial" w:cs="Arial" w:eastAsia="Arial" w:hAnsi="Arial"/>
          <w:sz w:val="17"/>
          <w:szCs w:val="17"/>
          <w:b w:val="1"/>
          <w:bCs w:val="1"/>
          <w:color w:val="auto"/>
        </w:rPr>
        <w:t>Transaction</w:t>
      </w:r>
      <w:r>
        <w:rPr>
          <w:rFonts w:ascii="Arial" w:cs="Arial" w:eastAsia="Arial" w:hAnsi="Arial"/>
          <w:sz w:val="17"/>
          <w:szCs w:val="17"/>
          <w:color w:val="auto"/>
        </w:rPr>
        <w:t>”). This letter agreement constitutes a “Confirmation” as referred to in the ISDA Master Agreement specified below. Each party further agrees that this Confirmation together with the Agreement evidence a complete binding agreement between Company and Dealer as to the subject matter and terms of the Transaction to which this Confirmation relates, and shall supersede all prior or contemporaneous written or oral communications with respect thereto.</w:t>
      </w:r>
    </w:p>
    <w:p>
      <w:pPr>
        <w:spacing w:after="0" w:line="172"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are incorporated into this Confirmation. In the event of any inconsistency between the Equity Definitions and this Confirmation, this Confirmation shall govern.</w:t>
      </w:r>
    </w:p>
    <w:p>
      <w:pPr>
        <w:spacing w:after="0" w:line="180"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211" w:lineRule="exact"/>
        <w:rPr>
          <w:sz w:val="20"/>
          <w:szCs w:val="20"/>
          <w:color w:val="auto"/>
        </w:rPr>
      </w:pPr>
    </w:p>
    <w:p>
      <w:pPr>
        <w:ind w:left="424" w:right="40" w:hanging="424"/>
        <w:spacing w:after="0" w:line="269" w:lineRule="auto"/>
        <w:tabs>
          <w:tab w:leader="none" w:pos="424"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This Confirmation evidences a complete and binding agreement between Dealer and Company as to the terms of the Transaction to which this Confirmation relates. This Confirmation shall be subject to an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in the form of the 2002 ISDA Master Agreement as if Dealer and Company had executed an agreement in such form on the date hereof (but without any Schedule except for (i) the election of US Dollars (“</w:t>
      </w:r>
      <w:r>
        <w:rPr>
          <w:rFonts w:ascii="Arial" w:cs="Arial" w:eastAsia="Arial" w:hAnsi="Arial"/>
          <w:sz w:val="17"/>
          <w:szCs w:val="17"/>
          <w:b w:val="1"/>
          <w:bCs w:val="1"/>
          <w:color w:val="auto"/>
        </w:rPr>
        <w:t>USD</w:t>
      </w:r>
      <w:r>
        <w:rPr>
          <w:rFonts w:ascii="Arial" w:cs="Arial" w:eastAsia="Arial" w:hAnsi="Arial"/>
          <w:sz w:val="17"/>
          <w:szCs w:val="17"/>
          <w:color w:val="auto"/>
        </w:rPr>
        <w:t>”) as the Termination Currency, and (ii) (a) the election that the “Cross Default” provisions of Section 5(a)(vi) of the Agreement shall apply to Company with a “Threshold Amount” of USD 100,000,000, (b) the phrase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In the event of any inconsistency between provisions of the Agreement and this Confirmation, this Confirmation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16" w:name="page317"/>
    <w:bookmarkEnd w:id="316"/>
    <w:p>
      <w:pPr>
        <w:ind w:left="444"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prevail for the purpose of the Transaction to which this Confirmation relates. For the avoidance of doubt, except to the extent of an express conflict, the application of any provision of this Confirmation, the Agreement or the Equity Definitions shall not be construed to exclude or limit the application of any other provision of this Confirmation, the Agreement or the Equity Definitions. The Transaction hereunder shall be the sole Transaction under the Agreement. If there exists any ISDA Master Agreement between Dealer and Company or any confirmation or other agreement between Dealer and Company pursuant to which an ISDA Master Agreement is deemed to exist between Dealer and Company, then notwithstanding anything to the contrary in such ISDA Master Agreement, such confirmation or agreement or any other agreement to which Dealer and Company are parties, the Transaction shall not be considered a Transaction under, or otherwise governed by, such existing or deemed ISDA Master Agreement.</w:t>
      </w:r>
    </w:p>
    <w:p>
      <w:pPr>
        <w:spacing w:after="0" w:line="84" w:lineRule="exact"/>
        <w:rPr>
          <w:sz w:val="20"/>
          <w:szCs w:val="20"/>
          <w:color w:val="auto"/>
        </w:rPr>
      </w:pPr>
    </w:p>
    <w:p>
      <w:pPr>
        <w:ind w:left="424" w:right="20" w:hanging="424"/>
        <w:spacing w:after="0" w:line="277" w:lineRule="auto"/>
        <w:tabs>
          <w:tab w:leader="none" w:pos="42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80" w:lineRule="exact"/>
        <w:rPr>
          <w:sz w:val="20"/>
          <w:szCs w:val="20"/>
          <w:color w:val="auto"/>
        </w:rPr>
      </w:pPr>
    </w:p>
    <w:tbl>
      <w:tblPr>
        <w:tblLayout w:type="fixed"/>
        <w:tblInd w:w="364"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General Terms.</w:t>
            </w:r>
          </w:p>
        </w:tc>
        <w:tc>
          <w:tcPr>
            <w:tcW w:w="2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45"/>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Trade Date:</w:t>
            </w:r>
          </w:p>
        </w:tc>
        <w:tc>
          <w:tcPr>
            <w:tcW w:w="2220" w:type="dxa"/>
            <w:vAlign w:val="bottom"/>
          </w:tcPr>
          <w:p>
            <w:pPr>
              <w:ind w:left="176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3030"/>
              <w:spacing w:after="0"/>
              <w:rPr>
                <w:sz w:val="20"/>
                <w:szCs w:val="20"/>
                <w:color w:val="auto"/>
              </w:rPr>
            </w:pPr>
            <w:r>
              <w:rPr>
                <w:rFonts w:ascii="Arial" w:cs="Arial" w:eastAsia="Arial" w:hAnsi="Arial"/>
                <w:sz w:val="18"/>
                <w:szCs w:val="18"/>
                <w:color w:val="auto"/>
                <w:w w:val="87"/>
              </w:rPr>
              <w:t>], 2021</w:t>
            </w:r>
          </w:p>
        </w:tc>
        <w:tc>
          <w:tcPr>
            <w:tcW w:w="1160" w:type="dxa"/>
            <w:vAlign w:val="bottom"/>
          </w:tcPr>
          <w:p>
            <w:pPr>
              <w:spacing w:after="0"/>
              <w:rPr>
                <w:sz w:val="24"/>
                <w:szCs w:val="24"/>
                <w:color w:val="auto"/>
              </w:rPr>
            </w:pP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Effective Date:</w:t>
            </w: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w w:val="92"/>
              </w:rPr>
              <w:t>The second Exchange Business Day immediately prior to the Premium</w:t>
            </w:r>
          </w:p>
        </w:tc>
      </w:tr>
      <w:tr>
        <w:trPr>
          <w:trHeight w:val="230"/>
        </w:trPr>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rPr>
              <w:t>Payment Date</w:t>
            </w:r>
          </w:p>
        </w:tc>
        <w:tc>
          <w:tcPr>
            <w:tcW w:w="1160" w:type="dxa"/>
            <w:vAlign w:val="bottom"/>
          </w:tcPr>
          <w:p>
            <w:pPr>
              <w:spacing w:after="0"/>
              <w:rPr>
                <w:sz w:val="20"/>
                <w:szCs w:val="20"/>
                <w:color w:val="auto"/>
              </w:rPr>
            </w:pP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Warrants:</w:t>
            </w: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rPr>
              <w:t>Equity call warrants, each with the terms set forth herein. For the</w:t>
            </w:r>
          </w:p>
        </w:tc>
      </w:tr>
      <w:tr>
        <w:trPr>
          <w:trHeight w:val="216"/>
        </w:trPr>
        <w:tc>
          <w:tcPr>
            <w:tcW w:w="1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w w:val="93"/>
              </w:rPr>
              <w:t>purposes of the Equity Definitions, each reference to a Warrant herein</w:t>
            </w:r>
          </w:p>
        </w:tc>
      </w:tr>
      <w:tr>
        <w:trPr>
          <w:trHeight w:val="230"/>
        </w:trPr>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w w:val="99"/>
              </w:rPr>
              <w:t>shall be deemed to be a reference to a Call Option.</w:t>
            </w:r>
          </w:p>
        </w:tc>
        <w:tc>
          <w:tcPr>
            <w:tcW w:w="1160" w:type="dxa"/>
            <w:vAlign w:val="bottom"/>
          </w:tcPr>
          <w:p>
            <w:pPr>
              <w:spacing w:after="0"/>
              <w:rPr>
                <w:sz w:val="20"/>
                <w:szCs w:val="20"/>
                <w:color w:val="auto"/>
              </w:rPr>
            </w:pP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Warrant Style:</w:t>
            </w: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rPr>
              <w:t>European</w:t>
            </w:r>
          </w:p>
        </w:tc>
        <w:tc>
          <w:tcPr>
            <w:tcW w:w="1160" w:type="dxa"/>
            <w:vAlign w:val="bottom"/>
          </w:tcPr>
          <w:p>
            <w:pPr>
              <w:spacing w:after="0"/>
              <w:rPr>
                <w:sz w:val="24"/>
                <w:szCs w:val="24"/>
                <w:color w:val="auto"/>
              </w:rPr>
            </w:pP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Seller:</w:t>
            </w: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rPr>
              <w:t>Company</w:t>
            </w:r>
          </w:p>
        </w:tc>
        <w:tc>
          <w:tcPr>
            <w:tcW w:w="1160" w:type="dxa"/>
            <w:vAlign w:val="bottom"/>
          </w:tcPr>
          <w:p>
            <w:pPr>
              <w:spacing w:after="0"/>
              <w:rPr>
                <w:sz w:val="24"/>
                <w:szCs w:val="24"/>
                <w:color w:val="auto"/>
              </w:rPr>
            </w:pP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Buyer:</w:t>
            </w: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rPr>
              <w:t>Dealer</w:t>
            </w:r>
          </w:p>
        </w:tc>
        <w:tc>
          <w:tcPr>
            <w:tcW w:w="1160" w:type="dxa"/>
            <w:vAlign w:val="bottom"/>
          </w:tcPr>
          <w:p>
            <w:pPr>
              <w:spacing w:after="0"/>
              <w:rPr>
                <w:sz w:val="24"/>
                <w:szCs w:val="24"/>
                <w:color w:val="auto"/>
              </w:rPr>
            </w:pP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Shares:</w:t>
            </w: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w w:val="94"/>
              </w:rPr>
              <w:t>The Class A Common Stock of Counterparty, par value USD 0.00001</w:t>
            </w:r>
          </w:p>
        </w:tc>
      </w:tr>
      <w:tr>
        <w:trPr>
          <w:trHeight w:val="230"/>
        </w:trPr>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rPr>
              <w:t>per share (Exchange symbol “DBX”).</w:t>
            </w:r>
          </w:p>
        </w:tc>
        <w:tc>
          <w:tcPr>
            <w:tcW w:w="1160" w:type="dxa"/>
            <w:vAlign w:val="bottom"/>
          </w:tcPr>
          <w:p>
            <w:pPr>
              <w:spacing w:after="0"/>
              <w:rPr>
                <w:sz w:val="20"/>
                <w:szCs w:val="20"/>
                <w:color w:val="auto"/>
              </w:rPr>
            </w:pP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Number of Warrants:</w:t>
            </w:r>
          </w:p>
        </w:tc>
        <w:tc>
          <w:tcPr>
            <w:tcW w:w="2220" w:type="dxa"/>
            <w:vAlign w:val="bottom"/>
          </w:tcPr>
          <w:p>
            <w:pPr>
              <w:ind w:left="1760"/>
              <w:spacing w:after="0"/>
              <w:rPr>
                <w:sz w:val="20"/>
                <w:szCs w:val="20"/>
                <w:color w:val="auto"/>
              </w:rPr>
            </w:pPr>
            <w:r>
              <w:rPr>
                <w:rFonts w:ascii="Arial" w:cs="Arial" w:eastAsia="Arial" w:hAnsi="Arial"/>
                <w:sz w:val="18"/>
                <w:szCs w:val="18"/>
                <w:color w:val="auto"/>
              </w:rPr>
              <w:t>[</w:t>
            </w: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w w:val="90"/>
              </w:rPr>
              <w:t>]</w:t>
            </w:r>
            <w:r>
              <w:rPr>
                <w:rFonts w:ascii="Arial" w:cs="Arial" w:eastAsia="Arial" w:hAnsi="Arial"/>
                <w:sz w:val="15"/>
                <w:szCs w:val="15"/>
                <w:color w:val="auto"/>
                <w:w w:val="90"/>
              </w:rPr>
              <w:t>1</w:t>
            </w:r>
            <w:r>
              <w:rPr>
                <w:rFonts w:ascii="Arial" w:cs="Arial" w:eastAsia="Arial" w:hAnsi="Arial"/>
                <w:sz w:val="18"/>
                <w:szCs w:val="18"/>
                <w:color w:val="auto"/>
                <w:w w:val="90"/>
              </w:rPr>
              <w:t>. For the avoidance of doubt, the Number of Warrants shall be</w:t>
            </w:r>
          </w:p>
        </w:tc>
      </w:tr>
      <w:tr>
        <w:trPr>
          <w:trHeight w:val="216"/>
        </w:trPr>
        <w:tc>
          <w:tcPr>
            <w:tcW w:w="1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w w:val="87"/>
              </w:rPr>
              <w:t>reduced by any Warrants exercised or deemed exercised hereunder. In no</w:t>
            </w:r>
          </w:p>
        </w:tc>
      </w:tr>
      <w:tr>
        <w:trPr>
          <w:trHeight w:val="230"/>
        </w:trPr>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w w:val="97"/>
              </w:rPr>
              <w:t>event will the Number of Warrants be less than zero.</w:t>
            </w:r>
          </w:p>
        </w:tc>
        <w:tc>
          <w:tcPr>
            <w:tcW w:w="1160" w:type="dxa"/>
            <w:vAlign w:val="bottom"/>
          </w:tcPr>
          <w:p>
            <w:pPr>
              <w:spacing w:after="0"/>
              <w:rPr>
                <w:sz w:val="20"/>
                <w:szCs w:val="20"/>
                <w:color w:val="auto"/>
              </w:rPr>
            </w:pP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Warrant Entitlement:</w:t>
            </w: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rPr>
              <w:t>One Share per Warrant</w:t>
            </w:r>
          </w:p>
        </w:tc>
        <w:tc>
          <w:tcPr>
            <w:tcW w:w="1160" w:type="dxa"/>
            <w:vAlign w:val="bottom"/>
          </w:tcPr>
          <w:p>
            <w:pPr>
              <w:spacing w:after="0"/>
              <w:rPr>
                <w:sz w:val="24"/>
                <w:szCs w:val="24"/>
                <w:color w:val="auto"/>
              </w:rPr>
            </w:pP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Strike Price:</w:t>
            </w:r>
          </w:p>
        </w:tc>
        <w:tc>
          <w:tcPr>
            <w:tcW w:w="2220" w:type="dxa"/>
            <w:vAlign w:val="bottom"/>
          </w:tcPr>
          <w:p>
            <w:pPr>
              <w:ind w:left="1760"/>
              <w:spacing w:after="0"/>
              <w:rPr>
                <w:sz w:val="20"/>
                <w:szCs w:val="20"/>
                <w:color w:val="auto"/>
              </w:rPr>
            </w:pPr>
            <w:r>
              <w:rPr>
                <w:rFonts w:ascii="Arial" w:cs="Arial" w:eastAsia="Arial" w:hAnsi="Arial"/>
                <w:sz w:val="18"/>
                <w:szCs w:val="18"/>
                <w:color w:val="auto"/>
                <w:w w:val="91"/>
              </w:rPr>
              <w:t>USD [</w:t>
            </w:r>
          </w:p>
        </w:tc>
        <w:tc>
          <w:tcPr>
            <w:tcW w:w="3620" w:type="dxa"/>
            <w:vAlign w:val="bottom"/>
          </w:tcPr>
          <w:p>
            <w:pPr>
              <w:jc w:val="right"/>
              <w:ind w:right="307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r>
      <w:tr>
        <w:trPr>
          <w:trHeight w:val="310"/>
        </w:trPr>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rPr>
              <w:t>Notwithstanding anything to the contrary in the Agreement, this</w:t>
            </w:r>
          </w:p>
        </w:tc>
      </w:tr>
      <w:tr>
        <w:trPr>
          <w:trHeight w:val="216"/>
        </w:trPr>
        <w:tc>
          <w:tcPr>
            <w:tcW w:w="1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w w:val="92"/>
              </w:rPr>
              <w:t>Confirmation or the Equity Definitions, in no event shall the Strike Price</w:t>
            </w:r>
          </w:p>
        </w:tc>
      </w:tr>
      <w:tr>
        <w:trPr>
          <w:trHeight w:val="216"/>
        </w:trPr>
        <w:tc>
          <w:tcPr>
            <w:tcW w:w="1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0" w:type="dxa"/>
            <w:vAlign w:val="bottom"/>
            <w:gridSpan w:val="3"/>
          </w:tcPr>
          <w:p>
            <w:pPr>
              <w:ind w:left="1760"/>
              <w:spacing w:after="0"/>
              <w:rPr>
                <w:sz w:val="20"/>
                <w:szCs w:val="20"/>
                <w:color w:val="auto"/>
              </w:rPr>
            </w:pPr>
            <w:r>
              <w:rPr>
                <w:rFonts w:ascii="Arial" w:cs="Arial" w:eastAsia="Arial" w:hAnsi="Arial"/>
                <w:sz w:val="18"/>
                <w:szCs w:val="18"/>
                <w:color w:val="auto"/>
                <w:w w:val="95"/>
              </w:rPr>
              <w:t>be subject to adjustment to the extent that, after giving effect to such</w:t>
            </w:r>
          </w:p>
        </w:tc>
      </w:tr>
      <w:tr>
        <w:trPr>
          <w:trHeight w:val="216"/>
        </w:trPr>
        <w:tc>
          <w:tcPr>
            <w:tcW w:w="1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w w:val="95"/>
              </w:rPr>
              <w:t>adjustment, the Strike Price would be less than USD [</w:t>
            </w:r>
          </w:p>
        </w:tc>
        <w:tc>
          <w:tcPr>
            <w:tcW w:w="1160" w:type="dxa"/>
            <w:vAlign w:val="bottom"/>
          </w:tcPr>
          <w:p>
            <w:pPr>
              <w:ind w:left="200"/>
              <w:spacing w:after="0"/>
              <w:rPr>
                <w:sz w:val="20"/>
                <w:szCs w:val="20"/>
                <w:color w:val="auto"/>
              </w:rPr>
            </w:pPr>
            <w:r>
              <w:rPr>
                <w:rFonts w:ascii="Arial" w:cs="Arial" w:eastAsia="Arial" w:hAnsi="Arial"/>
                <w:sz w:val="18"/>
                <w:szCs w:val="18"/>
                <w:color w:val="auto"/>
                <w:w w:val="99"/>
              </w:rPr>
              <w:t>], except for</w:t>
            </w:r>
          </w:p>
        </w:tc>
      </w:tr>
      <w:tr>
        <w:trPr>
          <w:trHeight w:val="230"/>
        </w:trPr>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40" w:type="dxa"/>
            <w:vAlign w:val="bottom"/>
            <w:gridSpan w:val="2"/>
          </w:tcPr>
          <w:p>
            <w:pPr>
              <w:ind w:left="1760"/>
              <w:spacing w:after="0"/>
              <w:rPr>
                <w:sz w:val="20"/>
                <w:szCs w:val="20"/>
                <w:color w:val="auto"/>
              </w:rPr>
            </w:pPr>
            <w:r>
              <w:rPr>
                <w:rFonts w:ascii="Arial" w:cs="Arial" w:eastAsia="Arial" w:hAnsi="Arial"/>
                <w:sz w:val="18"/>
                <w:szCs w:val="18"/>
                <w:color w:val="auto"/>
              </w:rPr>
              <w:t>any adjustment pursuant to the terms of this</w:t>
            </w: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00" w:hanging="424"/>
        <w:spacing w:after="0" w:line="263" w:lineRule="auto"/>
        <w:tabs>
          <w:tab w:leader="none" w:pos="424" w:val="left"/>
        </w:tabs>
        <w:numPr>
          <w:ilvl w:val="0"/>
          <w:numId w:val="392"/>
        </w:numPr>
        <w:rPr>
          <w:rFonts w:ascii="Arial" w:cs="Arial" w:eastAsia="Arial" w:hAnsi="Arial"/>
          <w:sz w:val="15"/>
          <w:szCs w:val="15"/>
          <w:color w:val="auto"/>
        </w:rPr>
      </w:pPr>
      <w:r>
        <w:rPr>
          <w:rFonts w:ascii="Arial" w:cs="Arial" w:eastAsia="Arial" w:hAnsi="Arial"/>
          <w:sz w:val="18"/>
          <w:szCs w:val="18"/>
          <w:color w:val="auto"/>
        </w:rPr>
        <w:t xml:space="preserve">This is equal to (i) the number of Convertible Notes initially issued on the closing date for the Convertible Notes (or, for the Additional Warrant Confirmation, the number of additional Convertible Notes),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initial Conversion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(iii) the applicable percentage for Dealer.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4"/>
              </w:rPr>
              <w:t>Confirmation and the Equity Definitions in connection with stock splits</w:t>
            </w:r>
          </w:p>
        </w:tc>
      </w:tr>
      <w:tr>
        <w:trPr>
          <w:trHeight w:val="230"/>
        </w:trPr>
        <w:tc>
          <w:tcPr>
            <w:tcW w:w="1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or similar changes to Company’s capitalization.</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Premium:</w:t>
            </w:r>
          </w:p>
        </w:tc>
        <w:tc>
          <w:tcPr>
            <w:tcW w:w="2220" w:type="dxa"/>
            <w:vAlign w:val="bottom"/>
          </w:tcPr>
          <w:p>
            <w:pPr>
              <w:ind w:left="1760"/>
              <w:spacing w:after="0"/>
              <w:rPr>
                <w:sz w:val="20"/>
                <w:szCs w:val="20"/>
                <w:color w:val="auto"/>
              </w:rPr>
            </w:pPr>
            <w:r>
              <w:rPr>
                <w:rFonts w:ascii="Arial" w:cs="Arial" w:eastAsia="Arial" w:hAnsi="Arial"/>
                <w:sz w:val="18"/>
                <w:szCs w:val="18"/>
                <w:color w:val="auto"/>
                <w:w w:val="91"/>
              </w:rPr>
              <w:t>USD [</w:t>
            </w:r>
          </w:p>
        </w:tc>
        <w:tc>
          <w:tcPr>
            <w:tcW w:w="4800" w:type="dxa"/>
            <w:vAlign w:val="bottom"/>
          </w:tcPr>
          <w:p>
            <w:pPr>
              <w:jc w:val="right"/>
              <w:ind w:right="4250"/>
              <w:spacing w:after="0"/>
              <w:rPr>
                <w:sz w:val="20"/>
                <w:szCs w:val="20"/>
                <w:color w:val="auto"/>
              </w:rPr>
            </w:pPr>
            <w:r>
              <w:rPr>
                <w:rFonts w:ascii="Arial" w:cs="Arial" w:eastAsia="Arial" w:hAnsi="Arial"/>
                <w:sz w:val="18"/>
                <w:szCs w:val="18"/>
                <w:color w:val="auto"/>
              </w:rPr>
              <w:t>]</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Premium Payment Date:</w:t>
            </w:r>
          </w:p>
        </w:tc>
        <w:tc>
          <w:tcPr>
            <w:tcW w:w="2220" w:type="dxa"/>
            <w:vAlign w:val="bottom"/>
          </w:tcPr>
          <w:p>
            <w:pPr>
              <w:ind w:left="1760"/>
              <w:spacing w:after="0"/>
              <w:rPr>
                <w:sz w:val="20"/>
                <w:szCs w:val="20"/>
                <w:color w:val="auto"/>
              </w:rPr>
            </w:pPr>
            <w:r>
              <w:rPr>
                <w:rFonts w:ascii="Arial" w:cs="Arial" w:eastAsia="Arial" w:hAnsi="Arial"/>
                <w:sz w:val="18"/>
                <w:szCs w:val="18"/>
                <w:color w:val="auto"/>
              </w:rPr>
              <w:t>[</w:t>
            </w:r>
          </w:p>
        </w:tc>
        <w:tc>
          <w:tcPr>
            <w:tcW w:w="4800" w:type="dxa"/>
            <w:vAlign w:val="bottom"/>
          </w:tcPr>
          <w:p>
            <w:pPr>
              <w:jc w:val="right"/>
              <w:ind w:right="4210"/>
              <w:spacing w:after="0"/>
              <w:rPr>
                <w:sz w:val="20"/>
                <w:szCs w:val="20"/>
                <w:color w:val="auto"/>
              </w:rPr>
            </w:pPr>
            <w:r>
              <w:rPr>
                <w:rFonts w:ascii="Arial" w:cs="Arial" w:eastAsia="Arial" w:hAnsi="Arial"/>
                <w:sz w:val="18"/>
                <w:szCs w:val="18"/>
                <w:color w:val="auto"/>
                <w:w w:val="87"/>
              </w:rPr>
              <w:t>], 2021</w:t>
            </w:r>
          </w:p>
        </w:tc>
      </w:tr>
      <w:tr>
        <w:trPr>
          <w:trHeight w:val="324"/>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Exchange:</w:t>
            </w: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The NASDAQ Stock Market</w:t>
            </w: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Related Exchange(s):</w:t>
            </w: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2"/>
              </w:rPr>
              <w:t xml:space="preserve">All Exchanges;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Section 1.26 of the Equity Definitions shall</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be amended to add the words “United States” before the word</w:t>
            </w:r>
          </w:p>
        </w:tc>
      </w:tr>
      <w:tr>
        <w:trPr>
          <w:trHeight w:val="230"/>
        </w:trPr>
        <w:tc>
          <w:tcPr>
            <w:tcW w:w="1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“exchange” in the tenth line of such Section.</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Procedures for Exercise.</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44"/>
        </w:trPr>
        <w:tc>
          <w:tcPr>
            <w:tcW w:w="17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Expiration Time:</w:t>
            </w:r>
          </w:p>
        </w:tc>
        <w:tc>
          <w:tcPr>
            <w:tcW w:w="1860" w:type="dxa"/>
            <w:vAlign w:val="bottom"/>
          </w:tcPr>
          <w:p>
            <w:pPr>
              <w:spacing w:after="0"/>
              <w:rPr>
                <w:sz w:val="24"/>
                <w:szCs w:val="24"/>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The Valuation Time</w:t>
            </w: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Expiration Dates:</w:t>
            </w: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Each “ Expiration Date” set forth in Annex A hereto shall be an</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3"/>
              </w:rPr>
              <w:t>Expiration Date for a number of Warrants equal to the Daily Number of</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 xml:space="preserve">Warrants for such Expiration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5"/>
              </w:rPr>
              <w:t>anything to the contrary in the Equity Definitions, if any such date is a</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5"/>
              </w:rPr>
              <w:t>Disrupted Day in whole or in part, (i) the Calculation Agent may make</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2"/>
              </w:rPr>
              <w:t>reasonable adjustments in good faith and in a commercially reasonable</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4"/>
              </w:rPr>
              <w:t>manner, if applicable, to the Daily Number of Warrants for which such</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89"/>
              </w:rPr>
              <w:t>date shall be an Expiration Date and shall designate a Scheduled Trading</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2"/>
              </w:rPr>
              <w:t>Day or Scheduled Trading Days following the last scheduled Expiration</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Date as the Expiration Date(s) for the remaining Daily Number of</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9"/>
              </w:rPr>
              <w:t>Warrants for the originally scheduled Expiration Date and (ii) if the</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1"/>
              </w:rPr>
              <w:t>Daily Number of Warrants for such Disrupted Day is not reduced to zero</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3"/>
              </w:rPr>
              <w:t>pursuant to the foregoing clause (i), determine the Settlement Price for</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6"/>
              </w:rPr>
              <w:t>such Disrupted Day in a commercially reasonable manner based on</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0"/>
              </w:rPr>
              <w:t>transactions in the Shares on such Disrupted Day taking into account the</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3"/>
              </w:rPr>
              <w:t>nature and duration of such Market Disruption Event on such day; and</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i w:val="1"/>
                <w:iCs w:val="1"/>
                <w:color w:val="auto"/>
                <w:w w:val="93"/>
              </w:rPr>
              <w:t xml:space="preserve">provided further </w:t>
            </w:r>
            <w:r>
              <w:rPr>
                <w:rFonts w:ascii="Arial" w:cs="Arial" w:eastAsia="Arial" w:hAnsi="Arial"/>
                <w:sz w:val="18"/>
                <w:szCs w:val="18"/>
                <w:color w:val="auto"/>
                <w:w w:val="93"/>
              </w:rPr>
              <w:t>that if such Expiration Date has not occurred pursuant</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2"/>
              </w:rPr>
              <w:t>to this clause as of the eighth Scheduled Trading Day following the last</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1"/>
              </w:rPr>
              <w:t>scheduled Expiration Date under the Transaction, the Calculation Agent</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5"/>
              </w:rPr>
              <w:t>shall have the right to declare such Scheduled Trading Day to be the</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6"/>
              </w:rPr>
              <w:t>final Expiration Date and, notwithstanding anything to the contrary in</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9"/>
              </w:rPr>
              <w:t>this Confirmation or the Equity Definitions, the Settlement Price for</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3"/>
              </w:rPr>
              <w:t>such Expiration Date shall be the prevailing market value per Share as</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1"/>
              </w:rPr>
              <w:t>determined by the Calculation Agent in good faith and in a commercially</w:t>
            </w:r>
          </w:p>
        </w:tc>
      </w:tr>
      <w:tr>
        <w:trPr>
          <w:trHeight w:val="230"/>
        </w:trPr>
        <w:tc>
          <w:tcPr>
            <w:tcW w:w="1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reasonable manner.</w:t>
            </w:r>
          </w:p>
        </w:tc>
      </w:tr>
      <w:tr>
        <w:trPr>
          <w:trHeight w:val="310"/>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First Expiration Date:</w:t>
            </w: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4"/>
              </w:rPr>
              <w:t>June 1, 2028 (or if such day is not a Scheduled Trading Day, the next</w:t>
            </w:r>
          </w:p>
        </w:tc>
      </w:tr>
      <w:tr>
        <w:trPr>
          <w:trHeight w:val="216"/>
        </w:trPr>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w w:val="94"/>
              </w:rPr>
              <w:t>following Scheduled Trading Day), subject to Market Disruption Event</w:t>
            </w:r>
          </w:p>
        </w:tc>
      </w:tr>
      <w:tr>
        <w:trPr>
          <w:trHeight w:val="230"/>
        </w:trPr>
        <w:tc>
          <w:tcPr>
            <w:tcW w:w="1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020" w:type="dxa"/>
            <w:vAlign w:val="bottom"/>
            <w:gridSpan w:val="2"/>
          </w:tcPr>
          <w:p>
            <w:pPr>
              <w:ind w:left="1760"/>
              <w:spacing w:after="0"/>
              <w:rPr>
                <w:sz w:val="20"/>
                <w:szCs w:val="20"/>
                <w:color w:val="auto"/>
              </w:rPr>
            </w:pPr>
            <w:r>
              <w:rPr>
                <w:rFonts w:ascii="Arial" w:cs="Arial" w:eastAsia="Arial" w:hAnsi="Arial"/>
                <w:sz w:val="18"/>
                <w:szCs w:val="18"/>
                <w:color w:val="auto"/>
              </w:rPr>
              <w:t>below.</w:t>
            </w:r>
          </w:p>
        </w:tc>
      </w:tr>
      <w:tr>
        <w:trPr>
          <w:trHeight w:val="365"/>
        </w:trPr>
        <w:tc>
          <w:tcPr>
            <w:tcW w:w="1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20" w:type="dxa"/>
            <w:vAlign w:val="bottom"/>
          </w:tcPr>
          <w:p>
            <w:pPr>
              <w:ind w:left="1480"/>
              <w:spacing w:after="0"/>
              <w:rPr>
                <w:sz w:val="20"/>
                <w:szCs w:val="20"/>
                <w:color w:val="auto"/>
              </w:rPr>
            </w:pPr>
            <w:r>
              <w:rPr>
                <w:rFonts w:ascii="Arial" w:cs="Arial" w:eastAsia="Arial" w:hAnsi="Arial"/>
                <w:sz w:val="18"/>
                <w:szCs w:val="18"/>
                <w:color w:val="auto"/>
              </w:rPr>
              <w:t>3</w:t>
            </w:r>
          </w:p>
        </w:tc>
        <w:tc>
          <w:tcPr>
            <w:tcW w:w="4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40"/>
          </w:cols>
          <w:pgMar w:left="80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18" w:name="page319"/>
    <w:bookmarkEnd w:id="318"/>
    <w:tbl>
      <w:tblPr>
        <w:tblLayout w:type="fixed"/>
        <w:tblInd w:w="0" w:type="dxa"/>
        <w:tblCellMar>
          <w:top w:w="0" w:type="dxa"/>
          <w:left w:w="0" w:type="dxa"/>
          <w:bottom w:w="0" w:type="dxa"/>
          <w:right w:w="0" w:type="dxa"/>
        </w:tblCellMar>
      </w:tblPr>
      <w:tr>
        <w:trPr>
          <w:trHeight w:val="216"/>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Daily Number of Warrants:</w:t>
            </w:r>
          </w:p>
        </w:tc>
        <w:tc>
          <w:tcPr>
            <w:tcW w:w="6880" w:type="dxa"/>
            <w:vAlign w:val="bottom"/>
          </w:tcPr>
          <w:p>
            <w:pPr>
              <w:ind w:left="1620"/>
              <w:spacing w:after="0"/>
              <w:rPr>
                <w:sz w:val="20"/>
                <w:szCs w:val="20"/>
                <w:color w:val="auto"/>
              </w:rPr>
            </w:pPr>
            <w:r>
              <w:rPr>
                <w:rFonts w:ascii="Arial" w:cs="Arial" w:eastAsia="Arial" w:hAnsi="Arial"/>
                <w:sz w:val="18"/>
                <w:szCs w:val="18"/>
                <w:color w:val="auto"/>
              </w:rPr>
              <w:t>For any Expiration Date, the “Daily Number of Warrants” set forth</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2"/>
              </w:rPr>
              <w:t>opposite such Expiration Date in Annex A hereto, subject to adjustment</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pursuant to the provisos to “Expiration Dates”.</w:t>
            </w:r>
          </w:p>
        </w:tc>
      </w:tr>
      <w:tr>
        <w:trPr>
          <w:trHeight w:val="310"/>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Automatic Exercise:</w:t>
            </w:r>
          </w:p>
        </w:tc>
        <w:tc>
          <w:tcPr>
            <w:tcW w:w="6880" w:type="dxa"/>
            <w:vAlign w:val="bottom"/>
          </w:tcPr>
          <w:p>
            <w:pPr>
              <w:ind w:left="1620"/>
              <w:spacing w:after="0"/>
              <w:rPr>
                <w:sz w:val="20"/>
                <w:szCs w:val="20"/>
                <w:color w:val="auto"/>
              </w:rPr>
            </w:pPr>
            <w:r>
              <w:rPr>
                <w:rFonts w:ascii="Arial" w:cs="Arial" w:eastAsia="Arial" w:hAnsi="Arial"/>
                <w:sz w:val="18"/>
                <w:szCs w:val="18"/>
                <w:color w:val="auto"/>
              </w:rPr>
              <w:t>Applicable; and means that for each Expiration Date, a number of</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7"/>
              </w:rPr>
              <w:t>Warrants equal to the Daily Number of Warrants for such Expiration</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7"/>
              </w:rPr>
              <w:t>Date will be deemed to be automatically exercised at the Expiration</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0"/>
              </w:rPr>
              <w:t>Time on such Expiration Date, unless Buyer notifies Seller (by telephone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2"/>
              </w:rPr>
              <w:t>or in writing) prior to the Expiration Time on such Expiration Date that it</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6"/>
              </w:rPr>
              <w:t>does not wish Automatic Exercise to occur, in which case Automatic</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Exercise will not apply to such Expiration Date.</w:t>
            </w:r>
          </w:p>
        </w:tc>
      </w:tr>
      <w:tr>
        <w:trPr>
          <w:trHeight w:val="310"/>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Market Disruption Event:</w:t>
            </w:r>
          </w:p>
        </w:tc>
        <w:tc>
          <w:tcPr>
            <w:tcW w:w="6880" w:type="dxa"/>
            <w:vAlign w:val="bottom"/>
          </w:tcPr>
          <w:p>
            <w:pPr>
              <w:ind w:left="1620"/>
              <w:spacing w:after="0"/>
              <w:rPr>
                <w:sz w:val="20"/>
                <w:szCs w:val="20"/>
                <w:color w:val="auto"/>
              </w:rPr>
            </w:pPr>
            <w:r>
              <w:rPr>
                <w:rFonts w:ascii="Arial" w:cs="Arial" w:eastAsia="Arial" w:hAnsi="Arial"/>
                <w:sz w:val="18"/>
                <w:szCs w:val="18"/>
                <w:color w:val="auto"/>
              </w:rPr>
              <w:t>Section 6.3(a) of the Equity Definitions is hereby amended by</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9"/>
              </w:rPr>
              <w:t>(A) deleting the words “during the one hour period that ends at the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1"/>
              </w:rPr>
              <w:t>relevant Valuation Time, Latest Exercise Time, Knock-in Valuation Time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2"/>
              </w:rPr>
              <w:t>or Knock-out Valuation Time, as the case may be,” in clause (ii) thereof</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5"/>
              </w:rPr>
              <w:t>and (B) by replacing the words “or (iii) an Early Closure.” therein with</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2"/>
              </w:rPr>
              <w:t>“(iii) an Early Closure, or (iv) a Regulatory Disruption; in each case, that</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2"/>
              </w:rPr>
              <w:t>the Calculation Agent determines is material based on its commercially</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reasonable judgment.”</w:t>
            </w:r>
          </w:p>
        </w:tc>
      </w:tr>
      <w:tr>
        <w:trPr>
          <w:trHeight w:val="310"/>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4"/>
              </w:rPr>
              <w:t>Section 6.3(d) of the Equity Definitions is hereby amended by deleting</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4"/>
              </w:rPr>
              <w:t>the remainder of the provision following the words “Scheduled Closing</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Time” in the fourth line thereof.</w:t>
            </w:r>
          </w:p>
        </w:tc>
      </w:tr>
      <w:tr>
        <w:trPr>
          <w:trHeight w:val="310"/>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Regulatory Disruption:</w:t>
            </w:r>
          </w:p>
        </w:tc>
        <w:tc>
          <w:tcPr>
            <w:tcW w:w="6880" w:type="dxa"/>
            <w:vAlign w:val="bottom"/>
          </w:tcPr>
          <w:p>
            <w:pPr>
              <w:ind w:left="1620"/>
              <w:spacing w:after="0"/>
              <w:rPr>
                <w:sz w:val="20"/>
                <w:szCs w:val="20"/>
                <w:color w:val="auto"/>
              </w:rPr>
            </w:pPr>
            <w:r>
              <w:rPr>
                <w:rFonts w:ascii="Arial" w:cs="Arial" w:eastAsia="Arial" w:hAnsi="Arial"/>
                <w:sz w:val="18"/>
                <w:szCs w:val="18"/>
                <w:color w:val="auto"/>
                <w:w w:val="92"/>
              </w:rPr>
              <w:t>Any event that Dealer, in its reasonable discretion, based on the advice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5"/>
              </w:rPr>
              <w:t>of counsel, determines makes it appropriate, with regard to any legal,</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regulatory or self-regulatory requirements or related policies and</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procedures (so long as such requirements or related policies and</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procedures are similarly applicable to transactions similar to the</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9"/>
              </w:rPr>
              <w:t>Transaction and consistently applied), for Dealer to refrain from or</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decrease any market activity in connection with the Transaction.</w:t>
            </w:r>
          </w:p>
        </w:tc>
      </w:tr>
      <w:tr>
        <w:trPr>
          <w:trHeight w:val="283"/>
        </w:trPr>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Valuation Terms.</w:t>
            </w:r>
          </w:p>
        </w:tc>
        <w:tc>
          <w:tcPr>
            <w:tcW w:w="68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330"/>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Valuation Time:</w:t>
            </w:r>
          </w:p>
        </w:tc>
        <w:tc>
          <w:tcPr>
            <w:tcW w:w="6880" w:type="dxa"/>
            <w:vAlign w:val="bottom"/>
          </w:tcPr>
          <w:p>
            <w:pPr>
              <w:ind w:left="1620"/>
              <w:spacing w:after="0"/>
              <w:rPr>
                <w:sz w:val="20"/>
                <w:szCs w:val="20"/>
                <w:color w:val="auto"/>
              </w:rPr>
            </w:pPr>
            <w:r>
              <w:rPr>
                <w:rFonts w:ascii="Arial" w:cs="Arial" w:eastAsia="Arial" w:hAnsi="Arial"/>
                <w:sz w:val="18"/>
                <w:szCs w:val="18"/>
                <w:color w:val="auto"/>
                <w:w w:val="92"/>
              </w:rPr>
              <w:t xml:space="preserve">Scheduled Closing Time;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the principal trading session is</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4"/>
              </w:rPr>
              <w:t>extended, the Calculation Agent shall determine the Valuation Time in</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good faith and in a commercially reasonable manner.</w:t>
            </w:r>
          </w:p>
        </w:tc>
      </w:tr>
      <w:tr>
        <w:trPr>
          <w:trHeight w:val="324"/>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Valuation Date:</w:t>
            </w:r>
          </w:p>
        </w:tc>
        <w:tc>
          <w:tcPr>
            <w:tcW w:w="6880" w:type="dxa"/>
            <w:vAlign w:val="bottom"/>
          </w:tcPr>
          <w:p>
            <w:pPr>
              <w:ind w:left="1620"/>
              <w:spacing w:after="0"/>
              <w:rPr>
                <w:sz w:val="20"/>
                <w:szCs w:val="20"/>
                <w:color w:val="auto"/>
              </w:rPr>
            </w:pPr>
            <w:r>
              <w:rPr>
                <w:rFonts w:ascii="Arial" w:cs="Arial" w:eastAsia="Arial" w:hAnsi="Arial"/>
                <w:sz w:val="18"/>
                <w:szCs w:val="18"/>
                <w:color w:val="auto"/>
              </w:rPr>
              <w:t>Each Exercise Date.</w:t>
            </w:r>
          </w:p>
        </w:tc>
      </w:tr>
      <w:tr>
        <w:trPr>
          <w:trHeight w:val="283"/>
        </w:trPr>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Settlement Terms.</w:t>
            </w:r>
          </w:p>
        </w:tc>
        <w:tc>
          <w:tcPr>
            <w:tcW w:w="6880" w:type="dxa"/>
            <w:vAlign w:val="bottom"/>
          </w:tcPr>
          <w:p>
            <w:pPr>
              <w:spacing w:after="0"/>
              <w:rPr>
                <w:sz w:val="24"/>
                <w:szCs w:val="24"/>
                <w:color w:val="auto"/>
              </w:rPr>
            </w:pP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330"/>
        </w:trPr>
        <w:tc>
          <w:tcPr>
            <w:tcW w:w="3760" w:type="dxa"/>
            <w:vAlign w:val="bottom"/>
            <w:gridSpan w:val="3"/>
          </w:tcPr>
          <w:p>
            <w:pPr>
              <w:ind w:left="360"/>
              <w:spacing w:after="0"/>
              <w:rPr>
                <w:sz w:val="20"/>
                <w:szCs w:val="20"/>
                <w:color w:val="auto"/>
              </w:rPr>
            </w:pPr>
            <w:r>
              <w:rPr>
                <w:rFonts w:ascii="Arial" w:cs="Arial" w:eastAsia="Arial" w:hAnsi="Arial"/>
                <w:sz w:val="18"/>
                <w:szCs w:val="18"/>
                <w:color w:val="auto"/>
              </w:rPr>
              <w:t>Settlement Method Election:</w:t>
            </w:r>
          </w:p>
        </w:tc>
        <w:tc>
          <w:tcPr>
            <w:tcW w:w="6880" w:type="dxa"/>
            <w:vAlign w:val="bottom"/>
          </w:tcPr>
          <w:p>
            <w:pPr>
              <w:ind w:left="162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references to “Physical Settlement” in</w:t>
            </w:r>
          </w:p>
        </w:tc>
      </w:tr>
      <w:tr>
        <w:trPr>
          <w:trHeight w:val="216"/>
        </w:trPr>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w w:val="93"/>
              </w:rPr>
              <w:t>Section 7.1 of the Equity Definitions shall be replaced by references to</w:t>
            </w:r>
          </w:p>
        </w:tc>
      </w:tr>
      <w:tr>
        <w:trPr>
          <w:trHeight w:val="230"/>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80" w:type="dxa"/>
            <w:vAlign w:val="bottom"/>
          </w:tcPr>
          <w:p>
            <w:pPr>
              <w:ind w:left="1620"/>
              <w:spacing w:after="0"/>
              <w:rPr>
                <w:sz w:val="20"/>
                <w:szCs w:val="20"/>
                <w:color w:val="auto"/>
              </w:rPr>
            </w:pPr>
            <w:r>
              <w:rPr>
                <w:rFonts w:ascii="Arial" w:cs="Arial" w:eastAsia="Arial" w:hAnsi="Arial"/>
                <w:sz w:val="18"/>
                <w:szCs w:val="18"/>
                <w:color w:val="auto"/>
              </w:rPr>
              <w:t>“Net Share Settlement”;</w:t>
            </w:r>
          </w:p>
        </w:tc>
      </w:tr>
      <w:tr>
        <w:trPr>
          <w:trHeight w:val="365"/>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80" w:type="dxa"/>
            <w:vAlign w:val="bottom"/>
          </w:tcPr>
          <w:p>
            <w:pPr>
              <w:ind w:left="1340"/>
              <w:spacing w:after="0"/>
              <w:rPr>
                <w:sz w:val="20"/>
                <w:szCs w:val="20"/>
                <w:color w:val="auto"/>
              </w:rPr>
            </w:pPr>
            <w:r>
              <w:rPr>
                <w:rFonts w:ascii="Arial" w:cs="Arial" w:eastAsia="Arial" w:hAnsi="Arial"/>
                <w:sz w:val="18"/>
                <w:szCs w:val="18"/>
                <w:color w:val="auto"/>
              </w:rPr>
              <w:t>4</w:t>
            </w:r>
          </w:p>
        </w:tc>
      </w:tr>
    </w:tbl>
    <w:p>
      <w:pPr>
        <w:ind w:left="1340"/>
        <w:spacing w:after="0"/>
        <w:rPr>
          <w:sz w:val="20"/>
          <w:szCs w:val="20"/>
          <w:color w:val="auto"/>
        </w:rPr>
        <w:sectPr>
          <w:pgSz w:w="11900" w:h="16838" w:orient="portrait"/>
          <w:cols w:equalWidth="0" w:num="1">
            <w:col w:w="10640"/>
          </w:cols>
          <w:pgMar w:left="80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19" w:name="page320"/>
    <w:bookmarkEnd w:id="319"/>
    <w:p>
      <w:pPr>
        <w:ind w:left="50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(ii) Company may elect Cash Settlement only if Company represents and warrants to Dealer in writing on the date of such election that (A) Company is not in possession of any material non-public information with respect to Company or the Shares, (B) Company is electing Cash Settlement in good faith and not as part of a plan or scheme to evade compliance with the federal securities laws, and (C) the assets of Company at their fair valuation exceed the liabilities of Company (including contingent liabilities), the capital of Company is adequate to conduct the business of Company, and Company has the ability to pay its debts and obligations as such debts mature and does not intend to, or does not believe that it will, incur debt beyond its ability to pay as such debts mature; and (iii) the same election of settlement method shall apply to all Expiration Dates hereunder.</w:t>
      </w:r>
    </w:p>
    <w:p>
      <w:pPr>
        <w:sectPr>
          <w:pgSz w:w="11900" w:h="16838" w:orient="portrait"/>
          <w:cols w:equalWidth="0" w:num="1">
            <w:col w:w="10280"/>
          </w:cols>
          <w:pgMar w:left="1160" w:top="274" w:right="4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Electing Party:</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Method Election Date:</w:t>
      </w:r>
    </w:p>
    <w:p>
      <w:pPr>
        <w:spacing w:after="0" w:line="20" w:lineRule="exact"/>
        <w:rPr>
          <w:sz w:val="20"/>
          <w:szCs w:val="20"/>
          <w:color w:val="auto"/>
        </w:rPr>
      </w:pPr>
      <w:r>
        <w:rPr>
          <w:sz w:val="20"/>
          <w:szCs w:val="20"/>
          <w:color w:val="auto"/>
        </w:rPr>
        <w:br w:type="column"/>
      </w:r>
    </w:p>
    <w:p>
      <w:pPr>
        <w:ind w:right="740"/>
        <w:spacing w:after="0" w:line="277" w:lineRule="auto"/>
        <w:rPr>
          <w:sz w:val="20"/>
          <w:szCs w:val="20"/>
          <w:color w:val="auto"/>
        </w:rPr>
      </w:pPr>
      <w:r>
        <w:rPr>
          <w:rFonts w:ascii="Arial" w:cs="Arial" w:eastAsia="Arial" w:hAnsi="Arial"/>
          <w:sz w:val="18"/>
          <w:szCs w:val="18"/>
          <w:color w:val="auto"/>
        </w:rPr>
        <w:t>The second Scheduled Trading Day immediately preceding the scheduled First Expiration Date.</w:t>
      </w:r>
    </w:p>
    <w:p>
      <w:pPr>
        <w:spacing w:after="0" w:line="62"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Net Share Settlement.</w:t>
      </w:r>
    </w:p>
    <w:p>
      <w:pPr>
        <w:spacing w:after="0" w:line="151"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Net Share Settlement:</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If Net Share Settlement is applicable, then on the relevant Settlement Date, Company shall deliver to Dealer a number of Shares equal to the Share Delivery Quantity for such Settlement Date to the account specified herein free of payment through the Clearance System, and Dealer shall be treated as the holder of record of such Shares at the time of delivery of such Shares or, if earlier, at 5:00 p.m. (New York City time) on such Settlement Date, and Company shall pay to Dealer cash in lieu of any fractional Share valued at the Settlement Price on the relevant Valuation Date.</w:t>
      </w:r>
    </w:p>
    <w:p>
      <w:pPr>
        <w:spacing w:after="0" w:line="73"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Share Delivery Quantity:</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 xml:space="preserve">For any Settlement Date, a number of Shares, as calculated by the Calculation Agent, equal to the Net Share Settlement Amount for such Settlement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Settlement Price on the Valuation Date for such Settlement Date.</w:t>
      </w:r>
    </w:p>
    <w:p>
      <w:pPr>
        <w:spacing w:after="0" w:line="79"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5020"/>
        <w:spacing w:after="0"/>
        <w:rPr>
          <w:sz w:val="20"/>
          <w:szCs w:val="20"/>
          <w:color w:val="auto"/>
        </w:rPr>
      </w:pPr>
      <w:r>
        <w:rPr>
          <w:rFonts w:ascii="Arial" w:cs="Arial" w:eastAsia="Arial" w:hAnsi="Arial"/>
          <w:sz w:val="16"/>
          <w:szCs w:val="16"/>
          <w:color w:val="auto"/>
        </w:rPr>
        <w:t>The Share Delivery Quantity shall be delivered by Company to Dealer</w:t>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no later than 12:00 noon (New York City time) on the relevant</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Settlement Date.</w:t>
      </w:r>
    </w:p>
    <w:p>
      <w:pPr>
        <w:sectPr>
          <w:pgSz w:w="11900" w:h="16838" w:orient="portrait"/>
          <w:cols w:equalWidth="0" w:num="1">
            <w:col w:w="10280"/>
          </w:cols>
          <w:pgMar w:left="1160" w:top="274" w:right="45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Net Share Settlement Amount: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any Settlement Date, an amount equal to the product of (i) the number of Warrants exercised or deemed exercised on the relevant Exercise Date, (ii) the Strike Price Differential for the relevant Valuation Date and (iii) the Warrant Entitlement.</w:t>
      </w:r>
    </w:p>
    <w:p>
      <w:pPr>
        <w:spacing w:after="0" w:line="79"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Price: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For any Valuation Date, the per Share volume-weighted average price as displayed under the heading “Bloomberg VWAP” on Bloomberg page DBX &lt;equity&gt; AQR (or any successor thereto) in respect of the regular trading session</w:t>
      </w:r>
    </w:p>
    <w:p>
      <w:pPr>
        <w:spacing w:after="0" w:line="119"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80"/>
          </w:cols>
          <w:pgMar w:left="1160" w:top="274" w:right="459" w:bottom="1440" w:gutter="0" w:footer="0" w:header="0"/>
          <w:type w:val="continuous"/>
        </w:sectPr>
      </w:pPr>
    </w:p>
    <w:bookmarkStart w:id="320" w:name="page321"/>
    <w:bookmarkEnd w:id="3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Settlement Dates:</w:t>
      </w:r>
    </w:p>
    <w:p>
      <w:pPr>
        <w:spacing w:after="0" w:line="33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34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Representation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4"/>
        <w:spacing w:after="0"/>
        <w:rPr>
          <w:sz w:val="20"/>
          <w:szCs w:val="20"/>
          <w:color w:val="auto"/>
        </w:rPr>
      </w:pPr>
      <w:r>
        <w:rPr>
          <w:rFonts w:ascii="Arial" w:cs="Arial" w:eastAsia="Arial" w:hAnsi="Arial"/>
          <w:sz w:val="18"/>
          <w:szCs w:val="18"/>
          <w:color w:val="auto"/>
        </w:rPr>
        <w:t>Cash Settlement: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Strike Price Differential</w:t>
      </w:r>
    </w:p>
    <w:p>
      <w:pPr>
        <w:spacing w:after="0" w:line="200" w:lineRule="exact"/>
        <w:rPr>
          <w:sz w:val="20"/>
          <w:szCs w:val="20"/>
          <w:color w:val="auto"/>
        </w:rPr>
      </w:pPr>
    </w:p>
    <w:p>
      <w:pPr>
        <w:spacing w:after="0" w:line="345" w:lineRule="exact"/>
        <w:rPr>
          <w:sz w:val="20"/>
          <w:szCs w:val="20"/>
          <w:color w:val="auto"/>
        </w:rPr>
      </w:pPr>
    </w:p>
    <w:p>
      <w:pPr>
        <w:ind w:left="364" w:right="720" w:hanging="364"/>
        <w:spacing w:after="0" w:line="425" w:lineRule="auto"/>
        <w:tabs>
          <w:tab w:leader="none" w:pos="355" w:val="left"/>
        </w:tabs>
        <w:numPr>
          <w:ilvl w:val="0"/>
          <w:numId w:val="393"/>
        </w:numPr>
        <w:rPr>
          <w:rFonts w:ascii="Arial" w:cs="Arial" w:eastAsia="Arial" w:hAnsi="Arial"/>
          <w:sz w:val="16"/>
          <w:szCs w:val="16"/>
          <w:color w:val="auto"/>
        </w:rPr>
      </w:pPr>
      <w:r>
        <w:rPr>
          <w:rFonts w:ascii="Arial" w:cs="Arial" w:eastAsia="Arial" w:hAnsi="Arial"/>
          <w:sz w:val="16"/>
          <w:szCs w:val="16"/>
          <w:b w:val="1"/>
          <w:bCs w:val="1"/>
          <w:color w:val="auto"/>
        </w:rPr>
        <w:t xml:space="preserve">Additional Terms applicable to the Transaction. </w:t>
      </w:r>
      <w:r>
        <w:rPr>
          <w:rFonts w:ascii="Arial" w:cs="Arial" w:eastAsia="Arial" w:hAnsi="Arial"/>
          <w:sz w:val="16"/>
          <w:szCs w:val="16"/>
          <w:color w:val="auto"/>
        </w:rPr>
        <w:t>Adjustments applicable to the Transaction:</w:t>
      </w:r>
    </w:p>
    <w:p>
      <w:pPr>
        <w:ind w:left="724"/>
        <w:spacing w:after="0"/>
        <w:rPr>
          <w:rFonts w:ascii="Arial" w:cs="Arial" w:eastAsia="Arial" w:hAnsi="Arial"/>
          <w:sz w:val="16"/>
          <w:szCs w:val="16"/>
          <w:color w:val="auto"/>
        </w:rPr>
      </w:pPr>
      <w:r>
        <w:rPr>
          <w:rFonts w:ascii="Arial" w:cs="Arial" w:eastAsia="Arial" w:hAnsi="Arial"/>
          <w:sz w:val="18"/>
          <w:szCs w:val="18"/>
          <w:color w:val="auto"/>
        </w:rPr>
        <w:t>Method of Adjustment:</w:t>
      </w:r>
    </w:p>
    <w:p>
      <w:pPr>
        <w:spacing w:after="0" w:line="20" w:lineRule="exact"/>
        <w:rPr>
          <w:sz w:val="20"/>
          <w:szCs w:val="20"/>
          <w:color w:val="auto"/>
        </w:rPr>
      </w:pPr>
      <w:r>
        <w:rPr>
          <w:sz w:val="20"/>
          <w:szCs w:val="20"/>
          <w:color w:val="auto"/>
        </w:rPr>
        <w:br w:type="column"/>
      </w:r>
    </w:p>
    <w:p>
      <w:pPr>
        <w:ind w:left="280" w:right="60"/>
        <w:spacing w:after="0" w:line="291" w:lineRule="auto"/>
        <w:rPr>
          <w:sz w:val="20"/>
          <w:szCs w:val="20"/>
          <w:color w:val="auto"/>
        </w:rPr>
      </w:pPr>
      <w:r>
        <w:rPr>
          <w:rFonts w:ascii="Arial" w:cs="Arial" w:eastAsia="Arial" w:hAnsi="Arial"/>
          <w:sz w:val="16"/>
          <w:szCs w:val="16"/>
          <w:color w:val="auto"/>
        </w:rPr>
        <w:t>(including any extensions thereof but without regard to pre-open or after hours trading outside of such regular trading session) on such Valuation Date (or if such price is unavailable or manifestly incorrect, the market value of one Share on such Valuation Date, as determined by the Calculation Agent in good faith and in a commercially reasonable manner based on generally available market data for transactions of this type using, if practicable, a volume-weighted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-1076325</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8" w:lineRule="exact"/>
        <w:rPr>
          <w:sz w:val="20"/>
          <w:szCs w:val="20"/>
          <w:color w:val="auto"/>
        </w:rPr>
      </w:pPr>
    </w:p>
    <w:p>
      <w:pPr>
        <w:ind w:left="280" w:right="60"/>
        <w:spacing w:after="0" w:line="277" w:lineRule="auto"/>
        <w:rPr>
          <w:sz w:val="20"/>
          <w:szCs w:val="20"/>
          <w:color w:val="auto"/>
        </w:rPr>
      </w:pPr>
      <w:r>
        <w:rPr>
          <w:rFonts w:ascii="Arial" w:cs="Arial" w:eastAsia="Arial" w:hAnsi="Arial"/>
          <w:sz w:val="18"/>
          <w:szCs w:val="18"/>
          <w:color w:val="auto"/>
        </w:rPr>
        <w:t>As determined pursuant to Section 9.4 of the Equity Definitions, subject to Section 9(j) hereof.</w:t>
      </w:r>
    </w:p>
    <w:p>
      <w:pPr>
        <w:spacing w:after="0" w:line="62" w:lineRule="exact"/>
        <w:rPr>
          <w:sz w:val="20"/>
          <w:szCs w:val="20"/>
          <w:color w:val="auto"/>
        </w:rPr>
      </w:pPr>
    </w:p>
    <w:p>
      <w:pPr>
        <w:ind w:left="280" w:right="120"/>
        <w:spacing w:after="0" w:line="286" w:lineRule="auto"/>
        <w:rPr>
          <w:sz w:val="20"/>
          <w:szCs w:val="20"/>
          <w:color w:val="auto"/>
        </w:rPr>
      </w:pPr>
      <w:r>
        <w:rPr>
          <w:rFonts w:ascii="Arial" w:cs="Arial" w:eastAsia="Arial" w:hAnsi="Arial"/>
          <w:sz w:val="17"/>
          <w:szCs w:val="17"/>
          <w:color w:val="auto"/>
        </w:rPr>
        <w:t>In the event Net Share Settlement is applicable, the provisions of Sections 9.1(c), 9.8, 9.9, 9.11 and 9.12 of the Equity Definitions will be applicable, as if Physical Settlement applied to the Transaction.</w:t>
      </w:r>
    </w:p>
    <w:p>
      <w:pPr>
        <w:spacing w:after="0" w:line="57" w:lineRule="exact"/>
        <w:rPr>
          <w:sz w:val="20"/>
          <w:szCs w:val="20"/>
          <w:color w:val="auto"/>
        </w:rPr>
      </w:pPr>
    </w:p>
    <w:p>
      <w:pPr>
        <w:ind w:left="280" w:right="140"/>
        <w:spacing w:after="0" w:line="257" w:lineRule="auto"/>
        <w:rPr>
          <w:sz w:val="20"/>
          <w:szCs w:val="20"/>
          <w:color w:val="auto"/>
        </w:rPr>
      </w:pPr>
      <w:r>
        <w:rPr>
          <w:rFonts w:ascii="Arial" w:cs="Arial" w:eastAsia="Arial" w:hAnsi="Arial"/>
          <w:sz w:val="18"/>
          <w:szCs w:val="18"/>
          <w:color w:val="auto"/>
        </w:rPr>
        <w:t>Notwithstanding Section 9.11 of the Equity Definitions, the parties acknowledge that any Shares delivered to Dealer in the event of Net Share Settlement may be, upon delivery, subject to restrictions and limitations arising from Company’s status as Issuer of the Shares under applicable securities laws.</w:t>
      </w:r>
    </w:p>
    <w:p>
      <w:pPr>
        <w:spacing w:after="0" w:line="80" w:lineRule="exact"/>
        <w:rPr>
          <w:sz w:val="20"/>
          <w:szCs w:val="20"/>
          <w:color w:val="auto"/>
        </w:rPr>
      </w:pPr>
    </w:p>
    <w:p>
      <w:pPr>
        <w:ind w:left="280" w:right="120"/>
        <w:spacing w:after="0" w:line="259" w:lineRule="auto"/>
        <w:rPr>
          <w:sz w:val="20"/>
          <w:szCs w:val="20"/>
          <w:color w:val="auto"/>
        </w:rPr>
      </w:pPr>
      <w:r>
        <w:rPr>
          <w:rFonts w:ascii="Arial" w:cs="Arial" w:eastAsia="Arial" w:hAnsi="Arial"/>
          <w:sz w:val="18"/>
          <w:szCs w:val="18"/>
          <w:color w:val="auto"/>
        </w:rPr>
        <w:t>If Cash Settlement is applicable, then on the relevant Cash Settlement Payment Date, Company shall pay to Dealer an amount of cash in USD equal to the Net Share Settlement Amount for such Cash Settlement Payment Date.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respect of each Valuation Date, an amount equal to the greater of</w:t>
      </w:r>
    </w:p>
    <w:p>
      <w:pPr>
        <w:spacing w:after="0" w:line="35" w:lineRule="exact"/>
        <w:rPr>
          <w:sz w:val="20"/>
          <w:szCs w:val="20"/>
          <w:color w:val="auto"/>
        </w:rPr>
      </w:pPr>
    </w:p>
    <w:p>
      <w:pPr>
        <w:ind w:left="520" w:hanging="247"/>
        <w:spacing w:after="0"/>
        <w:tabs>
          <w:tab w:leader="none" w:pos="52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the excess of the relevant Settlement Price over the Strike Price, and</w:t>
      </w:r>
    </w:p>
    <w:p>
      <w:pPr>
        <w:spacing w:after="0" w:line="32" w:lineRule="exact"/>
        <w:rPr>
          <w:rFonts w:ascii="Arial" w:cs="Arial" w:eastAsia="Arial" w:hAnsi="Arial"/>
          <w:sz w:val="16"/>
          <w:szCs w:val="16"/>
          <w:color w:val="auto"/>
        </w:rPr>
      </w:pPr>
    </w:p>
    <w:p>
      <w:pPr>
        <w:ind w:left="520" w:hanging="247"/>
        <w:spacing w:after="0"/>
        <w:tabs>
          <w:tab w:leader="none" w:pos="5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zero.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line="287" w:lineRule="auto"/>
        <w:rPr>
          <w:sz w:val="20"/>
          <w:szCs w:val="20"/>
          <w:color w:val="auto"/>
        </w:rPr>
      </w:pPr>
      <w:r>
        <w:rPr>
          <w:rFonts w:ascii="Arial" w:cs="Arial" w:eastAsia="Arial" w:hAnsi="Arial"/>
          <w:sz w:val="16"/>
          <w:szCs w:val="16"/>
          <w:color w:val="auto"/>
        </w:rPr>
        <w:t xml:space="preserve">Calculation Agent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parties hereto agree that any Share repurchases by Company or accelerated share repurchases, forward contracts or similar transactions, in each case, at prevailing market prices, volume-weighted average prices or discounts thereto shall not be considered Potential Adjustment Events. For the avoidance of doubt, in making any adjustments under the Equity Definitions, the Calculation Agent may make adjustments, if any, in a commercially reasonable manner to any one or more of the Strike Price, the Number of Warrants, the Daily Number of Warrants, the Warrant Entitlement and the composition of the Shares. Notwithstanding the foregoing, any cash dividends or distributions on the Shares, whether or not extraordinary, shall be governed by Section 9(e) of this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744" w:space="720"/>
            <w:col w:w="5540"/>
          </w:cols>
          <w:pgMar w:left="436" w:top="274" w:right="459" w:bottom="1440" w:gutter="0" w:footer="0" w:header="0"/>
        </w:sectPr>
      </w:pPr>
    </w:p>
    <w:bookmarkStart w:id="321" w:name="page322"/>
    <w:bookmarkEnd w:id="321"/>
    <w:p>
      <w:pPr>
        <w:ind w:left="5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Confirmation in lieu of Article 10 or Section 11.2(c) of the Equity</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Definitions. For the avoidance of doubt, Calculation Agent Adjustment</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and the provisions in Section 9(f) of this Confirmation shall continue to</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apply until the obligations of the parties (including any obligations of</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Company pursuant to Section 9(o)(ii) of this Confirmation) under the</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Transaction have been satisfied in full.</w:t>
      </w:r>
    </w:p>
    <w:p>
      <w:pPr>
        <w:sectPr>
          <w:pgSz w:w="11900" w:h="16838" w:orient="portrait"/>
          <w:cols w:equalWidth="0" w:num="1">
            <w:col w:w="10640"/>
          </w:cols>
          <w:pgMar w:left="800" w:top="274" w:right="45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Extraordinary Events applicable to the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w:t>
      </w:r>
    </w:p>
    <w:p>
      <w:pPr>
        <w:spacing w:after="0" w:line="86"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Consequence of Merger Events: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 Event: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 event occurs that constitutes both a Merger Event under Section 12.1(b) of the Equity Definitions and an Additional Termination Event under Section 9(g)(ii)(B) of this Confirmation, the provisions of Section 9(g)(ii)(B) will apply.</w:t>
      </w:r>
    </w:p>
    <w:p>
      <w:pPr>
        <w:spacing w:after="0" w:line="63"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 (Calculation Agent Determination)</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Share-for-Combined:</w:t>
      </w:r>
    </w:p>
    <w:p>
      <w:pPr>
        <w:spacing w:after="0" w:line="20" w:lineRule="exact"/>
        <w:rPr>
          <w:sz w:val="20"/>
          <w:szCs w:val="20"/>
          <w:color w:val="auto"/>
        </w:rPr>
      </w:pPr>
      <w:r>
        <w:rPr>
          <w:sz w:val="20"/>
          <w:szCs w:val="20"/>
          <w:color w:val="auto"/>
        </w:rPr>
        <w:br w:type="column"/>
      </w:r>
    </w:p>
    <w:p>
      <w:pPr>
        <w:ind w:right="80"/>
        <w:spacing w:after="0" w:line="311"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Dealer may elect, in its commercially reasonable judgment, Component Adjustment for all or any portion of the Transaction.</w:t>
      </w:r>
    </w:p>
    <w:p>
      <w:pPr>
        <w:spacing w:after="0" w:line="41"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Consequence of Tender Offers: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Tender Offer: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occurs that constitutes both a Tender Offer under Section 12.1(d) of</w:t>
      </w:r>
    </w:p>
    <w:p>
      <w:pPr>
        <w:spacing w:after="0" w:line="103"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640"/>
          </w:cols>
          <w:pgMar w:left="800" w:top="274" w:right="459" w:bottom="1440" w:gutter="0" w:footer="0" w:header="0"/>
          <w:type w:val="continuous"/>
        </w:sectPr>
      </w:pPr>
    </w:p>
    <w:bookmarkStart w:id="322" w:name="page323"/>
    <w:bookmarkEnd w:id="322"/>
    <w:p>
      <w:pPr>
        <w:ind w:left="5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Equity Definitions and Additional Termination Event under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Section 9(g)(ii)(A) of this Confirmation, the provisions of Section 9(g)</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xml:space="preserve">(ii)(A) will apply;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definition of “Tender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Offer” in Section 12.1(d) of the Equity Definitions is hereby amended by</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replacing the phrase “greater than 10%” with “greater than 20%”.</w:t>
      </w:r>
    </w:p>
    <w:p>
      <w:pPr>
        <w:sectPr>
          <w:pgSz w:w="11900" w:h="16838" w:orient="portrait"/>
          <w:cols w:equalWidth="0" w:num="1">
            <w:col w:w="10640"/>
          </w:cols>
          <w:pgMar w:left="800" w:top="274" w:right="459" w:bottom="1440" w:gutter="0" w:footer="0" w:header="0"/>
        </w:sectPr>
      </w:pP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Share-for-Share: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Consequences of Announcement Events: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 xml:space="preserve">Modified Calculation Agent Adjustment as set forth in Section 12.3(d) of the Equity Definitions;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 Announcement Event, (x) references to “Tender Offer” shall be replaced by references to “Announcement Event” and references to “Tender Offer Date” shall be replaced by references to “date of such Announcement Event”, (y) the fifth and sixth lines shall be deleted in their entirety and replaced with the words “effect on the Warrants of such Announcement Event solely to account for changes in volatility, expected dividends, stock loan rate or liquidity relevant to the Shares or the Warrants”, and (z) for the avoidance of doubt, the Calculation Agent shall determine in a commercially reasonable manner whether the relevant Announcement Event has had an economic effect on the Transaction (and, if so, adjust the terms of the Transaction in a commercially reasonable manner as determined by reference to such Announcement Event)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 For the avoidance of doubt, each of Dealer and Company confirms and agrees that in making any Modified Calculation Agent Adjustment on account of an Announcement Event pursuant to this section that the Calculation Agent shall take into account the economic effect of the Announcement Event on the Dealer’s commercially reasonable hedge position with respect to this Transaction.</w:t>
      </w:r>
    </w:p>
    <w:p>
      <w:pPr>
        <w:spacing w:after="0" w:line="102"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640"/>
          </w:cols>
          <w:pgMar w:left="800" w:top="274" w:right="459" w:bottom="1440" w:gutter="0" w:footer="0" w:header="0"/>
          <w:type w:val="continuous"/>
        </w:sectPr>
      </w:pPr>
    </w:p>
    <w:bookmarkStart w:id="323" w:name="page324"/>
    <w:bookmarkEnd w:id="323"/>
    <w:p>
      <w:pPr>
        <w:spacing w:after="0"/>
        <w:rPr>
          <w:sz w:val="20"/>
          <w:szCs w:val="20"/>
          <w:color w:val="auto"/>
        </w:rPr>
      </w:pPr>
      <w:r>
        <w:rPr>
          <w:rFonts w:ascii="Arial" w:cs="Arial" w:eastAsia="Arial" w:hAnsi="Arial"/>
          <w:sz w:val="16"/>
          <w:szCs w:val="16"/>
          <w:color w:val="auto"/>
        </w:rPr>
        <w:t>Announcement Event:</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(i) The public announcement by Company or a third party that has a bona fide intent to become a party (a “</w:t>
      </w:r>
      <w:r>
        <w:rPr>
          <w:rFonts w:ascii="Arial" w:cs="Arial" w:eastAsia="Arial" w:hAnsi="Arial"/>
          <w:sz w:val="16"/>
          <w:szCs w:val="16"/>
          <w:b w:val="1"/>
          <w:bCs w:val="1"/>
          <w:color w:val="auto"/>
        </w:rPr>
        <w:t>Valid Third Party Entity</w:t>
      </w:r>
      <w:r>
        <w:rPr>
          <w:rFonts w:ascii="Arial" w:cs="Arial" w:eastAsia="Arial" w:hAnsi="Arial"/>
          <w:sz w:val="16"/>
          <w:szCs w:val="16"/>
          <w:color w:val="auto"/>
        </w:rPr>
        <w:t>”) of (x) any transaction or event that, if completed, would constitute a Merger Event or Tender Offer, (y) any potential acquisition by Issuer and/or its subsidiaries where the aggregate consideration exceeds 35% of the market capitalization of Issuer as of the date of such announcement (an “</w:t>
      </w:r>
      <w:r>
        <w:rPr>
          <w:rFonts w:ascii="Arial" w:cs="Arial" w:eastAsia="Arial" w:hAnsi="Arial"/>
          <w:sz w:val="16"/>
          <w:szCs w:val="16"/>
          <w:b w:val="1"/>
          <w:bCs w:val="1"/>
          <w:color w:val="auto"/>
        </w:rPr>
        <w:t>Acquisition Transaction</w:t>
      </w:r>
      <w:r>
        <w:rPr>
          <w:rFonts w:ascii="Arial" w:cs="Arial" w:eastAsia="Arial" w:hAnsi="Arial"/>
          <w:sz w:val="16"/>
          <w:szCs w:val="16"/>
          <w:color w:val="auto"/>
        </w:rPr>
        <w:t xml:space="preserve">”) or (z) the intention to enter into a Merger Event or Tender Offer or an Acquisition Transaction, (ii) the public announcement by Issuer of an intention to solicit or enter into, or to explore strategic alternatives or other similar undertaking that may include, a Merger Event or Tender Offer or an Acquisition Transaction or (iii) any subsequent public announcement by Company or any Valid Third Party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Calculation Agent shall make any adjustment to the terms of any Warrant upon the occurrence of a particular “Announcement Event,” then the Calculation Agent shall make an adjustment to the terms of that same Warrant upon any announcement prior to the earlier of the Expiration Date, any Early Termination Date and/or any other date of cancellation regarding the abandonment of any such event that gave rise to the original Announcement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-3942080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260"/>
          </w:cols>
          <w:pgMar w:left="800" w:top="274" w:right="45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Modified Calculation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 Adjustment: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If, in respect of any Merger Event to which Modified Calculation Agent Adjustment applies, the adjustments to be made in accordance with Section 12.2(e)(i) of the Equity Definitions would result in Company being different from the issuer of the Shares, then with respect to such Merger Event, as a condition precedent to the adjustments contemplated in Section 12.2(e)(i) of the Equity Definitions, Company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commercially</w:t>
      </w:r>
    </w:p>
    <w:p>
      <w:pPr>
        <w:spacing w:after="0" w:line="106"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jc w:val="center"/>
        <w:ind w:right="36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640"/>
          </w:cols>
          <w:pgMar w:left="800" w:top="274" w:right="459" w:bottom="1440" w:gutter="0" w:footer="0" w:header="0"/>
          <w:type w:val="continuous"/>
        </w:sectPr>
      </w:pPr>
    </w:p>
    <w:bookmarkStart w:id="324" w:name="page325"/>
    <w:bookmarkEnd w:id="324"/>
    <w:p>
      <w:pPr>
        <w:ind w:left="53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reasonable hedging or hedge unwind activities in connection with the</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Transaction in a manner compliant with applicable legal, regulatory or</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self-regulatory requirements, or with related policies and procedures</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applicable to Dealer (so long as such requirements or related policies and</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procedures are similarly applicable to transactions similar to the</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Transaction and consistently applied), and if such conditions are not met</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or if the Calculation Agent determines that no adjustment that it could</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make under Section 12.2(e)(i) of the Equity Definitions will produce a</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commercially reasonable result, then the consequences set forth in</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Section 12.2(e)(ii) of the Equity Definitions shall apply.</w:t>
      </w:r>
    </w:p>
    <w:p>
      <w:pPr>
        <w:sectPr>
          <w:pgSz w:w="11900" w:h="16838" w:orient="portrait"/>
          <w:cols w:equalWidth="0" w:num="1">
            <w:col w:w="10640"/>
          </w:cols>
          <w:pgMar w:left="800" w:top="274" w:right="45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64"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Disruption Events: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Law:</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Section 12.9(a)(ii) of the Equity Definitions is hereby amended by replacing the parenthetical beginning after the word “regulation” in the second line thereof with the phrase “(including, for the avoidance of doubt and without limitation, (x) any tax law or (y) adoption or promulgation of new regulations authorized or mandated by existing statute)”.</w:t>
      </w:r>
    </w:p>
    <w:p>
      <w:pPr>
        <w:spacing w:after="0" w:line="89"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 Applicable</w:t>
      </w:r>
    </w:p>
    <w:p>
      <w:pPr>
        <w:spacing w:after="0" w:line="129"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40" w:lineRule="exact"/>
        <w:rPr>
          <w:sz w:val="20"/>
          <w:szCs w:val="20"/>
          <w:color w:val="auto"/>
        </w:rPr>
      </w:pPr>
    </w:p>
    <w:p>
      <w:pPr>
        <w:sectPr>
          <w:pgSz w:w="11900" w:h="16838" w:orient="portrait"/>
          <w:cols w:equalWidth="0" w:num="2">
            <w:col w:w="4660" w:space="720"/>
            <w:col w:w="5260"/>
          </w:cols>
          <w:pgMar w:left="800" w:top="274" w:right="459" w:bottom="1440" w:gutter="0" w:footer="0" w:header="0"/>
          <w:type w:val="continuous"/>
        </w:sectPr>
      </w:pPr>
    </w:p>
    <w:p>
      <w:pPr>
        <w:ind w:left="5380"/>
        <w:spacing w:after="0"/>
        <w:rPr>
          <w:sz w:val="20"/>
          <w:szCs w:val="20"/>
          <w:color w:val="auto"/>
        </w:rPr>
      </w:pPr>
      <w:r>
        <w:rPr>
          <w:rFonts w:ascii="Arial" w:cs="Arial" w:eastAsia="Arial" w:hAnsi="Arial"/>
          <w:sz w:val="16"/>
          <w:szCs w:val="16"/>
          <w:color w:val="auto"/>
        </w:rPr>
        <w:t>(i) Section 12.9(a)(v) of the Equity Definitions is hereby amended by</w:t>
      </w:r>
    </w:p>
    <w:p>
      <w:pPr>
        <w:spacing w:after="0" w:line="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 inserting the following words at the end</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640"/>
          </w:cols>
          <w:pgMar w:left="800" w:top="274" w:right="459" w:bottom="1440" w:gutter="0" w:footer="0" w:header="0"/>
          <w:type w:val="continuous"/>
        </w:sectPr>
      </w:pPr>
    </w:p>
    <w:bookmarkStart w:id="325" w:name="page326"/>
    <w:bookmarkEnd w:id="325"/>
    <w:p>
      <w:pPr>
        <w:ind w:left="502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clause (A) thereof: “in the manner contemplated by the Hedging Party on the Trade Date (other than for purposes of such provision any repurchase, redemption or conversion of the Convertible Notes prior to the maturity of the Convertible Notes)” and (b) inserting the following sentence at the end of such Section:</w:t>
      </w:r>
    </w:p>
    <w:p>
      <w:pPr>
        <w:spacing w:after="0" w:line="68" w:lineRule="exact"/>
        <w:rPr>
          <w:sz w:val="20"/>
          <w:szCs w:val="20"/>
          <w:color w:val="auto"/>
        </w:rPr>
      </w:pPr>
    </w:p>
    <w:p>
      <w:pPr>
        <w:ind w:left="5020"/>
        <w:spacing w:after="0" w:line="257" w:lineRule="auto"/>
        <w:rPr>
          <w:sz w:val="20"/>
          <w:szCs w:val="20"/>
          <w:color w:val="auto"/>
        </w:rPr>
      </w:pPr>
      <w:r>
        <w:rPr>
          <w:rFonts w:ascii="Arial" w:cs="Arial" w:eastAsia="Arial" w:hAnsi="Arial"/>
          <w:sz w:val="18"/>
          <w:szCs w:val="18"/>
          <w:color w:val="auto"/>
        </w:rPr>
        <w:t>“For the avoidance of doubt, (i) the term “equity price risk” shall be deemed to include, but shall not be limited to, stock price and volatility risk, and (ii) any such transactions or assets referred to in clause (A) or (B) above must be available on commercially reasonable pricing terms.”; and</w:t>
      </w:r>
    </w:p>
    <w:p>
      <w:pPr>
        <w:spacing w:after="0" w:line="80" w:lineRule="exact"/>
        <w:rPr>
          <w:sz w:val="20"/>
          <w:szCs w:val="20"/>
          <w:color w:val="auto"/>
        </w:rPr>
      </w:pPr>
    </w:p>
    <w:p>
      <w:pPr>
        <w:ind w:left="5020" w:right="20"/>
        <w:spacing w:after="0" w:line="259" w:lineRule="auto"/>
        <w:rPr>
          <w:sz w:val="20"/>
          <w:szCs w:val="20"/>
          <w:color w:val="auto"/>
        </w:rPr>
      </w:pPr>
      <w:r>
        <w:rPr>
          <w:rFonts w:ascii="Arial" w:cs="Arial" w:eastAsia="Arial" w:hAnsi="Arial"/>
          <w:sz w:val="18"/>
          <w:szCs w:val="18"/>
          <w:color w:val="auto"/>
        </w:rPr>
        <w:t>(ii) Section 12.9(b)(iii) of the Equity Definitions is hereby amended by inserting in the third line thereof, after the words “to terminate the Transaction”, the words “or a portion of the Transaction affected by such Hedging Disruption”.</w:t>
      </w:r>
    </w:p>
    <w:p>
      <w:pPr>
        <w:sectPr>
          <w:pgSz w:w="11900" w:h="16838" w:orient="portrait"/>
          <w:cols w:equalWidth="0" w:num="1">
            <w:col w:w="10280"/>
          </w:cols>
          <w:pgMar w:left="1160" w:top="274" w:right="45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Increased Cost of Hedging:</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parenthetical shall be inserted immediately following the word “expense” in the third line of Section 12.9(a)(vi) of the Equity Definitions: “(including, for the avoidance of doubt, the incurrence of any commercially reasonable stock borrow expense in excess of Hedging Party’s expectation as of the Trade Date, other than to the extent resulting from an Increased Cost of Stock Borrow)</w:t>
      </w:r>
    </w:p>
    <w:p>
      <w:pPr>
        <w:spacing w:after="0" w:line="87"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Loss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 basis points</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Increased Cost of Stock Borrow: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Initial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 basis points until December 1, 2028 and 25 basis points thereafter.</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Additional Disruption Events, Dealer.</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Extraordinary Events, Dealer.</w:t>
      </w:r>
    </w:p>
    <w:p>
      <w:pPr>
        <w:spacing w:after="0" w:line="140"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Hedging Adjustment:</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For the avoidance of doubt, whenever the Calculation Agent, Hedging Party or Determining Party, as the case may be, is permitted to make a determination, calculation or adjustment pursuant to the terms of this Confirmation or the Equity Definitions to take into account the effect of an event, the Calculation Agent, Hedging Party or Determining Party, as the case may be shall make such adjustment, if any, in a commercially reasonable manner and by reference to the effect of such event on Dealer assuming that Dealer maintains a commercially reasonable hedge position.</w:t>
      </w:r>
    </w:p>
    <w:p>
      <w:pPr>
        <w:spacing w:after="0" w:line="113" w:lineRule="exact"/>
        <w:rPr>
          <w:sz w:val="20"/>
          <w:szCs w:val="20"/>
          <w:color w:val="auto"/>
        </w:rPr>
      </w:pPr>
    </w:p>
    <w:p>
      <w:pPr>
        <w:sectPr>
          <w:pgSz w:w="11900" w:h="16838" w:orient="portrait"/>
          <w:cols w:equalWidth="0" w:num="2">
            <w:col w:w="4300" w:space="720"/>
            <w:col w:w="5260"/>
          </w:cols>
          <w:pgMar w:left="1160" w:top="274" w:right="459" w:bottom="1440" w:gutter="0" w:footer="0" w:header="0"/>
          <w:type w:val="continuous"/>
        </w:sectPr>
      </w:pPr>
    </w:p>
    <w:p>
      <w:pPr>
        <w:ind w:left="470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80"/>
          </w:cols>
          <w:pgMar w:left="1160" w:top="274" w:right="459" w:bottom="1440" w:gutter="0" w:footer="0" w:header="0"/>
          <w:type w:val="continuous"/>
        </w:sectPr>
      </w:pPr>
    </w:p>
    <w:bookmarkStart w:id="326" w:name="page327"/>
    <w:bookmarkEnd w:id="326"/>
    <w:p>
      <w:pPr>
        <w:ind w:left="724"/>
        <w:spacing w:after="0"/>
        <w:tabs>
          <w:tab w:leader="none" w:pos="5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Non-Reliance:</w:t>
      </w:r>
      <w:r>
        <w:rPr>
          <w:sz w:val="20"/>
          <w:szCs w:val="20"/>
          <w:color w:val="auto"/>
        </w:rPr>
        <w:tab/>
      </w:r>
      <w:r>
        <w:rPr>
          <w:rFonts w:ascii="Arial" w:cs="Arial" w:eastAsia="Arial" w:hAnsi="Arial"/>
          <w:sz w:val="16"/>
          <w:szCs w:val="16"/>
          <w:color w:val="auto"/>
        </w:rPr>
        <w:t>Applicable.</w:t>
      </w:r>
    </w:p>
    <w:p>
      <w:pPr>
        <w:spacing w:after="0" w:line="117" w:lineRule="exact"/>
        <w:rPr>
          <w:sz w:val="20"/>
          <w:szCs w:val="20"/>
          <w:color w:val="auto"/>
        </w:rPr>
      </w:pPr>
    </w:p>
    <w:p>
      <w:pPr>
        <w:ind w:left="724"/>
        <w:spacing w:after="0"/>
        <w:tabs>
          <w:tab w:leader="none" w:pos="5724" w:val="left"/>
        </w:tabs>
        <w:rPr>
          <w:sz w:val="20"/>
          <w:szCs w:val="20"/>
          <w:color w:val="auto"/>
        </w:rPr>
      </w:pPr>
      <w:r>
        <w:rPr>
          <w:rFonts w:ascii="Arial" w:cs="Arial" w:eastAsia="Arial" w:hAnsi="Arial"/>
          <w:sz w:val="18"/>
          <w:szCs w:val="18"/>
          <w:color w:val="auto"/>
        </w:rPr>
        <w:t>Agreements and Acknowledgments Regarding Hedging Activities:</w:t>
      </w:r>
      <w:r>
        <w:rPr>
          <w:sz w:val="20"/>
          <w:szCs w:val="20"/>
          <w:color w:val="auto"/>
        </w:rPr>
        <w:tab/>
      </w:r>
      <w:r>
        <w:rPr>
          <w:rFonts w:ascii="Arial" w:cs="Arial" w:eastAsia="Arial" w:hAnsi="Arial"/>
          <w:sz w:val="16"/>
          <w:szCs w:val="16"/>
          <w:color w:val="auto"/>
        </w:rPr>
        <w:t>Applicable</w:t>
      </w:r>
    </w:p>
    <w:p>
      <w:pPr>
        <w:spacing w:after="0" w:line="117" w:lineRule="exact"/>
        <w:rPr>
          <w:sz w:val="20"/>
          <w:szCs w:val="20"/>
          <w:color w:val="auto"/>
        </w:rPr>
      </w:pPr>
    </w:p>
    <w:p>
      <w:pPr>
        <w:ind w:left="724"/>
        <w:spacing w:after="0"/>
        <w:tabs>
          <w:tab w:leader="none" w:pos="5724" w:val="left"/>
        </w:tabs>
        <w:rPr>
          <w:sz w:val="20"/>
          <w:szCs w:val="20"/>
          <w:color w:val="auto"/>
        </w:rPr>
      </w:pPr>
      <w:r>
        <w:rPr>
          <w:rFonts w:ascii="Arial" w:cs="Arial" w:eastAsia="Arial" w:hAnsi="Arial"/>
          <w:sz w:val="18"/>
          <w:szCs w:val="18"/>
          <w:color w:val="auto"/>
        </w:rPr>
        <w:t>Additional Acknowledgments:</w:t>
      </w:r>
      <w:r>
        <w:rPr>
          <w:sz w:val="20"/>
          <w:szCs w:val="20"/>
          <w:color w:val="auto"/>
        </w:rPr>
        <w:tab/>
      </w:r>
      <w:r>
        <w:rPr>
          <w:rFonts w:ascii="Arial" w:cs="Arial" w:eastAsia="Arial" w:hAnsi="Arial"/>
          <w:sz w:val="16"/>
          <w:szCs w:val="16"/>
          <w:color w:val="auto"/>
        </w:rPr>
        <w:t>Applicable</w:t>
      </w:r>
    </w:p>
    <w:p>
      <w:pPr>
        <w:spacing w:after="0" w:line="127" w:lineRule="exact"/>
        <w:rPr>
          <w:sz w:val="20"/>
          <w:szCs w:val="20"/>
          <w:color w:val="auto"/>
        </w:rPr>
      </w:pPr>
    </w:p>
    <w:p>
      <w:pPr>
        <w:ind w:left="424" w:hanging="424"/>
        <w:spacing w:after="0" w:line="272" w:lineRule="auto"/>
        <w:tabs>
          <w:tab w:leader="none" w:pos="424" w:val="left"/>
        </w:tabs>
        <w:numPr>
          <w:ilvl w:val="0"/>
          <w:numId w:val="395"/>
        </w:numPr>
        <w:rPr>
          <w:rFonts w:ascii="Arial" w:cs="Arial" w:eastAsia="Arial" w:hAnsi="Arial"/>
          <w:sz w:val="17"/>
          <w:szCs w:val="17"/>
          <w:color w:val="auto"/>
        </w:rPr>
      </w:pPr>
      <w:r>
        <w:rPr>
          <w:rFonts w:ascii="Arial" w:cs="Arial" w:eastAsia="Arial" w:hAnsi="Arial"/>
          <w:sz w:val="17"/>
          <w:szCs w:val="17"/>
          <w:b w:val="1"/>
          <w:bCs w:val="1"/>
          <w:u w:val="single" w:color="auto"/>
          <w:color w:val="auto"/>
        </w:rPr>
        <w:t>Calculation Agent</w:t>
      </w:r>
      <w:r>
        <w:rPr>
          <w:rFonts w:ascii="Arial" w:cs="Arial" w:eastAsia="Arial" w:hAnsi="Arial"/>
          <w:sz w:val="17"/>
          <w:szCs w:val="17"/>
          <w:color w:val="auto"/>
        </w:rPr>
        <w:t>. Dealer;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following the occurrence and during the continuance of an Event of Default of the type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Exchange Business Days following notice to the Calculation Agent by Company of such failure, Company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the Calculation Agent.</w:t>
      </w:r>
    </w:p>
    <w:p>
      <w:pPr>
        <w:spacing w:after="0" w:line="67" w:lineRule="exact"/>
        <w:rPr>
          <w:rFonts w:ascii="Arial" w:cs="Arial" w:eastAsia="Arial" w:hAnsi="Arial"/>
          <w:sz w:val="17"/>
          <w:szCs w:val="17"/>
          <w:color w:val="auto"/>
        </w:rPr>
      </w:pPr>
    </w:p>
    <w:p>
      <w:pPr>
        <w:ind w:left="444"/>
        <w:spacing w:after="0" w:line="296" w:lineRule="auto"/>
        <w:rPr>
          <w:rFonts w:ascii="Arial" w:cs="Arial" w:eastAsia="Arial" w:hAnsi="Arial"/>
          <w:sz w:val="17"/>
          <w:szCs w:val="17"/>
          <w:color w:val="auto"/>
        </w:rPr>
      </w:pPr>
      <w:r>
        <w:rPr>
          <w:rFonts w:ascii="Arial" w:cs="Arial" w:eastAsia="Arial" w:hAnsi="Arial"/>
          <w:sz w:val="16"/>
          <w:szCs w:val="16"/>
          <w:color w:val="auto"/>
        </w:rPr>
        <w:t xml:space="preserve">All calculations and determinations by the Calculation Agent shall be made in good faith and in a commercially reasonable manner. Following any calculation by the Calculation Agent hereunder, upon written request by Company, the Calculation Agent will provide to Company by email to the email address provided by Company in such written request a report (in a commonly used file format for the storage and manipulation of financial data) displaying in reasonable detail the basis for such calculation;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will Dealer be obligated to share with Company any proprietary or confidential data or information or any proprietary or confidential models used by it.</w:t>
      </w:r>
    </w:p>
    <w:p>
      <w:pPr>
        <w:spacing w:after="0" w:line="62" w:lineRule="exact"/>
        <w:rPr>
          <w:rFonts w:ascii="Arial" w:cs="Arial" w:eastAsia="Arial" w:hAnsi="Arial"/>
          <w:sz w:val="17"/>
          <w:szCs w:val="17"/>
          <w:color w:val="auto"/>
        </w:rPr>
      </w:pPr>
    </w:p>
    <w:p>
      <w:pPr>
        <w:ind w:left="424" w:hanging="424"/>
        <w:spacing w:after="0"/>
        <w:tabs>
          <w:tab w:leader="none" w:pos="424"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 Details</w:t>
      </w:r>
      <w:r>
        <w:rPr>
          <w:rFonts w:ascii="Arial" w:cs="Arial" w:eastAsia="Arial" w:hAnsi="Arial"/>
          <w:sz w:val="18"/>
          <w:szCs w:val="18"/>
          <w:color w:val="auto"/>
        </w:rPr>
        <w:t>.</w:t>
      </w:r>
    </w:p>
    <w:p>
      <w:pPr>
        <w:spacing w:after="0" w:line="135" w:lineRule="exact"/>
        <w:rPr>
          <w:sz w:val="20"/>
          <w:szCs w:val="20"/>
          <w:color w:val="auto"/>
        </w:rPr>
      </w:pPr>
    </w:p>
    <w:p>
      <w:pPr>
        <w:ind w:left="964" w:hanging="532"/>
        <w:spacing w:after="0"/>
        <w:tabs>
          <w:tab w:leader="none" w:pos="96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Account for payments to Company:</w:t>
      </w:r>
    </w:p>
    <w:p>
      <w:pPr>
        <w:sectPr>
          <w:pgSz w:w="11900" w:h="16838" w:orient="portrait"/>
          <w:cols w:equalWidth="0" w:num="1">
            <w:col w:w="11004"/>
          </w:cols>
          <w:pgMar w:left="436" w:top="274" w:right="459" w:bottom="1440" w:gutter="0" w:footer="0" w:header="0"/>
        </w:sectPr>
      </w:pP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Bank: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524" w:space="720"/>
            <w:col w:w="8760"/>
          </w:cols>
          <w:pgMar w:left="436" w:top="274" w:right="459" w:bottom="1440" w:gutter="0" w:footer="0" w:header="0"/>
          <w:type w:val="continuous"/>
        </w:sectPr>
      </w:pPr>
    </w:p>
    <w:p>
      <w:pPr>
        <w:ind w:left="984"/>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624" w:space="720"/>
            <w:col w:w="8660"/>
          </w:cols>
          <w:pgMar w:left="436" w:top="274" w:right="45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Acct No.: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804" w:space="720"/>
            <w:col w:w="8480"/>
          </w:cols>
          <w:pgMar w:left="436" w:top="274" w:right="45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Beneficiary: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984" w:space="720"/>
            <w:col w:w="8300"/>
          </w:cols>
          <w:pgMar w:left="436" w:top="274" w:right="459" w:bottom="1440" w:gutter="0" w:footer="0" w:header="0"/>
          <w:type w:val="continuous"/>
        </w:sectPr>
      </w:pPr>
    </w:p>
    <w:p>
      <w:pPr>
        <w:ind w:left="984"/>
        <w:spacing w:after="0"/>
        <w:rPr>
          <w:sz w:val="20"/>
          <w:szCs w:val="20"/>
          <w:color w:val="auto"/>
        </w:rPr>
      </w:pPr>
      <w:r>
        <w:rPr>
          <w:rFonts w:ascii="Arial" w:cs="Arial" w:eastAsia="Arial" w:hAnsi="Arial"/>
          <w:sz w:val="17"/>
          <w:szCs w:val="17"/>
          <w:color w:val="auto"/>
        </w:rPr>
        <w:t>Ref: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1404" w:space="720"/>
            <w:col w:w="8880"/>
          </w:cols>
          <w:pgMar w:left="436" w:top="274" w:right="459" w:bottom="1440" w:gutter="0" w:footer="0" w:header="0"/>
          <w:type w:val="continuous"/>
        </w:sectPr>
      </w:pPr>
    </w:p>
    <w:p>
      <w:pPr>
        <w:ind w:left="864"/>
        <w:spacing w:after="0"/>
        <w:rPr>
          <w:sz w:val="20"/>
          <w:szCs w:val="20"/>
          <w:color w:val="auto"/>
        </w:rPr>
      </w:pPr>
      <w:r>
        <w:rPr>
          <w:rFonts w:ascii="Arial" w:cs="Arial" w:eastAsia="Arial" w:hAnsi="Arial"/>
          <w:sz w:val="18"/>
          <w:szCs w:val="18"/>
          <w:color w:val="auto"/>
        </w:rPr>
        <w:t>Account for delivery of Shares from Company:</w:t>
      </w:r>
    </w:p>
    <w:p>
      <w:pPr>
        <w:spacing w:after="0" w:line="117" w:lineRule="exact"/>
        <w:rPr>
          <w:sz w:val="20"/>
          <w:szCs w:val="20"/>
          <w:color w:val="auto"/>
        </w:rPr>
      </w:pPr>
    </w:p>
    <w:p>
      <w:pPr>
        <w:ind w:left="1764" w:hanging="773"/>
        <w:spacing w:after="0"/>
        <w:tabs>
          <w:tab w:leader="none" w:pos="176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Account for payments to Dealer:</w:t>
      </w:r>
    </w:p>
    <w:p>
      <w:pPr>
        <w:spacing w:after="0" w:line="117" w:lineRule="exact"/>
        <w:rPr>
          <w:rFonts w:ascii="Arial" w:cs="Arial" w:eastAsia="Arial" w:hAnsi="Arial"/>
          <w:sz w:val="18"/>
          <w:szCs w:val="18"/>
          <w:color w:val="auto"/>
        </w:rPr>
      </w:pPr>
    </w:p>
    <w:p>
      <w:pPr>
        <w:ind w:left="1764" w:hanging="773"/>
        <w:spacing w:after="0"/>
        <w:tabs>
          <w:tab w:leader="none" w:pos="176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Account for delivery of Shares from Dealer:</w:t>
      </w:r>
    </w:p>
    <w:p>
      <w:pPr>
        <w:spacing w:after="0" w:line="117" w:lineRule="exact"/>
        <w:rPr>
          <w:sz w:val="20"/>
          <w:szCs w:val="20"/>
          <w:color w:val="auto"/>
        </w:rPr>
      </w:pPr>
    </w:p>
    <w:p>
      <w:pPr>
        <w:ind w:left="1764" w:hanging="773"/>
        <w:spacing w:after="0"/>
        <w:tabs>
          <w:tab w:leader="none" w:pos="1764" w:val="left"/>
        </w:tabs>
        <w:numPr>
          <w:ilvl w:val="2"/>
          <w:numId w:val="398"/>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398"/>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The Office of Company for the Transaction is: Inapplicable, Company is not a Multibranch Party.</w:t>
      </w:r>
    </w:p>
    <w:p>
      <w:pPr>
        <w:spacing w:after="0" w:line="154" w:lineRule="exact"/>
        <w:rPr>
          <w:sz w:val="20"/>
          <w:szCs w:val="20"/>
          <w:color w:val="auto"/>
        </w:rPr>
      </w:pPr>
    </w:p>
    <w:p>
      <w:pPr>
        <w:ind w:left="424"/>
        <w:spacing w:after="0"/>
        <w:tabs>
          <w:tab w:leader="none" w:pos="944" w:val="left"/>
          <w:tab w:leader="none" w:pos="4904"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Office of Dealer for the Transaction is: [</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424" w:hanging="424"/>
        <w:spacing w:after="0"/>
        <w:tabs>
          <w:tab w:leader="none" w:pos="424" w:val="left"/>
        </w:tabs>
        <w:numPr>
          <w:ilvl w:val="0"/>
          <w:numId w:val="39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Address for notices or communications to Company:</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Dropbox, Inc.</w:t>
      </w:r>
    </w:p>
    <w:p>
      <w:pPr>
        <w:spacing w:after="0" w:line="23"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1800 Owens Street</w:t>
      </w:r>
    </w:p>
    <w:p>
      <w:pPr>
        <w:spacing w:after="0" w:line="9"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San Francisco, California 94158</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type w:val="continuous"/>
        </w:sectPr>
      </w:pPr>
    </w:p>
    <w:bookmarkStart w:id="327" w:name="page328"/>
    <w:bookmarkEnd w:id="327"/>
    <w:p>
      <w:pPr>
        <w:ind w:left="984" w:right="8380" w:firstLine="7"/>
        <w:spacing w:after="0" w:line="342" w:lineRule="auto"/>
        <w:tabs>
          <w:tab w:leader="none" w:pos="1419" w:val="left"/>
        </w:tabs>
        <w:numPr>
          <w:ilvl w:val="1"/>
          <w:numId w:val="4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857-6800 Email: [___________]</w:t>
      </w:r>
    </w:p>
    <w:p>
      <w:pPr>
        <w:spacing w:after="0" w:line="150" w:lineRule="exact"/>
        <w:rPr>
          <w:rFonts w:ascii="Arial" w:cs="Arial" w:eastAsia="Arial" w:hAnsi="Arial"/>
          <w:sz w:val="16"/>
          <w:szCs w:val="16"/>
          <w:color w:val="auto"/>
        </w:rPr>
      </w:pPr>
    </w:p>
    <w:p>
      <w:pPr>
        <w:ind w:left="964" w:hanging="532"/>
        <w:spacing w:after="0"/>
        <w:tabs>
          <w:tab w:leader="none" w:pos="96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117" w:lineRule="exact"/>
        <w:rPr>
          <w:sz w:val="20"/>
          <w:szCs w:val="20"/>
          <w:color w:val="auto"/>
        </w:rPr>
      </w:pPr>
    </w:p>
    <w:p>
      <w:pPr>
        <w:ind w:left="984"/>
        <w:spacing w:after="0"/>
        <w:tabs>
          <w:tab w:leader="none" w:pos="238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email notification to the following address:</w:t>
      </w:r>
    </w:p>
    <w:p>
      <w:pPr>
        <w:spacing w:after="0" w:line="117" w:lineRule="exact"/>
        <w:rPr>
          <w:sz w:val="20"/>
          <w:szCs w:val="20"/>
          <w:color w:val="auto"/>
        </w:rPr>
      </w:pPr>
    </w:p>
    <w:p>
      <w:pPr>
        <w:ind w:left="1764" w:hanging="773"/>
        <w:spacing w:after="0"/>
        <w:tabs>
          <w:tab w:leader="none" w:pos="1764" w:val="left"/>
        </w:tabs>
        <w:numPr>
          <w:ilvl w:val="2"/>
          <w:numId w:val="402"/>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40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 of Company and Dealer</w:t>
      </w:r>
      <w:r>
        <w:rPr>
          <w:rFonts w:ascii="Arial" w:cs="Arial" w:eastAsia="Arial" w:hAnsi="Arial"/>
          <w:sz w:val="18"/>
          <w:szCs w:val="18"/>
          <w:u w:val="single" w:color="auto"/>
          <w:color w:val="auto"/>
        </w:rPr>
        <w:t>.</w:t>
      </w:r>
    </w:p>
    <w:p>
      <w:pPr>
        <w:spacing w:after="0" w:line="134"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402"/>
        </w:numPr>
        <w:rPr>
          <w:rFonts w:ascii="Arial" w:cs="Arial" w:eastAsia="Arial" w:hAnsi="Arial"/>
          <w:sz w:val="18"/>
          <w:szCs w:val="18"/>
          <w:color w:val="auto"/>
        </w:rPr>
      </w:pPr>
      <w:r>
        <w:rPr>
          <w:rFonts w:ascii="Arial" w:cs="Arial" w:eastAsia="Arial" w:hAnsi="Arial"/>
          <w:sz w:val="18"/>
          <w:szCs w:val="18"/>
          <w:i w:val="1"/>
          <w:iCs w:val="1"/>
          <w:color w:val="auto"/>
        </w:rPr>
        <w:t>Representations of Company</w:t>
      </w:r>
      <w:r>
        <w:rPr>
          <w:rFonts w:ascii="Arial" w:cs="Arial" w:eastAsia="Arial" w:hAnsi="Arial"/>
          <w:sz w:val="18"/>
          <w:szCs w:val="18"/>
          <w:color w:val="auto"/>
        </w:rPr>
        <w:t>. Company hereby represents and warrants to Dealer that each of the representations and warranties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set forth in Section 1 of the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dated as of [•], 2021, among Company and [Banks] as representatives of the several Purchasers named in Schedule I thereto (the “</w:t>
      </w:r>
      <w:r>
        <w:rPr>
          <w:rFonts w:ascii="Arial" w:cs="Arial" w:eastAsia="Arial" w:hAnsi="Arial"/>
          <w:sz w:val="18"/>
          <w:szCs w:val="18"/>
          <w:b w:val="1"/>
          <w:bCs w:val="1"/>
          <w:color w:val="auto"/>
        </w:rPr>
        <w:t>Initial Purchasers</w:t>
      </w:r>
      <w:r>
        <w:rPr>
          <w:rFonts w:ascii="Arial" w:cs="Arial" w:eastAsia="Arial" w:hAnsi="Arial"/>
          <w:sz w:val="18"/>
          <w:szCs w:val="18"/>
          <w:color w:val="auto"/>
        </w:rPr>
        <w:t>”), is true and correct and is hereby deemed to be repeated to Dealer as if set forth herein. Company hereby further represents and warrants to Dealer on the date hereof, on and as of the Premium Payment Date and, in the case of the representations in Section 8I(a), at all times until termination of the Transaction, that:</w:t>
      </w:r>
    </w:p>
    <w:p>
      <w:pPr>
        <w:spacing w:after="0" w:line="94" w:lineRule="exact"/>
        <w:rPr>
          <w:sz w:val="20"/>
          <w:szCs w:val="20"/>
          <w:color w:val="auto"/>
        </w:rPr>
      </w:pPr>
    </w:p>
    <w:p>
      <w:pPr>
        <w:ind w:left="964" w:right="20" w:hanging="532"/>
        <w:spacing w:after="0" w:line="271" w:lineRule="auto"/>
        <w:tabs>
          <w:tab w:leader="none" w:pos="964"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 number of Shares equal to the Maximum Number of Shares (as defined below) (the “</w:t>
      </w:r>
      <w:r>
        <w:rPr>
          <w:rFonts w:ascii="Arial" w:cs="Arial" w:eastAsia="Arial" w:hAnsi="Arial"/>
          <w:sz w:val="17"/>
          <w:szCs w:val="17"/>
          <w:b w:val="1"/>
          <w:bCs w:val="1"/>
          <w:color w:val="auto"/>
        </w:rPr>
        <w:t>Warrant Shares</w:t>
      </w:r>
      <w:r>
        <w:rPr>
          <w:rFonts w:ascii="Arial" w:cs="Arial" w:eastAsia="Arial" w:hAnsi="Arial"/>
          <w:sz w:val="17"/>
          <w:szCs w:val="17"/>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fully-paid and non-assessable, and the issuance of the Warrant Shares will not be subject to any preemptive or similar rights. Company represents and warrants to Dealer that the Maximum Number of Shares is equal to or less than the number of authorized but unissued Shares of Company that are not reserved for future issuance in connection with transactions in the Shares (other than the Transaction) on the date of the determination of the Maximum Number of Shares (such Shares, the “</w:t>
      </w:r>
      <w:r>
        <w:rPr>
          <w:rFonts w:ascii="Arial" w:cs="Arial" w:eastAsia="Arial" w:hAnsi="Arial"/>
          <w:sz w:val="17"/>
          <w:szCs w:val="17"/>
          <w:b w:val="1"/>
          <w:bCs w:val="1"/>
          <w:color w:val="auto"/>
        </w:rPr>
        <w:t>Available Shares</w:t>
      </w:r>
      <w:r>
        <w:rPr>
          <w:rFonts w:ascii="Arial" w:cs="Arial" w:eastAsia="Arial" w:hAnsi="Arial"/>
          <w:sz w:val="17"/>
          <w:szCs w:val="17"/>
          <w:color w:val="auto"/>
        </w:rPr>
        <w:t>”). Company shall not take any action to decrease the number of Available Shares below the Maximum Number of Shares.</w:t>
      </w:r>
    </w:p>
    <w:p>
      <w:pPr>
        <w:spacing w:after="0" w:line="83" w:lineRule="exact"/>
        <w:rPr>
          <w:rFonts w:ascii="Arial" w:cs="Arial" w:eastAsia="Arial" w:hAnsi="Arial"/>
          <w:sz w:val="17"/>
          <w:szCs w:val="17"/>
          <w:color w:val="auto"/>
        </w:rPr>
      </w:pPr>
    </w:p>
    <w:p>
      <w:pPr>
        <w:ind w:left="964" w:right="560" w:hanging="532"/>
        <w:spacing w:after="0" w:line="277" w:lineRule="auto"/>
        <w:tabs>
          <w:tab w:leader="none" w:pos="96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Company is not and, after consummation of the transactions contemplated hereby,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403"/>
        </w:numPr>
        <w:rPr>
          <w:rFonts w:ascii="Arial" w:cs="Arial" w:eastAsia="Arial" w:hAnsi="Arial"/>
          <w:sz w:val="17"/>
          <w:szCs w:val="17"/>
          <w:color w:val="auto"/>
        </w:rPr>
      </w:pPr>
      <w:r>
        <w:rPr>
          <w:rFonts w:ascii="Arial" w:cs="Arial" w:eastAsia="Arial" w:hAnsi="Arial"/>
          <w:sz w:val="17"/>
          <w:szCs w:val="17"/>
          <w:color w:val="auto"/>
        </w:rPr>
        <w:t>Company is not, on the date hereof, in possession of any material non-public information with respect to Company or the Shares.</w:t>
      </w:r>
    </w:p>
    <w:p>
      <w:pPr>
        <w:spacing w:after="0" w:line="142" w:lineRule="exact"/>
        <w:rPr>
          <w:rFonts w:ascii="Arial" w:cs="Arial" w:eastAsia="Arial" w:hAnsi="Arial"/>
          <w:sz w:val="17"/>
          <w:szCs w:val="17"/>
          <w:color w:val="auto"/>
        </w:rPr>
      </w:pPr>
    </w:p>
    <w:p>
      <w:pPr>
        <w:ind w:left="964" w:right="100" w:hanging="532"/>
        <w:spacing w:after="0" w:line="301" w:lineRule="auto"/>
        <w:tabs>
          <w:tab w:leader="none" w:pos="964"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To Company’s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any regulation that Dealer would be subject to as a result of it being a regulated entity under U.S. various applicable laws, including U.S. securities laws and FINRA.</w:t>
      </w:r>
    </w:p>
    <w:p>
      <w:pPr>
        <w:spacing w:after="0" w:line="62" w:lineRule="exact"/>
        <w:rPr>
          <w:rFonts w:ascii="Arial" w:cs="Arial" w:eastAsia="Arial" w:hAnsi="Arial"/>
          <w:sz w:val="16"/>
          <w:szCs w:val="16"/>
          <w:color w:val="auto"/>
        </w:rPr>
      </w:pPr>
    </w:p>
    <w:p>
      <w:pPr>
        <w:ind w:left="964" w:right="140" w:hanging="532"/>
        <w:spacing w:after="0" w:line="259" w:lineRule="auto"/>
        <w:tabs>
          <w:tab w:leader="none" w:pos="96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Company (i) is an “institutional account” as defined in FINRA Rule 4512(c); (ii) is capable of evaluating investment risks independently, both in general and with regard to all transactions and investment strategies involving a security or securities, and will exercise independent judgment in evaluating the recommendations of Dealer or its associated persons; and (iii) will notify Dealer if any of the statements contained in clause (i) or (ii) of this Section 8I(f) ceases to be true.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28" w:name="page329"/>
    <w:bookmarkEnd w:id="328"/>
    <w:p>
      <w:pPr>
        <w:ind w:left="964" w:right="100" w:hanging="532"/>
        <w:spacing w:after="0" w:line="257" w:lineRule="auto"/>
        <w:tabs>
          <w:tab w:leader="none" w:pos="964" w:val="left"/>
        </w:tabs>
        <w:numPr>
          <w:ilvl w:val="0"/>
          <w:numId w:val="4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Without limiting the generality of Section 13.1 of the Equity Definitions, Company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xml:space="preserve"> (or any successor issue statements).</w:t>
      </w:r>
    </w:p>
    <w:p>
      <w:pPr>
        <w:spacing w:after="0" w:line="93" w:lineRule="exact"/>
        <w:rPr>
          <w:rFonts w:ascii="Arial" w:cs="Arial" w:eastAsia="Arial" w:hAnsi="Arial"/>
          <w:sz w:val="18"/>
          <w:szCs w:val="18"/>
          <w:color w:val="auto"/>
        </w:rPr>
      </w:pPr>
    </w:p>
    <w:p>
      <w:pPr>
        <w:ind w:left="964" w:right="140" w:hanging="532"/>
        <w:spacing w:after="0" w:line="263" w:lineRule="auto"/>
        <w:tabs>
          <w:tab w:leader="none" w:pos="96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Company is not entering into this Confirmation to create actual or apparent trading activity in the Shares (or any security convertible into or exchangeable for Shares) or to manipulate the price of the Shares (or any security convertible into or exchangeable for Shares) or in violation of the Exchange Act.</w:t>
      </w:r>
    </w:p>
    <w:p>
      <w:pPr>
        <w:spacing w:after="0" w:line="89" w:lineRule="exact"/>
        <w:rPr>
          <w:rFonts w:ascii="Arial" w:cs="Arial" w:eastAsia="Arial" w:hAnsi="Arial"/>
          <w:sz w:val="18"/>
          <w:szCs w:val="18"/>
          <w:color w:val="auto"/>
        </w:rPr>
      </w:pPr>
    </w:p>
    <w:p>
      <w:pPr>
        <w:ind w:left="964" w:right="80" w:hanging="532"/>
        <w:spacing w:after="0" w:line="255" w:lineRule="auto"/>
        <w:tabs>
          <w:tab w:leader="none" w:pos="96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On each of the Trade Date, the Premium Payment Date and immediately after giving effect to the Transaction on the Premium Payment Date, (A) the present fair market value (or present fair saleable value) of the total assets of Company is not less than the total amount required to pay the probable total liabilities (including contingent liabilities) of Company as they mature and become absolute, (B) the capital of Company is adequate to conduct its business, (C) Company has the ability to pay its debts and obligations as such debts mature, and (D) Company is not “insolvent” (as such term is defined under Section 101(32) of the U.S. Bankruptcy Code (Title 11 of the United States Code)).</w:t>
      </w:r>
    </w:p>
    <w:p>
      <w:pPr>
        <w:spacing w:after="0" w:line="97" w:lineRule="exact"/>
        <w:rPr>
          <w:rFonts w:ascii="Arial" w:cs="Arial" w:eastAsia="Arial" w:hAnsi="Arial"/>
          <w:sz w:val="18"/>
          <w:szCs w:val="18"/>
          <w:color w:val="auto"/>
        </w:rPr>
      </w:pPr>
    </w:p>
    <w:p>
      <w:pPr>
        <w:ind w:left="964" w:hanging="532"/>
        <w:spacing w:after="0" w:line="259" w:lineRule="auto"/>
        <w:tabs>
          <w:tab w:leader="none" w:pos="96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Company understands that notwithstanding any other relationship between Company and Dealer and its affiliates, in connection with this Transaction and any other over-the-counter derivative transactions between Company and Dealer or its affiliates, Dealer or its affiliate is acting as principal and is not a fiduciary or advisor in respect of any such transaction, including any entry, exercise, amendment, unwind or termination thereof.</w:t>
      </w:r>
    </w:p>
    <w:p>
      <w:pPr>
        <w:spacing w:after="0" w:line="92" w:lineRule="exact"/>
        <w:rPr>
          <w:sz w:val="20"/>
          <w:szCs w:val="20"/>
          <w:color w:val="auto"/>
        </w:rPr>
      </w:pPr>
    </w:p>
    <w:p>
      <w:pPr>
        <w:ind w:left="964" w:right="60" w:hanging="532"/>
        <w:spacing w:after="0" w:line="263" w:lineRule="auto"/>
        <w:tabs>
          <w:tab w:leader="none" w:pos="964"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Eligible Contract Participants</w:t>
      </w:r>
      <w:r>
        <w:rPr>
          <w:rFonts w:ascii="Arial" w:cs="Arial" w:eastAsia="Arial" w:hAnsi="Arial"/>
          <w:sz w:val="18"/>
          <w:szCs w:val="18"/>
          <w:color w:val="auto"/>
        </w:rPr>
        <w:t>. Each of Company and Dealer represents that it is an “eligible contract participant” (as such term is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1a(18) of the Commodity Exchange Act, as amended, other than a person that is an eligible contract participant under Section 1a(18)(C) of the Commodity Exchange Act).</w:t>
      </w:r>
    </w:p>
    <w:p>
      <w:pPr>
        <w:spacing w:after="0" w:line="89" w:lineRule="exact"/>
        <w:rPr>
          <w:sz w:val="20"/>
          <w:szCs w:val="20"/>
          <w:color w:val="auto"/>
        </w:rPr>
      </w:pPr>
    </w:p>
    <w:p>
      <w:pPr>
        <w:ind w:left="964" w:hanging="532"/>
        <w:spacing w:after="0" w:line="287" w:lineRule="auto"/>
        <w:tabs>
          <w:tab w:leader="none" w:pos="964" w:val="left"/>
        </w:tabs>
        <w:numPr>
          <w:ilvl w:val="1"/>
          <w:numId w:val="406"/>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Representations. </w:t>
      </w:r>
      <w:r>
        <w:rPr>
          <w:rFonts w:ascii="Arial" w:cs="Arial" w:eastAsia="Arial" w:hAnsi="Arial"/>
          <w:sz w:val="16"/>
          <w:szCs w:val="16"/>
          <w:color w:val="auto"/>
        </w:rPr>
        <w:t>Each of Dealer and Company acknowledges that the offer and sale of the Transaction to it is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exempt from registration under the Securities Act, by virtue of Section 4(a)(2) thereof. Accordingly, Dealer represents and warrants to Company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69" w:lineRule="exact"/>
        <w:rPr>
          <w:rFonts w:ascii="Arial" w:cs="Arial" w:eastAsia="Arial" w:hAnsi="Arial"/>
          <w:sz w:val="16"/>
          <w:szCs w:val="16"/>
          <w:color w:val="auto"/>
        </w:rPr>
      </w:pPr>
    </w:p>
    <w:p>
      <w:pPr>
        <w:ind w:left="424" w:hanging="424"/>
        <w:spacing w:after="0"/>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135" w:lineRule="exact"/>
        <w:rPr>
          <w:sz w:val="20"/>
          <w:szCs w:val="20"/>
          <w:color w:val="auto"/>
        </w:rPr>
      </w:pPr>
    </w:p>
    <w:p>
      <w:pPr>
        <w:ind w:left="964" w:right="60" w:hanging="532"/>
        <w:spacing w:after="0" w:line="273" w:lineRule="auto"/>
        <w:tabs>
          <w:tab w:leader="none" w:pos="964" w:val="left"/>
        </w:tabs>
        <w:numPr>
          <w:ilvl w:val="0"/>
          <w:numId w:val="408"/>
        </w:numPr>
        <w:rPr>
          <w:rFonts w:ascii="Arial" w:cs="Arial" w:eastAsia="Arial" w:hAnsi="Arial"/>
          <w:sz w:val="17"/>
          <w:szCs w:val="17"/>
          <w:color w:val="auto"/>
        </w:rPr>
      </w:pPr>
      <w:r>
        <w:rPr>
          <w:rFonts w:ascii="Arial" w:cs="Arial" w:eastAsia="Arial" w:hAnsi="Arial"/>
          <w:sz w:val="17"/>
          <w:szCs w:val="17"/>
          <w:i w:val="1"/>
          <w:iCs w:val="1"/>
          <w:u w:val="single" w:color="auto"/>
          <w:color w:val="auto"/>
        </w:rPr>
        <w:t>Opinions</w:t>
      </w:r>
      <w:r>
        <w:rPr>
          <w:rFonts w:ascii="Arial" w:cs="Arial" w:eastAsia="Arial" w:hAnsi="Arial"/>
          <w:sz w:val="17"/>
          <w:szCs w:val="17"/>
          <w:i w:val="1"/>
          <w:iCs w:val="1"/>
          <w:color w:val="auto"/>
        </w:rPr>
        <w:t xml:space="preserve">. </w:t>
      </w:r>
      <w:r>
        <w:rPr>
          <w:rFonts w:ascii="Arial" w:cs="Arial" w:eastAsia="Arial" w:hAnsi="Arial"/>
          <w:sz w:val="17"/>
          <w:szCs w:val="17"/>
          <w:color w:val="auto"/>
        </w:rPr>
        <w:t>On or prior to the Premium Payment Date, Company shall deliver to Dealer an opinion of counsel, dated as of the Trade Date,</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due incorporation, existence and good standing of Company in Delaware, the due authorization, execution and delivery of this Confirmation, and, in respect of the execution, delivery and performance of this Confirmation, the absence of any conflict with or breach of any material agreement required to be filed as an exhibit to Company’s Annual Report on Form 10-K, Company’s certificate of incorporation or Company’s by-laws. Delivery of such opinion to Dealer shall be a condition precedent for the purpose of Section 2(a)(iii) of the Agreement with respect to each obligation of Dealer under Section 2(a)(i) of the Agreement.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329" w:name="page330"/>
    <w:bookmarkEnd w:id="329"/>
    <w:p>
      <w:pPr>
        <w:ind w:left="964" w:hanging="532"/>
        <w:spacing w:after="0" w:line="283" w:lineRule="auto"/>
        <w:tabs>
          <w:tab w:leader="none" w:pos="964" w:val="left"/>
        </w:tabs>
        <w:numPr>
          <w:ilvl w:val="0"/>
          <w:numId w:val="409"/>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Repurchase Notices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at least one Exchange Business Day prior to any day on which Company effects any repurchase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promptly give Dealer a written notice of such repurchase (a “</w:t>
      </w:r>
      <w:r>
        <w:rPr>
          <w:rFonts w:ascii="Arial" w:cs="Arial" w:eastAsia="Arial" w:hAnsi="Arial"/>
          <w:sz w:val="16"/>
          <w:szCs w:val="16"/>
          <w:b w:val="1"/>
          <w:bCs w:val="1"/>
          <w:color w:val="auto"/>
        </w:rPr>
        <w:t>Repurchase Notice</w:t>
      </w:r>
      <w:r>
        <w:rPr>
          <w:rFonts w:ascii="Arial" w:cs="Arial" w:eastAsia="Arial" w:hAnsi="Arial"/>
          <w:sz w:val="16"/>
          <w:szCs w:val="16"/>
          <w:color w:val="auto"/>
        </w:rPr>
        <w:t>”) on such day if following such repurchase, the Notice Percentage would reasonably be expected to be (i) greater than [__]</w:t>
      </w:r>
      <w:r>
        <w:rPr>
          <w:rFonts w:ascii="Arial" w:cs="Arial" w:eastAsia="Arial" w:hAnsi="Arial"/>
          <w:sz w:val="13"/>
          <w:szCs w:val="13"/>
          <w:color w:val="auto"/>
        </w:rPr>
        <w:t>2</w:t>
      </w:r>
      <w:r>
        <w:rPr>
          <w:rFonts w:ascii="Arial" w:cs="Arial" w:eastAsia="Arial" w:hAnsi="Arial"/>
          <w:sz w:val="16"/>
          <w:szCs w:val="16"/>
          <w:color w:val="auto"/>
        </w:rPr>
        <w:t xml:space="preserve">% and (ii) greater by 0.5% than the Notice Percentage included in the immediately preceding Repurchase/Adjustment Notice (or, in the case of the first such Repurchase/Adjustment Notice, greater by 0.5% than the Notice Percentage as of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Company shall not deliver any material non-public information to any employee of Dealer unless that employee has been identified to Company as being on the “private side”. The “</w:t>
      </w:r>
      <w:r>
        <w:rPr>
          <w:rFonts w:ascii="Arial" w:cs="Arial" w:eastAsia="Arial" w:hAnsi="Arial"/>
          <w:sz w:val="16"/>
          <w:szCs w:val="16"/>
          <w:b w:val="1"/>
          <w:bCs w:val="1"/>
          <w:color w:val="auto"/>
        </w:rPr>
        <w:t>Notice Percentage</w:t>
      </w:r>
      <w:r>
        <w:rPr>
          <w:rFonts w:ascii="Arial" w:cs="Arial" w:eastAsia="Arial" w:hAnsi="Arial"/>
          <w:sz w:val="16"/>
          <w:szCs w:val="16"/>
          <w:color w:val="auto"/>
        </w:rPr>
        <w:t>” as of any day is the fraction, expressed as a percentage, the numerator of which is the sum of (a) the product of the Number of Warrants and the Warrant Entitlement and (b) the number of Shares underlying any other similar warrant transaction sold by Company to Dealer and the denominator of which is the number of Shares outstanding on such day. Company agrees to indemnify and hold harmless Dealer and its affiliates and their respective officers, directors, employees, affiliates, advisors, agents and controlling persons (each,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from and against any and all losses (including losses relating to Dealer’s commercially reasonable hedging activities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 of becoming, or of the risk of becoming, a Section 16 “insider”, including without limitation, any forbearance from hedging activities or cessation of hedging activities in a commercially reasonable manner and any losses in connection therewith with respect to the Transaction), claims, damages, judgments, liabilities, expenses and fees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commercially reasonable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expects to be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liabilities, expenses or fees referred to therein, then Company, in lieu of indemnifying such Indemnified Person hereunder, shall contribute to the amount paid or payable by such Indemnified Person as a result of such losses, claims, damages, liabilities, expenses or fees. The remedies provided for in this paragraph are not exclusive and shall not limit any rights or remedies that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715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left="5424" w:right="140" w:hanging="5424"/>
        <w:spacing w:after="0" w:line="449" w:lineRule="auto"/>
        <w:tabs>
          <w:tab w:leader="none" w:pos="438" w:val="left"/>
        </w:tabs>
        <w:numPr>
          <w:ilvl w:val="0"/>
          <w:numId w:val="410"/>
        </w:numPr>
        <w:rPr>
          <w:rFonts w:ascii="Arial" w:cs="Arial" w:eastAsia="Arial" w:hAnsi="Arial"/>
          <w:sz w:val="15"/>
          <w:szCs w:val="15"/>
          <w:color w:val="auto"/>
        </w:rPr>
      </w:pPr>
      <w:r>
        <w:rPr>
          <w:rFonts w:ascii="Arial" w:cs="Arial" w:eastAsia="Arial" w:hAnsi="Arial"/>
          <w:sz w:val="18"/>
          <w:szCs w:val="18"/>
          <w:color w:val="auto"/>
        </w:rPr>
        <w:t>To be 0.5% higher than the number of Shares underlying the warrant (including any additional warrant) of the Dealer with the highest allocation. 15</w:t>
      </w:r>
    </w:p>
    <w:p>
      <w:pPr>
        <w:sectPr>
          <w:pgSz w:w="11900" w:h="16838" w:orient="portrait"/>
          <w:cols w:equalWidth="0" w:num="1">
            <w:col w:w="11004"/>
          </w:cols>
          <w:pgMar w:left="436" w:top="274" w:right="459" w:bottom="1440" w:gutter="0" w:footer="0" w:header="0"/>
        </w:sectPr>
      </w:pPr>
    </w:p>
    <w:bookmarkStart w:id="330" w:name="page331"/>
    <w:bookmarkEnd w:id="330"/>
    <w:p>
      <w:pPr>
        <w:ind w:left="540" w:right="80" w:hanging="532"/>
        <w:spacing w:after="0" w:line="259" w:lineRule="auto"/>
        <w:tabs>
          <w:tab w:leader="none" w:pos="540" w:val="left"/>
        </w:tabs>
        <w:numPr>
          <w:ilvl w:val="0"/>
          <w:numId w:val="411"/>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Regulation M</w:t>
      </w:r>
      <w:r>
        <w:rPr>
          <w:rFonts w:ascii="Arial" w:cs="Arial" w:eastAsia="Arial" w:hAnsi="Arial"/>
          <w:sz w:val="18"/>
          <w:szCs w:val="18"/>
          <w:color w:val="auto"/>
        </w:rPr>
        <w:t>. Company is not on the Trade Date engaged in a distribution, as such term is used in Regulation M under the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of a securities of Company, other than a distribution meeting the requirements of the exception set forth in Rules 101(b)(10) and 102(b)(7) of Regulation M. Company shall not, until the second scheduled Trading Day immediately following the Trade Date, engage in any such distribution.</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411"/>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 or Assignment; Designation of Affiliates</w:t>
      </w:r>
      <w:r>
        <w:rPr>
          <w:rFonts w:ascii="Arial" w:cs="Arial" w:eastAsia="Arial" w:hAnsi="Arial"/>
          <w:sz w:val="18"/>
          <w:szCs w:val="18"/>
          <w:i w:val="1"/>
          <w:iCs w:val="1"/>
          <w:color w:val="auto"/>
        </w:rPr>
        <w:t>. [check cloudflare]</w:t>
      </w:r>
    </w:p>
    <w:p>
      <w:pPr>
        <w:spacing w:after="0" w:line="130" w:lineRule="exact"/>
        <w:rPr>
          <w:rFonts w:ascii="Arial" w:cs="Arial" w:eastAsia="Arial" w:hAnsi="Arial"/>
          <w:sz w:val="18"/>
          <w:szCs w:val="18"/>
          <w:color w:val="auto"/>
        </w:rPr>
      </w:pPr>
    </w:p>
    <w:p>
      <w:pPr>
        <w:ind w:left="1000" w:hanging="439"/>
        <w:spacing w:after="0" w:line="283" w:lineRule="auto"/>
        <w:tabs>
          <w:tab w:leader="none" w:pos="100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 xml:space="preserve">Company may not transfer any of its rights or obligations under the Transaction without the prior written consent of Dealer. Dealer may, without Company’s consent, transfer or assign all or any part of its rights or obligations under the Transaction to any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any such transfer or assignment, Company shall not be required to pay the transferee on any payment date an amount under Section 2(d)(i)(4) of the Agreement greater than an amount that Company would have been required to pay to Dealer in the absence of such transfer or assignment, except to the extent that the greater amount is due to a Change in Tax Law after the date of such transfer or assignment;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Dealer shall cause the transferee to deliver to the Company one duly executed and completed applicable Internal Revenue Service Form W-8 or Form W-9 (or successor thereto);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Dealer shall provide prompt written notice to Company following any such Transfer. If at any time at which (A)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 Percentage exceeds 7.5%, (B) the Warrant Equity Percentage exceeds 14.5%, or (C) the Share Amount exceeds the Applicable Share Limit (if any applies) (any such condition described in clauses (A), (B) or (C),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Dealer, acting in good faith,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was not the Affected Party). The “</w:t>
      </w:r>
      <w:r>
        <w:rPr>
          <w:rFonts w:ascii="Arial" w:cs="Arial" w:eastAsia="Arial" w:hAnsi="Arial"/>
          <w:sz w:val="16"/>
          <w:szCs w:val="16"/>
          <w:b w:val="1"/>
          <w:bCs w:val="1"/>
          <w:color w:val="auto"/>
        </w:rPr>
        <w:t>Section 16</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number of Shares that Dealer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Arial" w:cs="Arial" w:eastAsia="Arial" w:hAnsi="Arial"/>
          <w:sz w:val="16"/>
          <w:szCs w:val="16"/>
          <w:b w:val="1"/>
          <w:bCs w:val="1"/>
          <w:color w:val="auto"/>
        </w:rPr>
        <w:t>Warrant Equity Percentage</w:t>
      </w:r>
      <w:r>
        <w:rPr>
          <w:rFonts w:ascii="Arial" w:cs="Arial" w:eastAsia="Arial" w:hAnsi="Arial"/>
          <w:sz w:val="16"/>
          <w:szCs w:val="16"/>
          <w:color w:val="auto"/>
        </w:rPr>
        <w:t>” as of any day is the fraction, expressed as a percentage, (A) the numerator of which is the sum of (1) the product of the Number of Warrants and the Warrant Entitlement and (2) the aggregate number of Shares underlying any other warrants purchased by Dealer from Company, and (B) the denominator of which is the number of Shares outstanding. The “</w:t>
      </w:r>
      <w:r>
        <w:rPr>
          <w:rFonts w:ascii="Arial" w:cs="Arial" w:eastAsia="Arial" w:hAnsi="Arial"/>
          <w:sz w:val="16"/>
          <w:szCs w:val="16"/>
          <w:b w:val="1"/>
          <w:bCs w:val="1"/>
          <w:color w:val="auto"/>
        </w:rPr>
        <w:t>Share Amount</w:t>
      </w:r>
      <w:r>
        <w:rPr>
          <w:rFonts w:ascii="Arial" w:cs="Arial" w:eastAsia="Arial" w:hAnsi="Arial"/>
          <w:sz w:val="16"/>
          <w:szCs w:val="16"/>
          <w:color w:val="auto"/>
        </w:rPr>
        <w:t>” as of any day is the number of Shares that Dealer and any person whose ownership position would be aggregated with that of Dealer (Dealer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any law, rule, regulation, regulatory order or organizational documents or contracts of Company that are, in each case, applicable to ownership of Shares, including without limitation, under</w:t>
      </w:r>
    </w:p>
    <w:p>
      <w:pPr>
        <w:spacing w:after="0" w:line="33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60" w:top="274" w:right="459" w:bottom="1440" w:gutter="0" w:footer="0" w:header="0"/>
        </w:sectPr>
      </w:pPr>
    </w:p>
    <w:bookmarkStart w:id="331" w:name="page332"/>
    <w:bookmarkEnd w:id="331"/>
    <w:p>
      <w:pPr>
        <w:ind w:left="10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 or federal banking laws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owns, beneficially owns, constructively owns, controls, holds the power to vote or otherwise meets a relevant definition of ownership under any Applicable Restriction, as determined by Dealer in its commercially reasonable discretion. The “</w:t>
      </w:r>
      <w:r>
        <w:rPr>
          <w:rFonts w:ascii="Arial" w:cs="Arial" w:eastAsia="Arial" w:hAnsi="Arial"/>
          <w:sz w:val="16"/>
          <w:szCs w:val="16"/>
          <w:b w:val="1"/>
          <w:bCs w:val="1"/>
          <w:color w:val="auto"/>
        </w:rPr>
        <w:t>Applicable Share Limit</w:t>
      </w:r>
      <w:r>
        <w:rPr>
          <w:rFonts w:ascii="Arial" w:cs="Arial" w:eastAsia="Arial" w:hAnsi="Arial"/>
          <w:sz w:val="16"/>
          <w:szCs w:val="16"/>
          <w:color w:val="auto"/>
        </w:rPr>
        <w:t xml:space="preserve">” means a number of Shares equal to (A) the minimum number of Shares that could give rise to reporting or registration obligations or other requirements (including obtaining prior approval from any person or entity) of a Dealer Person, or could result in an adverse effect on a Dealer Person, under any Applicable Restriction, as determined by Dealer in its commercially reasonable discretion,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1% of the number of Shares outstanding.</w:t>
      </w:r>
    </w:p>
    <w:p>
      <w:pPr>
        <w:spacing w:after="0" w:line="69" w:lineRule="exact"/>
        <w:rPr>
          <w:sz w:val="20"/>
          <w:szCs w:val="20"/>
          <w:color w:val="auto"/>
        </w:rPr>
      </w:pPr>
    </w:p>
    <w:p>
      <w:pPr>
        <w:ind w:left="1000" w:right="60" w:hanging="439"/>
        <w:spacing w:after="0" w:line="275" w:lineRule="auto"/>
        <w:tabs>
          <w:tab w:leader="none" w:pos="1000" w:val="left"/>
        </w:tabs>
        <w:numPr>
          <w:ilvl w:val="1"/>
          <w:numId w:val="412"/>
        </w:numPr>
        <w:rPr>
          <w:rFonts w:ascii="Arial" w:cs="Arial" w:eastAsia="Arial" w:hAnsi="Arial"/>
          <w:sz w:val="17"/>
          <w:szCs w:val="17"/>
          <w:color w:val="auto"/>
        </w:rPr>
      </w:pPr>
      <w:r>
        <w:rPr>
          <w:rFonts w:ascii="Arial" w:cs="Arial" w:eastAsia="Arial" w:hAnsi="Arial"/>
          <w:sz w:val="17"/>
          <w:szCs w:val="17"/>
          <w:color w:val="auto"/>
        </w:rPr>
        <w:t>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81" w:lineRule="exact"/>
        <w:rPr>
          <w:rFonts w:ascii="Arial" w:cs="Arial" w:eastAsia="Arial" w:hAnsi="Arial"/>
          <w:sz w:val="17"/>
          <w:szCs w:val="17"/>
          <w:color w:val="auto"/>
        </w:rPr>
      </w:pPr>
    </w:p>
    <w:p>
      <w:pPr>
        <w:ind w:left="540" w:right="60" w:hanging="532"/>
        <w:spacing w:after="0" w:line="273" w:lineRule="auto"/>
        <w:tabs>
          <w:tab w:leader="none" w:pos="540" w:val="left"/>
        </w:tabs>
        <w:numPr>
          <w:ilvl w:val="0"/>
          <w:numId w:val="413"/>
        </w:numPr>
        <w:rPr>
          <w:rFonts w:ascii="Arial" w:cs="Arial" w:eastAsia="Arial" w:hAnsi="Arial"/>
          <w:sz w:val="17"/>
          <w:szCs w:val="17"/>
          <w:color w:val="auto"/>
        </w:rPr>
      </w:pPr>
      <w:r>
        <w:rPr>
          <w:rFonts w:ascii="Arial" w:cs="Arial" w:eastAsia="Arial" w:hAnsi="Arial"/>
          <w:sz w:val="17"/>
          <w:szCs w:val="17"/>
          <w:i w:val="1"/>
          <w:iCs w:val="1"/>
          <w:u w:val="single" w:color="auto"/>
          <w:color w:val="auto"/>
        </w:rPr>
        <w:t>Dividends</w:t>
      </w:r>
      <w:r>
        <w:rPr>
          <w:rFonts w:ascii="Arial" w:cs="Arial" w:eastAsia="Arial" w:hAnsi="Arial"/>
          <w:sz w:val="17"/>
          <w:szCs w:val="17"/>
          <w:color w:val="auto"/>
        </w:rPr>
        <w:t>. If at any time during the period from and including the Effective Date, to and including the last Expiration Date (or, if any</w:t>
      </w:r>
      <w:r>
        <w:rPr>
          <w:rFonts w:ascii="Arial" w:cs="Arial" w:eastAsia="Arial" w:hAnsi="Arial"/>
          <w:sz w:val="17"/>
          <w:szCs w:val="17"/>
          <w:i w:val="1"/>
          <w:iCs w:val="1"/>
          <w:color w:val="auto"/>
        </w:rPr>
        <w:t xml:space="preserve"> </w:t>
      </w:r>
      <w:r>
        <w:rPr>
          <w:rFonts w:ascii="Arial" w:cs="Arial" w:eastAsia="Arial" w:hAnsi="Arial"/>
          <w:sz w:val="17"/>
          <w:szCs w:val="17"/>
          <w:color w:val="auto"/>
        </w:rPr>
        <w:t>Deficit Shares are owed pursuant to Section 9(o)(ii) of this Confirmation, such later date on which Company’s obligations under this Transaction have been satisfied in full), an ex-dividend date for a cash dividend or cash distribution occurs with respect to the Shares (an “</w:t>
      </w:r>
      <w:r>
        <w:rPr>
          <w:rFonts w:ascii="Arial" w:cs="Arial" w:eastAsia="Arial" w:hAnsi="Arial"/>
          <w:sz w:val="17"/>
          <w:szCs w:val="17"/>
          <w:b w:val="1"/>
          <w:bCs w:val="1"/>
          <w:color w:val="auto"/>
        </w:rPr>
        <w:t>Ex-Dividend Date</w:t>
      </w:r>
      <w:r>
        <w:rPr>
          <w:rFonts w:ascii="Arial" w:cs="Arial" w:eastAsia="Arial" w:hAnsi="Arial"/>
          <w:sz w:val="17"/>
          <w:szCs w:val="17"/>
          <w:color w:val="auto"/>
        </w:rPr>
        <w:t>”), then the Calculation Agent will adjust any of the Strike Price, Number of Warrants, Daily Number of Warrants and/or any other variable relevant to the exercise, settlement or payment of the Transaction in good faith and in a commercially reasonable manner to preserve the fair value of the Warrants after taking into account such dividend or distribution.</w:t>
      </w:r>
    </w:p>
    <w:p>
      <w:pPr>
        <w:spacing w:after="0" w:line="83" w:lineRule="exact"/>
        <w:rPr>
          <w:rFonts w:ascii="Arial" w:cs="Arial" w:eastAsia="Arial" w:hAnsi="Arial"/>
          <w:sz w:val="17"/>
          <w:szCs w:val="17"/>
          <w:color w:val="auto"/>
        </w:rPr>
      </w:pPr>
    </w:p>
    <w:p>
      <w:pPr>
        <w:ind w:left="540" w:hanging="532"/>
        <w:spacing w:after="0"/>
        <w:tabs>
          <w:tab w:leader="none" w:pos="5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Agency language, if necessary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13"/>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Provisions</w:t>
      </w:r>
      <w:r>
        <w:rPr>
          <w:rFonts w:ascii="Arial" w:cs="Arial" w:eastAsia="Arial" w:hAnsi="Arial"/>
          <w:sz w:val="18"/>
          <w:szCs w:val="18"/>
          <w:u w:val="single" w:color="auto"/>
          <w:color w:val="auto"/>
        </w:rPr>
        <w: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Amendments to the Equity Definitions:</w:t>
      </w:r>
    </w:p>
    <w:p>
      <w:pPr>
        <w:spacing w:after="0" w:line="130" w:lineRule="exact"/>
        <w:rPr>
          <w:rFonts w:ascii="Arial" w:cs="Arial" w:eastAsia="Arial" w:hAnsi="Arial"/>
          <w:sz w:val="18"/>
          <w:szCs w:val="18"/>
          <w:color w:val="auto"/>
        </w:rPr>
      </w:pPr>
    </w:p>
    <w:p>
      <w:pPr>
        <w:ind w:left="1540" w:right="20" w:hanging="533"/>
        <w:spacing w:after="0" w:line="286" w:lineRule="auto"/>
        <w:tabs>
          <w:tab w:leader="none" w:pos="1540" w:val="left"/>
        </w:tabs>
        <w:numPr>
          <w:ilvl w:val="2"/>
          <w:numId w:val="413"/>
        </w:numPr>
        <w:rPr>
          <w:rFonts w:ascii="Arial" w:cs="Arial" w:eastAsia="Arial" w:hAnsi="Arial"/>
          <w:sz w:val="16"/>
          <w:szCs w:val="16"/>
          <w:color w:val="auto"/>
        </w:rPr>
      </w:pPr>
      <w:r>
        <w:rPr>
          <w:rFonts w:ascii="Arial" w:cs="Arial" w:eastAsia="Arial" w:hAnsi="Arial"/>
          <w:sz w:val="16"/>
          <w:szCs w:val="16"/>
          <w:color w:val="auto"/>
        </w:rPr>
        <w:t>Section 11.2(a) of the Equity Definitions is hereby amended by (1) deleting the words “in the determination of the Calculation Agent, a diluting or concentrative effect on the theoretical value of the relevant Shares” and replacing these words with “in the commercially reasonable judgment of the Calculation Agent, a material economic effect on the theoretical value of the Shares or options on such Shares”; and (2) adding at the end thereof “; provided that such event is not based on</w:t>
      </w:r>
    </w:p>
    <w:p>
      <w:pPr>
        <w:spacing w:after="0" w:line="1" w:lineRule="exact"/>
        <w:rPr>
          <w:rFonts w:ascii="Arial" w:cs="Arial" w:eastAsia="Arial" w:hAnsi="Arial"/>
          <w:sz w:val="16"/>
          <w:szCs w:val="16"/>
          <w:color w:val="auto"/>
        </w:rPr>
      </w:pPr>
    </w:p>
    <w:p>
      <w:pPr>
        <w:ind w:left="1540" w:right="80" w:firstLine="7"/>
        <w:spacing w:after="0" w:line="260" w:lineRule="auto"/>
        <w:tabs>
          <w:tab w:leader="none" w:pos="1755" w:val="left"/>
        </w:tabs>
        <w:numPr>
          <w:ilvl w:val="3"/>
          <w:numId w:val="413"/>
        </w:numPr>
        <w:rPr>
          <w:rFonts w:ascii="Arial" w:cs="Arial" w:eastAsia="Arial" w:hAnsi="Arial"/>
          <w:sz w:val="18"/>
          <w:szCs w:val="18"/>
          <w:color w:val="auto"/>
        </w:rPr>
      </w:pPr>
      <w:r>
        <w:rPr>
          <w:rFonts w:ascii="Arial" w:cs="Arial" w:eastAsia="Arial" w:hAnsi="Arial"/>
          <w:sz w:val="18"/>
          <w:szCs w:val="18"/>
          <w:color w:val="auto"/>
        </w:rPr>
        <w:t>an observable market, other than the market for Counterparty’s own stock or (ii) an observable index, other than an index calculated measured solely by reference to Counterparty’s own operations.”</w:t>
      </w:r>
    </w:p>
    <w:p>
      <w:pPr>
        <w:spacing w:after="0" w:line="90" w:lineRule="exact"/>
        <w:rPr>
          <w:rFonts w:ascii="Arial" w:cs="Arial" w:eastAsia="Arial" w:hAnsi="Arial"/>
          <w:sz w:val="18"/>
          <w:szCs w:val="18"/>
          <w:color w:val="auto"/>
        </w:rPr>
      </w:pPr>
    </w:p>
    <w:p>
      <w:pPr>
        <w:ind w:left="1540" w:right="100" w:hanging="533"/>
        <w:spacing w:after="0" w:line="291" w:lineRule="auto"/>
        <w:tabs>
          <w:tab w:leader="none" w:pos="1540" w:val="left"/>
        </w:tabs>
        <w:numPr>
          <w:ilvl w:val="2"/>
          <w:numId w:val="413"/>
        </w:numPr>
        <w:rPr>
          <w:rFonts w:ascii="Arial" w:cs="Arial" w:eastAsia="Arial" w:hAnsi="Arial"/>
          <w:sz w:val="16"/>
          <w:szCs w:val="16"/>
          <w:color w:val="auto"/>
        </w:rPr>
      </w:pPr>
      <w:r>
        <w:rPr>
          <w:rFonts w:ascii="Arial" w:cs="Arial" w:eastAsia="Arial" w:hAnsi="Arial"/>
          <w:sz w:val="16"/>
          <w:szCs w:val="16"/>
          <w:color w:val="auto"/>
        </w:rPr>
        <w:t>Section 11.2(c) of the Equity Definitions is hereby amended by (w) replacing the words “a diluting or concentrative” with “an” in the fifth line thereof, (x) adding the phrase “or Warrants” after the words “the relevant Shares” in the same sentence,</w:t>
      </w:r>
    </w:p>
    <w:p>
      <w:pPr>
        <w:ind w:left="1540" w:firstLine="7"/>
        <w:spacing w:after="0" w:line="252" w:lineRule="auto"/>
        <w:tabs>
          <w:tab w:leader="none" w:pos="1795" w:val="left"/>
        </w:tabs>
        <w:numPr>
          <w:ilvl w:val="3"/>
          <w:numId w:val="414"/>
        </w:numPr>
        <w:rPr>
          <w:rFonts w:ascii="Arial" w:cs="Arial" w:eastAsia="Arial" w:hAnsi="Arial"/>
          <w:sz w:val="18"/>
          <w:szCs w:val="18"/>
          <w:color w:val="auto"/>
        </w:rPr>
      </w:pPr>
      <w:r>
        <w:rPr>
          <w:rFonts w:ascii="Arial" w:cs="Arial" w:eastAsia="Arial" w:hAnsi="Arial"/>
          <w:sz w:val="18"/>
          <w:szCs w:val="18"/>
          <w:color w:val="auto"/>
        </w:rPr>
        <w:t>deleting the words “diluting or concentrative” in the sixth to last line thereof and (z) deleting the phrase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to account solely for changes in volatility, expected dividends, stock loan rate or liquidity relative to the relevant Shares)” and replacing it with the phrase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in the case of Sections 11.2(e)(i), (ii) (A), (iv) and (v), no adjustments will be made to account solely for changes in volatility, expected dividends, stock loan rate or liquidity relative to the relevant Shares but, for the avoidance of doubt, solely in the case of Sections 11.2(e)(ii)(B) through (D), (iii), (vi), (vii) adjustments may be made to account solely for changes in volatility, expected dividends, stock loan rate or liquidity relative to the relevant Shares).”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60" w:top="270" w:right="459" w:bottom="1440" w:gutter="0" w:footer="0" w:header="0"/>
        </w:sectPr>
      </w:pPr>
    </w:p>
    <w:bookmarkStart w:id="332" w:name="page333"/>
    <w:bookmarkEnd w:id="332"/>
    <w:p>
      <w:pPr>
        <w:ind w:left="960" w:right="80" w:hanging="533"/>
        <w:spacing w:after="0" w:line="275" w:lineRule="auto"/>
        <w:tabs>
          <w:tab w:leader="none" w:pos="960" w:val="left"/>
        </w:tabs>
        <w:numPr>
          <w:ilvl w:val="0"/>
          <w:numId w:val="4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11.2(e)(vii) of the Equity Definitions is hereby amended and restated as follows: “any corporate event involving the Issuer or its securities that in the commercially reasonable judgment of the Calculation Agent has a material economic effect on the theoretical value of the Shares or options on the Shares; provided that such event is not based on (a) an observable market, other than the market for Counterparty’s own stock or (b) an observable index, other than an index calculated measured solely by reference to Counterparty’s own operations.”</w:t>
      </w:r>
    </w:p>
    <w:p>
      <w:pPr>
        <w:spacing w:after="0" w:line="81" w:lineRule="exact"/>
        <w:rPr>
          <w:rFonts w:ascii="Arial" w:cs="Arial" w:eastAsia="Arial" w:hAnsi="Arial"/>
          <w:sz w:val="17"/>
          <w:szCs w:val="17"/>
          <w:color w:val="auto"/>
        </w:rPr>
      </w:pPr>
    </w:p>
    <w:p>
      <w:pPr>
        <w:ind w:left="960" w:right="100" w:hanging="533"/>
        <w:spacing w:after="0" w:line="259" w:lineRule="auto"/>
        <w:tabs>
          <w:tab w:leader="none" w:pos="9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the occurrence of any of the events specified in Section 5(a)(vii) (1) through (9) of the ISDA Master Agreement with respect to that Issuer.”</w:t>
      </w:r>
    </w:p>
    <w:p>
      <w:pPr>
        <w:spacing w:after="0" w:line="92" w:lineRule="exact"/>
        <w:rPr>
          <w:rFonts w:ascii="Arial" w:cs="Arial" w:eastAsia="Arial" w:hAnsi="Arial"/>
          <w:sz w:val="18"/>
          <w:szCs w:val="18"/>
          <w:color w:val="auto"/>
        </w:rPr>
      </w:pPr>
    </w:p>
    <w:p>
      <w:pPr>
        <w:ind w:left="960" w:hanging="533"/>
        <w:spacing w:after="0" w:line="284" w:lineRule="auto"/>
        <w:tabs>
          <w:tab w:leader="none" w:pos="960" w:val="left"/>
        </w:tabs>
        <w:numPr>
          <w:ilvl w:val="0"/>
          <w:numId w:val="415"/>
        </w:numPr>
        <w:rPr>
          <w:rFonts w:ascii="Arial" w:cs="Arial" w:eastAsia="Arial" w:hAnsi="Arial"/>
          <w:sz w:val="16"/>
          <w:szCs w:val="16"/>
          <w:color w:val="auto"/>
        </w:rPr>
      </w:pPr>
      <w:r>
        <w:rPr>
          <w:rFonts w:ascii="Arial" w:cs="Arial" w:eastAsia="Arial" w:hAnsi="Arial"/>
          <w:sz w:val="16"/>
          <w:szCs w:val="16"/>
          <w:color w:val="auto"/>
        </w:rPr>
        <w:t>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 the amount of the Hedging Shares or” in the penultimate sentence; “</w:t>
      </w:r>
      <w:r>
        <w:rPr>
          <w:rFonts w:ascii="Arial" w:cs="Arial" w:eastAsia="Arial" w:hAnsi="Arial"/>
          <w:sz w:val="16"/>
          <w:szCs w:val="16"/>
          <w:b w:val="1"/>
          <w:bCs w:val="1"/>
          <w:color w:val="auto"/>
        </w:rPr>
        <w:t>Lending Party</w:t>
      </w:r>
      <w:r>
        <w:rPr>
          <w:rFonts w:ascii="Arial" w:cs="Arial" w:eastAsia="Arial" w:hAnsi="Arial"/>
          <w:sz w:val="16"/>
          <w:szCs w:val="16"/>
          <w:color w:val="auto"/>
        </w:rPr>
        <w:t>” means a third party that is not Company or an affiliate of Company that Dealer considers to be an acceptable counterparty (acting in good faith and in a reasonable manner in light of (x) other transactions that Dealer (or its agent or affiliate) may have entered into with such party and</w:t>
      </w:r>
    </w:p>
    <w:p>
      <w:pPr>
        <w:spacing w:after="0" w:line="4" w:lineRule="exact"/>
        <w:rPr>
          <w:rFonts w:ascii="Arial" w:cs="Arial" w:eastAsia="Arial" w:hAnsi="Arial"/>
          <w:sz w:val="16"/>
          <w:szCs w:val="16"/>
          <w:color w:val="auto"/>
        </w:rPr>
      </w:pPr>
    </w:p>
    <w:p>
      <w:pPr>
        <w:ind w:left="960" w:right="20" w:firstLine="7"/>
        <w:spacing w:after="0" w:line="255" w:lineRule="auto"/>
        <w:tabs>
          <w:tab w:leader="none" w:pos="121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w:t>
      </w:r>
    </w:p>
    <w:p>
      <w:pPr>
        <w:spacing w:after="0" w:line="95" w:lineRule="exact"/>
        <w:rPr>
          <w:rFonts w:ascii="Arial" w:cs="Arial" w:eastAsia="Arial" w:hAnsi="Arial"/>
          <w:sz w:val="18"/>
          <w:szCs w:val="18"/>
          <w:color w:val="auto"/>
        </w:rPr>
      </w:pPr>
    </w:p>
    <w:p>
      <w:pPr>
        <w:ind w:left="960" w:hanging="533"/>
        <w:spacing w:after="0"/>
        <w:tabs>
          <w:tab w:leader="none" w:pos="9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w:t>
      </w:r>
    </w:p>
    <w:p>
      <w:pPr>
        <w:spacing w:after="0" w:line="130" w:lineRule="exact"/>
        <w:rPr>
          <w:rFonts w:ascii="Arial" w:cs="Arial" w:eastAsia="Arial" w:hAnsi="Arial"/>
          <w:sz w:val="18"/>
          <w:szCs w:val="18"/>
          <w:color w:val="auto"/>
        </w:rPr>
      </w:pPr>
    </w:p>
    <w:p>
      <w:pPr>
        <w:ind w:left="1400" w:hanging="433"/>
        <w:spacing w:after="0"/>
        <w:tabs>
          <w:tab w:leader="none" w:pos="140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adding the word “or” immediately before subsection “(B)” and deleting the comma at the end of subsection (A); and</w:t>
      </w:r>
    </w:p>
    <w:p>
      <w:pPr>
        <w:spacing w:after="0" w:line="153" w:lineRule="exact"/>
        <w:rPr>
          <w:rFonts w:ascii="Arial" w:cs="Arial" w:eastAsia="Arial" w:hAnsi="Arial"/>
          <w:sz w:val="16"/>
          <w:szCs w:val="16"/>
          <w:color w:val="auto"/>
        </w:rPr>
      </w:pPr>
    </w:p>
    <w:p>
      <w:pPr>
        <w:ind w:left="1400" w:right="20" w:hanging="433"/>
        <w:spacing w:after="0" w:line="287" w:lineRule="auto"/>
        <w:tabs>
          <w:tab w:leader="none" w:pos="140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in a commercially reasonable manner.” and (4) deleting clause</w:t>
      </w:r>
    </w:p>
    <w:p>
      <w:pPr>
        <w:spacing w:after="0" w:line="2"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(X) in the final sentence.</w:t>
      </w:r>
    </w:p>
    <w:p>
      <w:pPr>
        <w:spacing w:after="0" w:line="116" w:lineRule="exact"/>
        <w:rPr>
          <w:rFonts w:ascii="Arial" w:cs="Arial" w:eastAsia="Arial" w:hAnsi="Arial"/>
          <w:sz w:val="16"/>
          <w:szCs w:val="16"/>
          <w:color w:val="auto"/>
        </w:rPr>
      </w:pPr>
    </w:p>
    <w:p>
      <w:pPr>
        <w:ind w:left="960" w:hanging="533"/>
        <w:spacing w:after="0"/>
        <w:tabs>
          <w:tab w:leader="none" w:pos="9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Section 12.9(b)(vi) of the Equity Definitions is hereby amended by:</w:t>
      </w:r>
    </w:p>
    <w:p>
      <w:pPr>
        <w:spacing w:after="0" w:line="130" w:lineRule="exact"/>
        <w:rPr>
          <w:rFonts w:ascii="Arial" w:cs="Arial" w:eastAsia="Arial" w:hAnsi="Arial"/>
          <w:sz w:val="18"/>
          <w:szCs w:val="18"/>
          <w:color w:val="auto"/>
        </w:rPr>
      </w:pPr>
    </w:p>
    <w:p>
      <w:pPr>
        <w:ind w:left="1400" w:hanging="433"/>
        <w:spacing w:after="0"/>
        <w:tabs>
          <w:tab w:leader="none" w:pos="140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adding the word “or” immediately before subsection “(B)” and deleting the comma at the end of subsection (A); and</w:t>
      </w:r>
    </w:p>
    <w:p>
      <w:pPr>
        <w:spacing w:after="0" w:line="153" w:lineRule="exact"/>
        <w:rPr>
          <w:rFonts w:ascii="Arial" w:cs="Arial" w:eastAsia="Arial" w:hAnsi="Arial"/>
          <w:sz w:val="16"/>
          <w:szCs w:val="16"/>
          <w:color w:val="auto"/>
        </w:rPr>
      </w:pPr>
    </w:p>
    <w:p>
      <w:pPr>
        <w:ind w:left="1400" w:right="100" w:hanging="433"/>
        <w:spacing w:after="0" w:line="286" w:lineRule="auto"/>
        <w:tabs>
          <w:tab w:leader="none" w:pos="1400" w:val="left"/>
        </w:tabs>
        <w:numPr>
          <w:ilvl w:val="1"/>
          <w:numId w:val="417"/>
        </w:numPr>
        <w:rPr>
          <w:rFonts w:ascii="Arial" w:cs="Arial" w:eastAsia="Arial" w:hAnsi="Arial"/>
          <w:sz w:val="17"/>
          <w:szCs w:val="17"/>
          <w:color w:val="auto"/>
        </w:rPr>
      </w:pPr>
      <w:r>
        <w:rPr>
          <w:rFonts w:ascii="Arial" w:cs="Arial" w:eastAsia="Arial" w:hAnsi="Arial"/>
          <w:sz w:val="17"/>
          <w:szCs w:val="17"/>
          <w:color w:val="auto"/>
        </w:rPr>
        <w:t>(1) deleting subsection (C) in its entirety, (2) deleting the word “or” immediately preceding subsection (C) and (3) deleting the final sentence in its entirety and replacing it with the sentence “The Hedging Party will determine in good faith and in a commercially reasonable manner the Cancellation Amount payable by one party to the other.”</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00"/>
          </w:cols>
          <w:pgMar w:left="1440" w:top="274" w:right="459" w:bottom="1440" w:gutter="0" w:footer="0" w:header="0"/>
        </w:sectPr>
      </w:pPr>
    </w:p>
    <w:bookmarkStart w:id="333" w:name="page334"/>
    <w:bookmarkEnd w:id="333"/>
    <w:p>
      <w:pPr>
        <w:ind w:left="439" w:right="80" w:hanging="439"/>
        <w:spacing w:after="0" w:line="269" w:lineRule="auto"/>
        <w:tabs>
          <w:tab w:leader="none" w:pos="439" w:val="left"/>
        </w:tabs>
        <w:numPr>
          <w:ilvl w:val="0"/>
          <w:numId w:val="4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or, at the election of Dealer in its sole reasonable discretion, any portion of the Transaction, shall be deemed the sole Affected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Dealer so designates an Early Termination Date with respect to a portion of the Transaction, (a) a payment shall be made pursuant to Section 6 of the Agreement as if an Early Termination Date had been designated in respect of a Transaction having terms identical to the Transaction and a Number of Warrants equal to the number of Warrants included in the terminated portion of the Transaction, and (b) for the avoidance of doubt, the Transaction shall remain in full force and effect except that the Number of Warrants shall be reduced by the number of Warrants included in such terminated portion:</w:t>
      </w:r>
    </w:p>
    <w:p>
      <w:pPr>
        <w:spacing w:after="0" w:line="90" w:lineRule="exact"/>
        <w:rPr>
          <w:rFonts w:ascii="Arial" w:cs="Arial" w:eastAsia="Arial" w:hAnsi="Arial"/>
          <w:sz w:val="17"/>
          <w:szCs w:val="17"/>
          <w:color w:val="auto"/>
        </w:rPr>
      </w:pPr>
    </w:p>
    <w:p>
      <w:pPr>
        <w:ind w:left="979" w:hanging="533"/>
        <w:spacing w:after="0" w:line="283" w:lineRule="auto"/>
        <w:tabs>
          <w:tab w:leader="none" w:pos="979" w:val="left"/>
        </w:tabs>
        <w:numPr>
          <w:ilvl w:val="1"/>
          <w:numId w:val="418"/>
        </w:numPr>
        <w:rPr>
          <w:rFonts w:ascii="Arial" w:cs="Arial" w:eastAsia="Arial" w:hAnsi="Arial"/>
          <w:sz w:val="16"/>
          <w:szCs w:val="16"/>
          <w:color w:val="auto"/>
        </w:rPr>
      </w:pPr>
      <w:r>
        <w:rPr>
          <w:rFonts w:ascii="Arial" w:cs="Arial" w:eastAsia="Arial" w:hAnsi="Arial"/>
          <w:sz w:val="16"/>
          <w:szCs w:val="16"/>
          <w:color w:val="auto"/>
        </w:rPr>
        <w:t xml:space="preserve">A “person” or “group” within the meaning of Section 13(d) of the Exchange Act, other than Company, its direct or indirect wholly owned subsidiaries or its and their employee benefit plans, files a Schedule TO (or any successor schedule, form or report) or any schedule, form or report under the Exchange Act disclosing that such person or group has become the direct or indirect “beneficial owner,” as defined in Rule 13d-3 under the Exchange Act, of the Common Stock of Company representing more than 50% of the voting power of the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voting power of the Shares (or such common equity into which the Shares has been reclassified) directly or indirectly “beneficially owned,” as defined in Rule 13d-3 under the Exchange Act, by a Founder (as defined below) or “group” (that includes the Founders) will exclude (I) any Shares (or such common equity into which the Shares have been reclassified) directly or indirectly beneficially owned by the Founders on the date of the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relating to the Convertible Senior Notes due 202[__] (as originally issued by Counterparty, the “</w:t>
      </w:r>
      <w:r>
        <w:rPr>
          <w:rFonts w:ascii="Arial" w:cs="Arial" w:eastAsia="Arial" w:hAnsi="Arial"/>
          <w:sz w:val="16"/>
          <w:szCs w:val="16"/>
          <w:b w:val="1"/>
          <w:bCs w:val="1"/>
          <w:color w:val="auto"/>
        </w:rPr>
        <w:t>Convertible Notes</w:t>
      </w:r>
      <w:r>
        <w:rPr>
          <w:rFonts w:ascii="Arial" w:cs="Arial" w:eastAsia="Arial" w:hAnsi="Arial"/>
          <w:sz w:val="16"/>
          <w:szCs w:val="16"/>
          <w:color w:val="auto"/>
        </w:rPr>
        <w:t xml:space="preserve">”) and (II) any Shares (or such common equity into which the Shares has been reclassified) directly or indirectly beneficially owned by the Founders as a result of the acquisition by any of the Founders of equity grants (or the exercise or conversion thereof) outstanding on the date of the Indenture or subsequently granted, in each case, made under the Company’s equity incentive plans;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person or group shall be deemed to be the beneficial owner of any securities (i) tendered pursuant to a tender or exchange offer made by or on behalf of such “person” or “group” until such tendered securities are accepted for purchase or exchange under such offer or</w:t>
      </w:r>
    </w:p>
    <w:p>
      <w:pPr>
        <w:ind w:left="979" w:right="18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(ii) subject to a support, voting, tender or similar agreement, arrangement or understanding (with or without granting a proxy) entered into in connection with a Liquidation Event (as defined in the amended and restated certificate of incorporation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Liquidation Event was approved by a majority of the Independent Directors (as defined in the amended and restated certificate of incorporation of the Company) then in office until such Liquidation Event is consummated. As used herein, “</w:t>
      </w:r>
      <w:r>
        <w:rPr>
          <w:rFonts w:ascii="Arial" w:cs="Arial" w:eastAsia="Arial" w:hAnsi="Arial"/>
          <w:sz w:val="16"/>
          <w:szCs w:val="16"/>
          <w:b w:val="1"/>
          <w:bCs w:val="1"/>
          <w:color w:val="auto"/>
        </w:rPr>
        <w:t>Founder</w:t>
      </w:r>
      <w:r>
        <w:rPr>
          <w:rFonts w:ascii="Arial" w:cs="Arial" w:eastAsia="Arial" w:hAnsi="Arial"/>
          <w:sz w:val="16"/>
          <w:szCs w:val="16"/>
          <w:color w:val="auto"/>
        </w:rPr>
        <w:t>” shall mean each of (a) Andrew W. Houston, (b) any trust, individual retirement account, or business entity (including any corporation, limited liability company, partnership, foundation, or similar entity) for which Andrew W. Houston retains sole voting and dispositive power with respect to the Shares or Class B common stock held by such trust, individual retirement account, or business entity (including, without limitation, the Houston Remainder Trust dated 12/30/2010, the Andrew W. Houston Revocable Trust dated 9/7/2011, the Houston 2012 Irrevocable Children’s Trust dated 4/12/2012 and the Andrew Houston Revocable Trust u/a/d 9/7/2011), and the trustees, legal representatives, beneficiaries, and/or beneficial owners of such trust, individual retirement account, or business entity, and (c) the estate, heirs, and lineal descendants of Andrew W. Houston.</w:t>
      </w:r>
    </w:p>
    <w:p>
      <w:pPr>
        <w:spacing w:after="0" w:line="104"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1421" w:top="274" w:right="459" w:bottom="1440" w:gutter="0" w:footer="0" w:header="0"/>
        </w:sectPr>
      </w:pPr>
    </w:p>
    <w:bookmarkStart w:id="334" w:name="page335"/>
    <w:bookmarkEnd w:id="334"/>
    <w:p>
      <w:pPr>
        <w:ind w:left="960" w:hanging="533"/>
        <w:spacing w:after="0" w:line="285" w:lineRule="auto"/>
        <w:tabs>
          <w:tab w:leader="none" w:pos="960" w:val="left"/>
        </w:tabs>
        <w:numPr>
          <w:ilvl w:val="0"/>
          <w:numId w:val="4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consummation of (I) any recapitalization, reclassification, or change of the Shares (other than changes resulting from a subdivision or combination or a change in par value, or the reclassification of the Class B common stock into the Shares pursuant to the terms of the amended and restated certificate of incorporation of the Company or the reclassification of the Class C common stock into the Shares pursuant to the terms of the amended and restated certificate of incorporation of the Company, including, in each case, without limitation, any amendment to the amended and restated certificate of incorporation of the Company to remove references to the Shares, Class B common stock or Class C common stock and any inoperative provision related to such class of stock or multiple class structure in connection therewith) as a result of which the Shares would be converted into, or exchanged for, stock, other securities, or other property or assets; (II) any share exchange, consolidation or merger of the Company pursuant to which the Shares will be converted into cash, securities, or other property or assets; or (III) any sale, lease, or other transfer in one transaction or a series of transactions of all or substantially all of the consolidated assets of the Company and its subsidiaries, taken as a whole, to any person other than one of the Company’s direct or indirect wholly owned subsidiaries. Notwithstanding the foregoing, any transaction or transactions set forth in this clause (B) shall not constitute an Additional Termination Event if (y)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or (z) any merger of the Company is solely for the purpose of changing its jurisdiction of incorporation that results in a reclassification, conversion or exchange of outstanding shares of common stock solely into shares of common stock of the surviving entity.</w:t>
      </w:r>
    </w:p>
    <w:p>
      <w:pPr>
        <w:spacing w:after="0" w:line="76" w:lineRule="exact"/>
        <w:rPr>
          <w:rFonts w:ascii="Arial" w:cs="Arial" w:eastAsia="Arial" w:hAnsi="Arial"/>
          <w:sz w:val="16"/>
          <w:szCs w:val="16"/>
          <w:color w:val="auto"/>
        </w:rPr>
      </w:pPr>
    </w:p>
    <w:p>
      <w:pPr>
        <w:ind w:left="960" w:hanging="533"/>
        <w:spacing w:after="0"/>
        <w:tabs>
          <w:tab w:leader="none" w:pos="9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stockholders of Company approve any plan or proposal for the liquidation or dissolution of Company.</w:t>
      </w:r>
    </w:p>
    <w:p>
      <w:pPr>
        <w:spacing w:after="0" w:line="130" w:lineRule="exact"/>
        <w:rPr>
          <w:rFonts w:ascii="Arial" w:cs="Arial" w:eastAsia="Arial" w:hAnsi="Arial"/>
          <w:sz w:val="18"/>
          <w:szCs w:val="18"/>
          <w:color w:val="auto"/>
        </w:rPr>
      </w:pPr>
    </w:p>
    <w:p>
      <w:pPr>
        <w:ind w:left="960" w:right="200" w:hanging="533"/>
        <w:spacing w:after="0" w:line="277" w:lineRule="auto"/>
        <w:tabs>
          <w:tab w:leader="none" w:pos="9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Shares cease to be listed or quoted on any of The New York Stock Exchange, The NASDAQ Global Select Market or The NASDAQ Global Market (or any of their respective successors).</w:t>
      </w:r>
    </w:p>
    <w:p>
      <w:pPr>
        <w:spacing w:after="0" w:line="75" w:lineRule="exact"/>
        <w:rPr>
          <w:rFonts w:ascii="Arial" w:cs="Arial" w:eastAsia="Arial" w:hAnsi="Arial"/>
          <w:sz w:val="18"/>
          <w:szCs w:val="18"/>
          <w:color w:val="auto"/>
        </w:rPr>
      </w:pPr>
    </w:p>
    <w:p>
      <w:pPr>
        <w:ind w:left="960" w:right="120" w:hanging="533"/>
        <w:spacing w:after="0" w:line="269" w:lineRule="auto"/>
        <w:tabs>
          <w:tab w:leader="none" w:pos="96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Default by Company or any of its Significant Subsidiaries (as defined below) with respect to any mortgage, agreement or other instrument under which there may be outstanding, or by which there may be secured or evidenced, any indebtedness for money borrowed in excess of USD 75,000,000 (or its foreign currency equivalent) in the aggregate of the Company and/or any such subsidiary, whether such indebtedness now exists or shall hereafter be created (i) resulting in such indebtedness becoming or being declared due and payable or (ii) constituting a failure to pay the principal of any such indebtedness when due and payable at its stated maturity, upon required repurchase, upon declaration of acceleration or otherwise, and in the cases of clauses (i) and (ii), such acceleration shall not, after the expiration of any applicable grace period, have been rescinded or annulled or such failure to pay or default shall not have been cured or waived, or such indebtedness shall not have been paid or discharged, as the case may be, within 30 days after written notice to Company by the trustee or to the Company and the trustee by holders of at least 25% in aggregate principal amount of notes then outstanding in accordance with the Indenture.</w:t>
      </w:r>
    </w:p>
    <w:p>
      <w:pPr>
        <w:spacing w:after="0" w:line="1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960"/>
          </w:cols>
          <w:pgMar w:left="1440" w:top="274" w:right="499" w:bottom="1440" w:gutter="0" w:footer="0" w:header="0"/>
        </w:sectPr>
      </w:pPr>
    </w:p>
    <w:bookmarkStart w:id="335" w:name="page336"/>
    <w:bookmarkEnd w:id="335"/>
    <w:p>
      <w:pPr>
        <w:ind w:left="1980"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a subsidiary of the Company that meets the definition of “significant subsidiary” in Article 1, Rule 1-02(w) of Regulation S-X promulgated by the Securities and Exchange Commission (or any successor</w:t>
      </w:r>
    </w:p>
    <w:p>
      <w:pPr>
        <w:spacing w:after="0" w:line="1" w:lineRule="exact"/>
        <w:rPr>
          <w:sz w:val="20"/>
          <w:szCs w:val="20"/>
          <w:color w:val="auto"/>
        </w:rPr>
      </w:pPr>
    </w:p>
    <w:p>
      <w:pPr>
        <w:ind w:left="1980"/>
        <w:spacing w:after="0" w:line="268" w:lineRule="auto"/>
        <w:rPr>
          <w:sz w:val="20"/>
          <w:szCs w:val="20"/>
          <w:color w:val="auto"/>
        </w:rPr>
      </w:pPr>
      <w:r>
        <w:rPr>
          <w:rFonts w:ascii="Arial" w:cs="Arial" w:eastAsia="Arial" w:hAnsi="Arial"/>
          <w:sz w:val="17"/>
          <w:szCs w:val="17"/>
          <w:color w:val="auto"/>
        </w:rPr>
        <w:t xml:space="preserve">rule);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subsidiary that meets the criteria of clause (1)(iii) of the definition thereof but not clause (1)(i) or (1)(ii) thereof, in each case as such rule is in effect on the date hereof, then such subsidiary shall not be deemed to be a Significant Subsidiary unless the subsidiary’s income from continuing operations before income taxes, exclusive of amounts attributable to any non-controlling interests, for the last completed fiscal year prior to the date of such determination exceeds $35,000,000 (with such amount calculated pursuant to Rule 1-02(w) as in effect on the date hereof). For the avoidance of doubt, for purposes of this definition, to the extent any such subsidiary would not be deemed to be a “significant subsidiary” under the relevant definition set forth in Rule 1-02(w) of Regulation S-X (or any successor rule) as in effect on the relevant date of determination, such Subsidiary shall not be deemed to be a “Significant Subsidiary” under the Indenture irrespective of whether such subsidiary would otherwise be deemed to be a “Significant Subsidiary” after giving effect to the proviso in the immediately preceding sentence.</w:t>
      </w:r>
    </w:p>
    <w:p>
      <w:pPr>
        <w:spacing w:after="0" w:line="84" w:lineRule="exact"/>
        <w:rPr>
          <w:sz w:val="20"/>
          <w:szCs w:val="20"/>
          <w:color w:val="auto"/>
        </w:rPr>
      </w:pPr>
    </w:p>
    <w:p>
      <w:pPr>
        <w:ind w:left="1960" w:right="20" w:hanging="533"/>
        <w:spacing w:after="0" w:line="269" w:lineRule="auto"/>
        <w:tabs>
          <w:tab w:leader="none" w:pos="19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Dealer reasonably determines, based on the advice of counsel, that it is advisable to terminate a portion of the Transaction so that Dealer’s related commercially reasonable hedging activities will comply with applicable securities laws, rules or regulations or related policies and procedures of Dealer generally applicable to corporate equity derivatives transactions (whether or not such requirements, policies or procedures are imposed by law or have been voluntarily adopted by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requirements, policies and procedures relate to regulatory issues and are generally applicable in similar situations and are applied in a consistent manner to similar transactions)), or Dealer, despite using commercially reasonable efforts, is unable or reasonably determines that it is impractical or illegal to effect a commercially reasonable hedge with respect to this Transaction in the public market without registration under the Securities Act or as a result of any legal, regulatory or self-regulatory requirements or related policies and procedures (whether or not such requirements, policies or procedures are imposed by law or have been voluntarily adopted by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requirements, policies and procedures relate to regulatory issues and are generally applicable in similar situations and are applied in a consistent manner to similar transactions)).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Notwithstanding the foregoing, any transaction or transactions set forth in this clause (A) or clause (B) shall not constitute an Additional Termination Event if (y) at least 90% of the consideration received or to be received by holders of the Shares, excluding cash payments for fractional Shares or pursuant to statutory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excluding cash payments for fractional shares or pursuant to statutory dissenters’ appraisal rights.</w:t>
      </w:r>
    </w:p>
    <w:p>
      <w:pPr>
        <w:spacing w:after="0" w:line="98" w:lineRule="exact"/>
        <w:rPr>
          <w:sz w:val="20"/>
          <w:szCs w:val="20"/>
          <w:color w:val="auto"/>
        </w:rPr>
      </w:pPr>
    </w:p>
    <w:p>
      <w:pPr>
        <w:ind w:left="1420" w:right="100" w:hanging="439"/>
        <w:spacing w:after="0" w:line="257" w:lineRule="auto"/>
        <w:tabs>
          <w:tab w:leader="none" w:pos="14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portions thereof) being the Affected Transaction and Company being the sole Affected Party) shall be deemed to occur, and, in lieu of Sections 12.7, 12.8 and 12.9 of the Equity Definitions, Section 6 of the Agreement shall apply to such Affected Transaction.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36" w:name="page337"/>
    <w:bookmarkEnd w:id="336"/>
    <w:p>
      <w:pPr>
        <w:ind w:left="424" w:right="260" w:hanging="424"/>
        <w:spacing w:after="0" w:line="259" w:lineRule="auto"/>
        <w:tabs>
          <w:tab w:leader="none" w:pos="424" w:val="left"/>
        </w:tabs>
        <w:numPr>
          <w:ilvl w:val="0"/>
          <w:numId w:val="422"/>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Collateral or Setoff</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provision of the Agreement or any other agreement between the parties to the contrary,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Company hereunder are not secured by any collateral. Obligations under the Transaction shall not be set off by Company against any other obligations of the parties, whether arising under the Agreement, this Confirmation, under any other agreement between the parties hereto, by operation of law or otherwise.</w:t>
      </w:r>
    </w:p>
    <w:p>
      <w:pPr>
        <w:spacing w:after="0" w:line="92" w:lineRule="exact"/>
        <w:rPr>
          <w:rFonts w:ascii="Arial" w:cs="Arial" w:eastAsia="Arial" w:hAnsi="Arial"/>
          <w:sz w:val="18"/>
          <w:szCs w:val="18"/>
          <w:color w:val="auto"/>
        </w:rPr>
      </w:pPr>
    </w:p>
    <w:p>
      <w:pPr>
        <w:ind w:left="424" w:right="20" w:hanging="424"/>
        <w:spacing w:after="0" w:line="254" w:lineRule="auto"/>
        <w:tabs>
          <w:tab w:leader="none" w:pos="424" w:val="left"/>
        </w:tabs>
        <w:numPr>
          <w:ilvl w:val="0"/>
          <w:numId w:val="422"/>
        </w:numPr>
        <w:rPr>
          <w:rFonts w:ascii="Arial" w:cs="Arial" w:eastAsia="Arial" w:hAnsi="Arial"/>
          <w:sz w:val="18"/>
          <w:szCs w:val="18"/>
          <w:color w:val="auto"/>
        </w:rPr>
      </w:pPr>
      <w:r>
        <w:rPr>
          <w:rFonts w:ascii="Arial" w:cs="Arial" w:eastAsia="Arial" w:hAnsi="Arial"/>
          <w:sz w:val="18"/>
          <w:szCs w:val="18"/>
          <w:i w:val="1"/>
          <w:iCs w:val="1"/>
          <w:u w:val="single" w:color="auto"/>
          <w:color w:val="auto"/>
        </w:rPr>
        <w:t>Alternative Calculations and Payment on Early Termination and on Certain Extraordinary Events</w:t>
      </w:r>
      <w:r>
        <w:rPr>
          <w:rFonts w:ascii="Arial" w:cs="Arial" w:eastAsia="Arial" w:hAnsi="Arial"/>
          <w:sz w:val="18"/>
          <w:szCs w:val="18"/>
          <w:color w:val="auto"/>
        </w:rPr>
        <w:t>. If, in respect of the Transaction, an amount is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by Company to Dealer pursuant to Section 6(d)(ii) of the Agreement (any such amount, a “</w:t>
      </w:r>
      <w:r>
        <w:rPr>
          <w:rFonts w:ascii="Arial" w:cs="Arial" w:eastAsia="Arial" w:hAnsi="Arial"/>
          <w:sz w:val="18"/>
          <w:szCs w:val="18"/>
          <w:b w:val="1"/>
          <w:bCs w:val="1"/>
          <w:color w:val="auto"/>
        </w:rPr>
        <w:t>Payment Obligation</w:t>
      </w:r>
      <w:r>
        <w:rPr>
          <w:rFonts w:ascii="Arial" w:cs="Arial" w:eastAsia="Arial" w:hAnsi="Arial"/>
          <w:sz w:val="18"/>
          <w:szCs w:val="18"/>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8I(c) as of the date of such election and (c) Dealer agrees, in its commercially reasonable discretion, to such election, in which case the provisions of Section 6(d)(ii) of the Agreement shall apply.</w:t>
      </w:r>
    </w:p>
    <w:p>
      <w:pPr>
        <w:spacing w:after="0" w:line="219" w:lineRule="exact"/>
        <w:rPr>
          <w:sz w:val="20"/>
          <w:szCs w:val="20"/>
          <w:color w:val="auto"/>
        </w:rPr>
      </w:pPr>
    </w:p>
    <w:tbl>
      <w:tblPr>
        <w:tblLayout w:type="fixed"/>
        <w:tblInd w:w="724" w:type="dxa"/>
        <w:tblCellMar>
          <w:top w:w="0" w:type="dxa"/>
          <w:left w:w="0" w:type="dxa"/>
          <w:bottom w:w="0" w:type="dxa"/>
          <w:right w:w="0" w:type="dxa"/>
        </w:tblCellMar>
      </w:tblP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Share Termination Alternative</w:t>
            </w:r>
          </w:p>
        </w:tc>
        <w:tc>
          <w:tcPr>
            <w:tcW w:w="6840" w:type="dxa"/>
            <w:vAlign w:val="bottom"/>
          </w:tcPr>
          <w:p>
            <w:pPr>
              <w:ind w:left="1580"/>
              <w:spacing w:after="0"/>
              <w:rPr>
                <w:sz w:val="20"/>
                <w:szCs w:val="20"/>
                <w:color w:val="auto"/>
              </w:rPr>
            </w:pPr>
            <w:r>
              <w:rPr>
                <w:rFonts w:ascii="Arial" w:cs="Arial" w:eastAsia="Arial" w:hAnsi="Arial"/>
                <w:sz w:val="18"/>
                <w:szCs w:val="18"/>
                <w:color w:val="auto"/>
                <w:w w:val="96"/>
              </w:rPr>
              <w:t>If applicable, Company shall deliver to Dealer the Share Termination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rPr>
              <w:t>Delivery Property on the date (the “</w:t>
            </w:r>
            <w:r>
              <w:rPr>
                <w:rFonts w:ascii="Arial" w:cs="Arial" w:eastAsia="Arial" w:hAnsi="Arial"/>
                <w:sz w:val="18"/>
                <w:szCs w:val="18"/>
                <w:b w:val="1"/>
                <w:bCs w:val="1"/>
                <w:color w:val="auto"/>
              </w:rPr>
              <w:t>Share Termination Payment</w:t>
            </w:r>
          </w:p>
        </w:tc>
        <w:tc>
          <w:tcPr>
            <w:tcW w:w="0" w:type="dxa"/>
            <w:vAlign w:val="bottom"/>
          </w:tcPr>
          <w:p>
            <w:pPr>
              <w:spacing w:after="0"/>
              <w:rPr>
                <w:sz w:val="1"/>
                <w:szCs w:val="1"/>
                <w:color w:val="auto"/>
              </w:rPr>
            </w:pPr>
          </w:p>
        </w:tc>
      </w:tr>
      <w:tr>
        <w:trPr>
          <w:trHeight w:val="220"/>
        </w:trPr>
        <w:tc>
          <w:tcPr>
            <w:tcW w:w="3440" w:type="dxa"/>
            <w:vAlign w:val="bottom"/>
          </w:tcPr>
          <w:p>
            <w:pPr>
              <w:spacing w:after="0"/>
              <w:rPr>
                <w:sz w:val="19"/>
                <w:szCs w:val="19"/>
                <w:color w:val="auto"/>
              </w:rPr>
            </w:pPr>
          </w:p>
        </w:tc>
        <w:tc>
          <w:tcPr>
            <w:tcW w:w="6840" w:type="dxa"/>
            <w:vAlign w:val="bottom"/>
          </w:tcPr>
          <w:p>
            <w:pPr>
              <w:ind w:left="158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on which the Payment Obligation would otherwise be due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4"/>
              </w:rPr>
              <w:t>pursuant to Section 6(d)(ii) of the Agreement, subject to Section 9(j)(i)</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6"/>
              </w:rPr>
              <w:t>below, in satisfaction, subject to Section 9(j)(ii) below, of the relevant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1"/>
              </w:rPr>
              <w:t>Payment Obligation, in the manner reasonably requested by Dealer free</w:t>
            </w:r>
          </w:p>
        </w:tc>
        <w:tc>
          <w:tcPr>
            <w:tcW w:w="0" w:type="dxa"/>
            <w:vAlign w:val="bottom"/>
          </w:tcPr>
          <w:p>
            <w:pPr>
              <w:spacing w:after="0"/>
              <w:rPr>
                <w:sz w:val="1"/>
                <w:szCs w:val="1"/>
                <w:color w:val="auto"/>
              </w:rPr>
            </w:pPr>
          </w:p>
        </w:tc>
      </w:tr>
      <w:tr>
        <w:trPr>
          <w:trHeight w:val="230"/>
        </w:trPr>
        <w:tc>
          <w:tcPr>
            <w:tcW w:w="3440" w:type="dxa"/>
            <w:vAlign w:val="bottom"/>
            <w:vMerge w:val="restart"/>
          </w:tcPr>
          <w:p>
            <w:pPr>
              <w:spacing w:after="0"/>
              <w:rPr>
                <w:sz w:val="20"/>
                <w:szCs w:val="20"/>
                <w:color w:val="auto"/>
              </w:rPr>
            </w:pPr>
            <w:r>
              <w:rPr>
                <w:rFonts w:ascii="Arial" w:cs="Arial" w:eastAsia="Arial" w:hAnsi="Arial"/>
                <w:sz w:val="18"/>
                <w:szCs w:val="18"/>
                <w:color w:val="auto"/>
              </w:rPr>
              <w:t>Share Termination Delivery</w:t>
            </w:r>
          </w:p>
        </w:tc>
        <w:tc>
          <w:tcPr>
            <w:tcW w:w="6840" w:type="dxa"/>
            <w:vAlign w:val="bottom"/>
          </w:tcPr>
          <w:p>
            <w:pPr>
              <w:ind w:left="1580"/>
              <w:spacing w:after="0"/>
              <w:rPr>
                <w:sz w:val="20"/>
                <w:szCs w:val="20"/>
                <w:color w:val="auto"/>
              </w:rPr>
            </w:pPr>
            <w:r>
              <w:rPr>
                <w:rFonts w:ascii="Arial" w:cs="Arial" w:eastAsia="Arial" w:hAnsi="Arial"/>
                <w:sz w:val="18"/>
                <w:szCs w:val="18"/>
                <w:color w:val="auto"/>
              </w:rPr>
              <w:t>of payment.</w:t>
            </w:r>
          </w:p>
        </w:tc>
        <w:tc>
          <w:tcPr>
            <w:tcW w:w="0" w:type="dxa"/>
            <w:vAlign w:val="bottom"/>
          </w:tcPr>
          <w:p>
            <w:pPr>
              <w:spacing w:after="0"/>
              <w:rPr>
                <w:sz w:val="1"/>
                <w:szCs w:val="1"/>
                <w:color w:val="auto"/>
              </w:rPr>
            </w:pPr>
          </w:p>
        </w:tc>
      </w:tr>
      <w:tr>
        <w:trPr>
          <w:trHeight w:val="202"/>
        </w:trPr>
        <w:tc>
          <w:tcPr>
            <w:tcW w:w="3440" w:type="dxa"/>
            <w:vAlign w:val="bottom"/>
            <w:vMerge w:val="continue"/>
          </w:tcPr>
          <w:p>
            <w:pPr>
              <w:spacing w:after="0"/>
              <w:rPr>
                <w:sz w:val="17"/>
                <w:szCs w:val="17"/>
                <w:color w:val="auto"/>
              </w:rPr>
            </w:pPr>
          </w:p>
        </w:tc>
        <w:tc>
          <w:tcPr>
            <w:tcW w:w="6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Property:</w:t>
            </w:r>
          </w:p>
        </w:tc>
        <w:tc>
          <w:tcPr>
            <w:tcW w:w="6840" w:type="dxa"/>
            <w:vAlign w:val="bottom"/>
          </w:tcPr>
          <w:p>
            <w:pPr>
              <w:ind w:left="1580"/>
              <w:spacing w:after="0"/>
              <w:rPr>
                <w:sz w:val="20"/>
                <w:szCs w:val="20"/>
                <w:color w:val="auto"/>
              </w:rPr>
            </w:pPr>
            <w:r>
              <w:rPr>
                <w:rFonts w:ascii="Arial" w:cs="Arial" w:eastAsia="Arial" w:hAnsi="Arial"/>
                <w:sz w:val="18"/>
                <w:szCs w:val="18"/>
                <w:color w:val="auto"/>
                <w:w w:val="97"/>
              </w:rPr>
              <w:t>A number of Share Termination Delivery Units, as calculated by the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3"/>
              </w:rPr>
              <w:t xml:space="preserve">Calculation Agent, equal to the relevant Payment Obligation </w:t>
            </w:r>
            <w:r>
              <w:rPr>
                <w:rFonts w:ascii="Arial" w:cs="Arial" w:eastAsia="Arial" w:hAnsi="Arial"/>
                <w:sz w:val="18"/>
                <w:szCs w:val="18"/>
                <w:i w:val="1"/>
                <w:iCs w:val="1"/>
                <w:color w:val="auto"/>
                <w:w w:val="93"/>
              </w:rPr>
              <w:t>divided by</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1"/>
              </w:rPr>
              <w:t>the Share Termination Unit Price. The Calculation Agent shall adjust the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rPr>
              <w:t>amount of Share Termination Delivery Property by replacing any</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4"/>
              </w:rPr>
              <w:t>fractional portion of a security therein with an amount of cash equal to</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89"/>
              </w:rPr>
              <w:t>the value of such fractional security based on the values used to calculate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4"/>
              </w:rPr>
              <w:t>the Share Termination Unit Price (without giving effect to any discount</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rPr>
              <w:t>pursuant to Section 9(j)(i)).</w:t>
            </w:r>
          </w:p>
        </w:tc>
        <w:tc>
          <w:tcPr>
            <w:tcW w:w="0" w:type="dxa"/>
            <w:vAlign w:val="bottom"/>
          </w:tcPr>
          <w:p>
            <w:pPr>
              <w:spacing w:after="0"/>
              <w:rPr>
                <w:sz w:val="1"/>
                <w:szCs w:val="1"/>
                <w:color w:val="auto"/>
              </w:rPr>
            </w:pPr>
          </w:p>
        </w:tc>
      </w:tr>
      <w:tr>
        <w:trPr>
          <w:trHeight w:val="310"/>
        </w:trPr>
        <w:tc>
          <w:tcPr>
            <w:tcW w:w="3440" w:type="dxa"/>
            <w:vAlign w:val="bottom"/>
          </w:tcPr>
          <w:p>
            <w:pPr>
              <w:spacing w:after="0"/>
              <w:rPr>
                <w:sz w:val="20"/>
                <w:szCs w:val="20"/>
                <w:color w:val="auto"/>
              </w:rPr>
            </w:pPr>
            <w:r>
              <w:rPr>
                <w:rFonts w:ascii="Arial" w:cs="Arial" w:eastAsia="Arial" w:hAnsi="Arial"/>
                <w:sz w:val="18"/>
                <w:szCs w:val="18"/>
                <w:color w:val="auto"/>
              </w:rPr>
              <w:t>Share Termination Unit Price:</w:t>
            </w:r>
          </w:p>
        </w:tc>
        <w:tc>
          <w:tcPr>
            <w:tcW w:w="6840" w:type="dxa"/>
            <w:vAlign w:val="bottom"/>
          </w:tcPr>
          <w:p>
            <w:pPr>
              <w:ind w:left="1580"/>
              <w:spacing w:after="0"/>
              <w:rPr>
                <w:sz w:val="20"/>
                <w:szCs w:val="20"/>
                <w:color w:val="auto"/>
              </w:rPr>
            </w:pPr>
            <w:r>
              <w:rPr>
                <w:rFonts w:ascii="Arial" w:cs="Arial" w:eastAsia="Arial" w:hAnsi="Arial"/>
                <w:sz w:val="18"/>
                <w:szCs w:val="18"/>
                <w:color w:val="auto"/>
                <w:w w:val="92"/>
              </w:rPr>
              <w:t>The value of property contained in one Share Termination Delivery Unit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0"/>
              </w:rPr>
              <w:t>on the date such Share Termination Delivery Units are to be delivered as</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3"/>
              </w:rPr>
              <w:t>Share Termination Delivery Property, as determined by the Calculation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0"/>
              </w:rPr>
              <w:t>Agent in its discretion by commercially reasonable means. In the case of</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rPr>
              <w:t>a Private Placement of Share Termination Delivery Units that are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9"/>
              </w:rPr>
              <w:t>Restricted Shares (as defined below), as set forth in Section 9(j)(i)</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8"/>
              </w:rPr>
              <w:t>below, the Share Termination Unit Price shall be determined by the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1"/>
              </w:rPr>
              <w:t>discounted price applicable to such Share Termination Delivery Units. In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w w:val="97"/>
              </w:rPr>
              <w:t>the case of a Registration Settlement of Share Termination Delivery</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rPr>
              <w:t>Units that are Restricted Shares (as defined below) as set forth in</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6840" w:type="dxa"/>
            <w:vAlign w:val="bottom"/>
          </w:tcPr>
          <w:p>
            <w:pPr>
              <w:ind w:left="1580"/>
              <w:spacing w:after="0"/>
              <w:rPr>
                <w:sz w:val="20"/>
                <w:szCs w:val="20"/>
                <w:color w:val="auto"/>
              </w:rPr>
            </w:pPr>
            <w:r>
              <w:rPr>
                <w:rFonts w:ascii="Arial" w:cs="Arial" w:eastAsia="Arial" w:hAnsi="Arial"/>
                <w:sz w:val="18"/>
                <w:szCs w:val="18"/>
                <w:color w:val="auto"/>
              </w:rPr>
              <w:t>Section 9(j)(ii) below, notwithstanding the foregoing, the</w:t>
            </w:r>
          </w:p>
        </w:tc>
        <w:tc>
          <w:tcPr>
            <w:tcW w:w="0" w:type="dxa"/>
            <w:vAlign w:val="bottom"/>
          </w:tcPr>
          <w:p>
            <w:pPr>
              <w:spacing w:after="0"/>
              <w:rPr>
                <w:sz w:val="1"/>
                <w:szCs w:val="1"/>
                <w:color w:val="auto"/>
              </w:rPr>
            </w:pPr>
          </w:p>
        </w:tc>
      </w:tr>
      <w:tr>
        <w:trPr>
          <w:trHeight w:val="365"/>
        </w:trPr>
        <w:tc>
          <w:tcPr>
            <w:tcW w:w="3440" w:type="dxa"/>
            <w:vAlign w:val="bottom"/>
          </w:tcPr>
          <w:p>
            <w:pPr>
              <w:spacing w:after="0"/>
              <w:rPr>
                <w:sz w:val="24"/>
                <w:szCs w:val="24"/>
                <w:color w:val="auto"/>
              </w:rPr>
            </w:pPr>
          </w:p>
        </w:tc>
        <w:tc>
          <w:tcPr>
            <w:tcW w:w="6840" w:type="dxa"/>
            <w:vAlign w:val="bottom"/>
          </w:tcPr>
          <w:p>
            <w:pPr>
              <w:ind w:left="1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004"/>
          </w:cols>
          <w:pgMar w:left="436" w:top="274" w:right="459" w:bottom="1440" w:gutter="0" w:footer="0" w:header="0"/>
        </w:sectPr>
      </w:pPr>
    </w:p>
    <w:bookmarkStart w:id="337" w:name="page338"/>
    <w:bookmarkEnd w:id="337"/>
    <w:p>
      <w:pPr>
        <w:ind w:left="53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 Termination Unit Price shall be the Settlement Price on the Merger</w:t>
      </w:r>
    </w:p>
    <w:p>
      <w:pPr>
        <w:spacing w:after="0" w:line="4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Date, Tender Offer Date, Announcement Date (in the case of a</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Nationalization, Insolvency or Delisting), Early Termination Date or date</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of cancellation, as applicable. The Calculation Agent shall notify</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Company of the Share Termination Unit Price at the time of notification</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of such Payment Obligation to Company or, if applicable, at the time the</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discounted price applicable to the relevant Share Termination Units is</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determined pursuant to Section 9(j)(i).</w:t>
      </w:r>
    </w:p>
    <w:p>
      <w:pPr>
        <w:sectPr>
          <w:pgSz w:w="11900" w:h="16838" w:orient="portrait"/>
          <w:cols w:equalWidth="0" w:num="1">
            <w:col w:w="10580"/>
          </w:cols>
          <w:pgMar w:left="860" w:top="274" w:right="459" w:bottom="1440" w:gutter="0" w:footer="0" w:header="0"/>
        </w:sectPr>
      </w:pPr>
    </w:p>
    <w:p>
      <w:pPr>
        <w:spacing w:after="0" w:line="1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One Share or, if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6"/>
          <w:szCs w:val="16"/>
          <w:b w:val="1"/>
          <w:bCs w:val="1"/>
          <w:color w:val="auto"/>
        </w:rPr>
        <w:t>Exchange Property</w:t>
      </w:r>
      <w:r>
        <w:rPr>
          <w:rFonts w:ascii="Arial" w:cs="Arial" w:eastAsia="Arial" w:hAnsi="Arial"/>
          <w:sz w:val="16"/>
          <w:szCs w:val="16"/>
          <w:color w:val="auto"/>
        </w:rPr>
        <w:t>”), a unit consisting of the type and amount of Exchange Property received by a holder of one Share (without consideration of any requirement to pay cash or other consideration in lieu of fractional amounts of any securities) in such Nationalization, Insolvency or Merger Event. If such Nationalization, Insolvency or Merger Event involves a choice of Exchange Property to be received by holders, such holder shall be deemed to have elected to receive the maximum possible amount of cash.</w:t>
      </w:r>
    </w:p>
    <w:p>
      <w:pPr>
        <w:spacing w:after="0" w:line="64" w:lineRule="exact"/>
        <w:rPr>
          <w:sz w:val="20"/>
          <w:szCs w:val="20"/>
          <w:color w:val="auto"/>
        </w:rPr>
      </w:pPr>
    </w:p>
    <w:p>
      <w:pPr>
        <w:sectPr>
          <w:pgSz w:w="11900" w:h="16838" w:orient="portrait"/>
          <w:cols w:equalWidth="0" w:num="2">
            <w:col w:w="4600" w:space="720"/>
            <w:col w:w="5260"/>
          </w:cols>
          <w:pgMar w:left="860" w:top="274" w:right="4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Inapplicable</w:t>
      </w:r>
    </w:p>
    <w:p>
      <w:pPr>
        <w:spacing w:after="0" w:line="140" w:lineRule="exact"/>
        <w:rPr>
          <w:sz w:val="20"/>
          <w:szCs w:val="20"/>
          <w:color w:val="auto"/>
        </w:rPr>
      </w:pPr>
    </w:p>
    <w:p>
      <w:pPr>
        <w:sectPr>
          <w:pgSz w:w="11900" w:h="16838" w:orient="portrait"/>
          <w:cols w:equalWidth="0" w:num="2">
            <w:col w:w="4600" w:space="720"/>
            <w:col w:w="5260"/>
          </w:cols>
          <w:pgMar w:left="860" w:top="274" w:right="4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If Share Termination Alternative is applicable, the provisions of Sections 9.8, 9.9, 9.11 and 9.12 (as modified above) of the Equity Definitions will be applicable as if Physical Settlement applied to the Transaction and the provisions set forth opposite the caption “Representation and Agreement” in Section 2 will be applicable.</w:t>
      </w:r>
    </w:p>
    <w:p>
      <w:pPr>
        <w:spacing w:after="0" w:line="93" w:lineRule="exact"/>
        <w:rPr>
          <w:sz w:val="20"/>
          <w:szCs w:val="20"/>
          <w:color w:val="auto"/>
        </w:rPr>
      </w:pPr>
    </w:p>
    <w:p>
      <w:pPr>
        <w:sectPr>
          <w:pgSz w:w="11900" w:h="16838" w:orient="portrait"/>
          <w:cols w:equalWidth="0" w:num="2">
            <w:col w:w="4600" w:space="720"/>
            <w:col w:w="5260"/>
          </w:cols>
          <w:pgMar w:left="860" w:top="274" w:right="459" w:bottom="1440" w:gutter="0" w:footer="0" w:header="0"/>
          <w:type w:val="continuous"/>
        </w:sectPr>
      </w:pPr>
    </w:p>
    <w:p>
      <w:pPr>
        <w:ind w:left="540" w:hanging="532"/>
        <w:spacing w:after="0" w:line="267" w:lineRule="auto"/>
        <w:tabs>
          <w:tab w:leader="none" w:pos="540" w:val="left"/>
        </w:tabs>
        <w:numPr>
          <w:ilvl w:val="0"/>
          <w:numId w:val="423"/>
        </w:numPr>
        <w:rPr>
          <w:rFonts w:ascii="Arial" w:cs="Arial" w:eastAsia="Arial" w:hAnsi="Arial"/>
          <w:sz w:val="17"/>
          <w:szCs w:val="17"/>
          <w:color w:val="auto"/>
        </w:rPr>
      </w:pPr>
      <w:r>
        <w:rPr>
          <w:rFonts w:ascii="Arial" w:cs="Arial" w:eastAsia="Arial" w:hAnsi="Arial"/>
          <w:sz w:val="17"/>
          <w:szCs w:val="17"/>
          <w:i w:val="1"/>
          <w:iCs w:val="1"/>
          <w:u w:val="single" w:color="auto"/>
          <w:color w:val="auto"/>
        </w:rPr>
        <w:t>Registration/Private Placement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If, in the reasonable opinion of Dealer, based on the advice of counsel, following any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or Share Termination Delivery Property to Dealer hereunder, such Shares or Share Termination Delivery Property would be in the hands of Dealer subject to any applicable restrictions with respect to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(such Shares or Share Termination Delivery Property, “</w:t>
      </w:r>
      <w:r>
        <w:rPr>
          <w:rFonts w:ascii="Arial" w:cs="Arial" w:eastAsia="Arial" w:hAnsi="Arial"/>
          <w:sz w:val="17"/>
          <w:szCs w:val="17"/>
          <w:b w:val="1"/>
          <w:bCs w:val="1"/>
          <w:color w:val="auto"/>
        </w:rPr>
        <w:t>Restricted Shares</w:t>
      </w:r>
      <w:r>
        <w:rPr>
          <w:rFonts w:ascii="Arial" w:cs="Arial" w:eastAsia="Arial" w:hAnsi="Arial"/>
          <w:sz w:val="17"/>
          <w:szCs w:val="17"/>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commercially reasonable adjustments to settlement terms and provisions under this Confirmation to reflect a single Private Placement or Registration Settlement for such aggregate Restricted Shares delivered hereunder. For the avoidance of doubt, these adjustments will only be commercially reasonable in nature (such as to consider changes in volatility, expected dividends, stock loan rate or liquidity relevant to the Shares and the ability to maintain a commercially reasonable hedge position in the Shares) and will not impact Company’s unilateral right to settle in Shares.</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60" w:top="274" w:right="459" w:bottom="1440" w:gutter="0" w:footer="0" w:header="0"/>
          <w:type w:val="continuous"/>
        </w:sectPr>
      </w:pPr>
    </w:p>
    <w:bookmarkStart w:id="338" w:name="page339"/>
    <w:bookmarkEnd w:id="338"/>
    <w:p>
      <w:pPr>
        <w:ind w:left="439" w:hanging="439"/>
        <w:spacing w:after="0" w:line="284" w:lineRule="auto"/>
        <w:tabs>
          <w:tab w:leader="none" w:pos="439" w:val="left"/>
        </w:tabs>
        <w:numPr>
          <w:ilvl w:val="0"/>
          <w:numId w:val="4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Company elects to settle the Transaction pursuant to this clause (i) (a “</w:t>
      </w:r>
      <w:r>
        <w:rPr>
          <w:rFonts w:ascii="Arial" w:cs="Arial" w:eastAsia="Arial" w:hAnsi="Arial"/>
          <w:sz w:val="16"/>
          <w:szCs w:val="16"/>
          <w:b w:val="1"/>
          <w:bCs w:val="1"/>
          <w:color w:val="auto"/>
        </w:rPr>
        <w:t>Private Placement Settlement</w:t>
      </w:r>
      <w:r>
        <w:rPr>
          <w:rFonts w:ascii="Arial" w:cs="Arial" w:eastAsia="Arial" w:hAnsi="Arial"/>
          <w:sz w:val="16"/>
          <w:szCs w:val="16"/>
          <w:color w:val="auto"/>
        </w:rPr>
        <w:t xml:space="preserve">”), then delivery of Restricted Shares by Company shall be effected in customary private placement procedures with respect to such Restricted Shares commercially reasonably acceptable to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for such Restricted Shares shall include such customary representations, covenants, blue sky and other governmental filings and/or registrations, indemnities to Dealer, due diligence rights (for Dealer or any designated buyer of the Restricted Shares by Dealer), opinions and certificates, and such other documentation, in each case as is customary for private placement agreements of companies of comparable size, maturity and line of business, all commercially reasonably acceptable to Dealer. In the case of a Private Placement Settlement, Dealer shall determine the appropriate discount to the Share Termination Unit Price (in the case of settlement of Share Termination Delivery Units pursuant to Section 9(i) above) or any Settlement Price (in the case of settlement of Shares pursuant to Section 2 above) applicable to such Restricted Shares in a commercially reasonable manner and appropriately adjust the number of such Restricted Shares to be delivered to Dealer hereunder, which discount shall only take into account the illiquidity resulting from the fact that the Restricted Shares will not be registered for resale and any commercially reasonable fees and expenses of Dealer (and any affiliate thereof) in connection with such resale.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9(i) above) or on the Settlement Date for such Restricted Shares (in the case of settlement in Shares pursuant to Section 2 above).</w:t>
      </w:r>
    </w:p>
    <w:p>
      <w:pPr>
        <w:spacing w:after="0" w:line="301" w:lineRule="exact"/>
        <w:rPr>
          <w:rFonts w:ascii="Arial" w:cs="Arial" w:eastAsia="Arial" w:hAnsi="Arial"/>
          <w:sz w:val="16"/>
          <w:szCs w:val="16"/>
          <w:color w:val="auto"/>
        </w:rPr>
      </w:pPr>
    </w:p>
    <w:p>
      <w:pPr>
        <w:ind w:left="439" w:right="60" w:hanging="439"/>
        <w:spacing w:after="0" w:line="287" w:lineRule="auto"/>
        <w:tabs>
          <w:tab w:leader="none" w:pos="439"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If Company elects to settle the Transaction pursuant to this clause (ii) (a “</w:t>
      </w:r>
      <w:r>
        <w:rPr>
          <w:rFonts w:ascii="Arial" w:cs="Arial" w:eastAsia="Arial" w:hAnsi="Arial"/>
          <w:sz w:val="16"/>
          <w:szCs w:val="16"/>
          <w:b w:val="1"/>
          <w:bCs w:val="1"/>
          <w:color w:val="auto"/>
        </w:rPr>
        <w:t>Registration Settlement</w:t>
      </w:r>
      <w:r>
        <w:rPr>
          <w:rFonts w:ascii="Arial" w:cs="Arial" w:eastAsia="Arial" w:hAnsi="Arial"/>
          <w:sz w:val="16"/>
          <w:szCs w:val="16"/>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commercially reasonable underwriting discounts (if applicable), commercially reasonable commissions (if applicable), indemnities due diligence rights, opinions and certificates, and such other documentation as is customary for equity resale underwriting agreements of companies of comparable size, maturity and line of business, all commercially reasonably acceptable to Dealer. If Dealer, in its commercially reasonable discretion, is not satisfied with such procedures and documentation or, in its discretion, is not satisfied with results of a customary due diligence investigation, then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Restricted Shares (which, for the avoidance of doubt, shall be (x) the Share Termination Payment Date in case of settlement in Share Termination Delivery Units pursuant to Section 9(i) above or</w:t>
      </w:r>
    </w:p>
    <w:p>
      <w:pPr>
        <w:spacing w:after="0" w:line="100"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19"/>
          </w:cols>
          <w:pgMar w:left="1421" w:top="270" w:right="459" w:bottom="1440" w:gutter="0" w:footer="0" w:header="0"/>
        </w:sectPr>
      </w:pPr>
    </w:p>
    <w:bookmarkStart w:id="339" w:name="page340"/>
    <w:bookmarkEnd w:id="339"/>
    <w:p>
      <w:pPr>
        <w:ind w:left="1260" w:hanging="253"/>
        <w:spacing w:after="0"/>
        <w:tabs>
          <w:tab w:leader="none" w:pos="1260" w:val="left"/>
        </w:tabs>
        <w:numPr>
          <w:ilvl w:val="2"/>
          <w:numId w:val="4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Settlement Date in respect of the final Expiration Date for all Daily Number of Warrants) and ending on the Exchange</w:t>
      </w:r>
    </w:p>
    <w:p>
      <w:pPr>
        <w:spacing w:after="0" w:line="34" w:lineRule="exact"/>
        <w:rPr>
          <w:rFonts w:ascii="Arial" w:cs="Arial" w:eastAsia="Arial" w:hAnsi="Arial"/>
          <w:sz w:val="17"/>
          <w:szCs w:val="17"/>
          <w:color w:val="auto"/>
        </w:rPr>
      </w:pPr>
    </w:p>
    <w:p>
      <w:pPr>
        <w:ind w:left="1000"/>
        <w:spacing w:after="0" w:line="267" w:lineRule="auto"/>
        <w:rPr>
          <w:rFonts w:ascii="Arial" w:cs="Arial" w:eastAsia="Arial" w:hAnsi="Arial"/>
          <w:sz w:val="17"/>
          <w:szCs w:val="17"/>
          <w:color w:val="auto"/>
        </w:rPr>
      </w:pPr>
      <w:r>
        <w:rPr>
          <w:rFonts w:ascii="Arial" w:cs="Arial" w:eastAsia="Arial" w:hAnsi="Arial"/>
          <w:sz w:val="17"/>
          <w:szCs w:val="17"/>
          <w:color w:val="auto"/>
        </w:rPr>
        <w:t>Business Day on which Dealer completes the sale of all Restricted Shares in a commercially reasonable manner or, in the case of settlement of Share Termination Delivery Units, a sufficient number of Restricted Shares so that the realized net proceeds of such sales equals or exceeds the Payment Obligation (as defined above). Dealer shall endeavor to sell such Shares or Share Termination Delivery Units as soon as practicable following delivery of such Shares or Share Termination Delivery Units. If any of such delivered Shares or Share Termination Delivery Units remain after the realized net proceeds from such resale exceed the Payment Obligation, Dealer shall return such remaining Shares or Share Termination Delivery Units to Company. If the Payment Obligation exceeds the realized net proceeds from such resale, Company shall transfer to Dealer by the open of the regular trading session on the Exchange on the Exchange Trading Day immediately following such resale the amount of such excess (the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in cash or in a number of Shares (“</w:t>
      </w:r>
      <w:r>
        <w:rPr>
          <w:rFonts w:ascii="Arial" w:cs="Arial" w:eastAsia="Arial" w:hAnsi="Arial"/>
          <w:sz w:val="17"/>
          <w:szCs w:val="17"/>
          <w:b w:val="1"/>
          <w:bCs w:val="1"/>
          <w:color w:val="auto"/>
        </w:rPr>
        <w:t>Make-whole Shares</w:t>
      </w:r>
      <w:r>
        <w:rPr>
          <w:rFonts w:ascii="Arial" w:cs="Arial" w:eastAsia="Arial" w:hAnsi="Arial"/>
          <w:sz w:val="17"/>
          <w:szCs w:val="17"/>
          <w:color w:val="auto"/>
        </w:rPr>
        <w:t>”), at Company’s option, in an amount that,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Price on such day (as if such day was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86" w:lineRule="exact"/>
        <w:rPr>
          <w:rFonts w:ascii="Arial" w:cs="Arial" w:eastAsia="Arial" w:hAnsi="Arial"/>
          <w:sz w:val="17"/>
          <w:szCs w:val="17"/>
          <w:color w:val="auto"/>
        </w:rPr>
      </w:pPr>
    </w:p>
    <w:p>
      <w:pPr>
        <w:ind w:left="1000" w:right="200" w:hanging="439"/>
        <w:spacing w:after="0" w:line="291" w:lineRule="auto"/>
        <w:tabs>
          <w:tab w:leader="none" w:pos="100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Without limiting the generality of the foregoing, Company agrees that (A) any Restricted Shares delivered to Dealer may be transferred by and among Dealer and its affiliates and Company shall effect such transfer without any further action by Dealer and</w:t>
      </w:r>
    </w:p>
    <w:p>
      <w:pPr>
        <w:ind w:left="1000"/>
        <w:spacing w:after="0" w:line="267" w:lineRule="auto"/>
        <w:rPr>
          <w:rFonts w:ascii="Arial" w:cs="Arial" w:eastAsia="Arial" w:hAnsi="Arial"/>
          <w:sz w:val="16"/>
          <w:szCs w:val="16"/>
          <w:color w:val="auto"/>
        </w:rPr>
      </w:pPr>
      <w:r>
        <w:rPr>
          <w:rFonts w:ascii="Arial" w:cs="Arial" w:eastAsia="Arial" w:hAnsi="Arial"/>
          <w:sz w:val="17"/>
          <w:szCs w:val="17"/>
          <w:color w:val="auto"/>
        </w:rPr>
        <w:t>(B) after the period of 6 months from the Trade Date if at the time the informational requirements of Rule 144(c) under the Securities Act have been satisfied by the Company (or 1 year from the Trade Date if, at such time, informational requirements of Rule 144(c) under the Securities Act are not satisfied with respect to Company) has elapsed in respect of any Restricted Shares delivered to Dealer, unless Dealer is an affiliate of Company at such time or has been an affiliate of Company in the immediately preceding three months, Company shall promptly remove, or cause the transfer agent for such Restricted Shares to remove, any legends referring to any such restrictions or requirements from such Restricted Shares upon request by Dealer (or such affiliate of Dealer) to Company or such transfer agent, without any requirement for the delivery of any certificate, consent, agreement, opinion of counsel, notice or any other document, any transfer tax stamps or payment of any other amount or any other action by Dealer (or such affiliate of Dealer).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as in effect at the time of delivery of the relevant Shares or Share Termination Delivery Property.</w:t>
      </w:r>
    </w:p>
    <w:p>
      <w:pPr>
        <w:spacing w:after="0" w:line="88" w:lineRule="exact"/>
        <w:rPr>
          <w:rFonts w:ascii="Arial" w:cs="Arial" w:eastAsia="Arial" w:hAnsi="Arial"/>
          <w:sz w:val="16"/>
          <w:szCs w:val="16"/>
          <w:color w:val="auto"/>
        </w:rPr>
      </w:pPr>
    </w:p>
    <w:p>
      <w:pPr>
        <w:ind w:left="1000" w:right="20" w:hanging="439"/>
        <w:spacing w:after="0" w:line="263" w:lineRule="auto"/>
        <w:tabs>
          <w:tab w:leader="none" w:pos="100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89"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427"/>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 on Beneficial Ownership</w:t>
      </w:r>
      <w:r>
        <w:rPr>
          <w:rFonts w:ascii="Arial" w:cs="Arial" w:eastAsia="Arial" w:hAnsi="Arial"/>
          <w:sz w:val="18"/>
          <w:szCs w:val="18"/>
          <w:color w:val="auto"/>
        </w:rPr>
        <w:t>. Notwithstanding anything to the contrary in the Agreement, the Equity Definitions or this Confirmation,</w:t>
      </w:r>
      <w:r>
        <w:rPr>
          <w:rFonts w:ascii="Arial" w:cs="Arial" w:eastAsia="Arial" w:hAnsi="Arial"/>
          <w:sz w:val="18"/>
          <w:szCs w:val="18"/>
          <w:i w:val="1"/>
          <w:iCs w:val="1"/>
          <w:color w:val="auto"/>
        </w:rPr>
        <w:t xml:space="preserve"> </w:t>
      </w:r>
      <w:r>
        <w:rPr>
          <w:rFonts w:ascii="Arial" w:cs="Arial" w:eastAsia="Arial" w:hAnsi="Arial"/>
          <w:sz w:val="18"/>
          <w:szCs w:val="18"/>
          <w:color w:val="auto"/>
        </w:rPr>
        <w:t>Dealer may not exercise any Warrant hereunder, in no event shall Dealer be entitled to receive or take delivery of any Shares deliverable hereunder (or be deemed to so receive or so take delivery), and Automatic Exercise shall not apply with respect to any Warrant hereunder, in each case, to the extent (but only to the extent) that, after such receipt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60" w:top="274" w:right="459" w:bottom="1440" w:gutter="0" w:footer="0" w:header="0"/>
        </w:sectPr>
      </w:pPr>
    </w:p>
    <w:bookmarkStart w:id="340" w:name="page341"/>
    <w:bookmarkEnd w:id="340"/>
    <w:p>
      <w:pPr>
        <w:ind w:left="98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delivery of any Shares upon the exercise of such Warrant or otherwise hereunder and after taking into account any Shares deliverable to Dealer pursuant to any other warrants purchased by Dealer from Company [including, without limitation, the letter agreement dated</w:t>
      </w:r>
    </w:p>
    <w:p>
      <w:pPr>
        <w:ind w:left="984" w:right="80" w:firstLine="1"/>
        <w:spacing w:after="0" w:line="281" w:lineRule="auto"/>
        <w:tabs>
          <w:tab w:leader="none" w:pos="1764"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2021 between Dealer and Company regarding Base Warrants (the “</w:t>
      </w:r>
      <w:r>
        <w:rPr>
          <w:rFonts w:ascii="Arial" w:cs="Arial" w:eastAsia="Arial" w:hAnsi="Arial"/>
          <w:sz w:val="16"/>
          <w:szCs w:val="16"/>
          <w:b w:val="1"/>
          <w:bCs w:val="1"/>
          <w:color w:val="auto"/>
        </w:rPr>
        <w:t>Base Warrant Confirmation”</w:t>
      </w:r>
      <w:r>
        <w:rPr>
          <w:rFonts w:ascii="Arial" w:cs="Arial" w:eastAsia="Arial" w:hAnsi="Arial"/>
          <w:sz w:val="16"/>
          <w:szCs w:val="16"/>
          <w:color w:val="auto"/>
        </w:rPr>
        <w:t>)],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to Dealer pursuant to any other warrants purchased by Dealer from Company [including, without limitation, under the Base Warrant Confirmation]</w:t>
      </w:r>
      <w:r>
        <w:rPr>
          <w:rFonts w:ascii="Arial" w:cs="Arial" w:eastAsia="Arial" w:hAnsi="Arial"/>
          <w:sz w:val="13"/>
          <w:szCs w:val="13"/>
          <w:color w:val="auto"/>
        </w:rPr>
        <w:t>3</w:t>
      </w:r>
      <w:r>
        <w:rPr>
          <w:rFonts w:ascii="Arial" w:cs="Arial" w:eastAsia="Arial" w:hAnsi="Arial"/>
          <w:sz w:val="16"/>
          <w:szCs w:val="16"/>
          <w:color w:val="auto"/>
        </w:rPr>
        <w:t>, (i) the Section 16 Percentage would exceed 7.5%, or (ii) the Share Amount would exceed the Applicable Share Limit. If any delivery owed to Dealer hereunder is not made, in whole or in part, as a result of this provision, Company’s obligation to make such delivery shall not be extinguished and Company shall make such delivery as promptly as practicable after, but in no event later than one Business Day after, Dealer gives notice to Company that, after such delivery, (i) the Section 16 Percentage would not exceed</w:t>
      </w:r>
    </w:p>
    <w:p>
      <w:pPr>
        <w:spacing w:after="0" w:line="4" w:lineRule="exact"/>
        <w:rPr>
          <w:rFonts w:ascii="Arial" w:cs="Arial" w:eastAsia="Arial" w:hAnsi="Arial"/>
          <w:sz w:val="16"/>
          <w:szCs w:val="16"/>
          <w:color w:val="auto"/>
        </w:rPr>
      </w:pPr>
    </w:p>
    <w:p>
      <w:pPr>
        <w:ind w:left="984" w:right="180"/>
        <w:spacing w:after="0" w:line="260" w:lineRule="auto"/>
        <w:rPr>
          <w:rFonts w:ascii="Arial" w:cs="Arial" w:eastAsia="Arial" w:hAnsi="Arial"/>
          <w:sz w:val="16"/>
          <w:szCs w:val="16"/>
          <w:color w:val="auto"/>
        </w:rPr>
      </w:pPr>
      <w:r>
        <w:rPr>
          <w:rFonts w:ascii="Arial" w:cs="Arial" w:eastAsia="Arial" w:hAnsi="Arial"/>
          <w:sz w:val="18"/>
          <w:szCs w:val="18"/>
          <w:color w:val="auto"/>
        </w:rPr>
        <w:t>7.5%, and (ii) the Share Amount would not exceed the Applicable Share Limit; provided, for the avoidance of doubt, in no case shall the Company be obligated to pay such additional amount in cash.</w:t>
      </w:r>
    </w:p>
    <w:p>
      <w:pPr>
        <w:spacing w:after="0" w:line="90" w:lineRule="exact"/>
        <w:rPr>
          <w:rFonts w:ascii="Arial" w:cs="Arial" w:eastAsia="Arial" w:hAnsi="Arial"/>
          <w:sz w:val="16"/>
          <w:szCs w:val="16"/>
          <w:color w:val="auto"/>
        </w:rPr>
      </w:pPr>
    </w:p>
    <w:p>
      <w:pPr>
        <w:ind w:left="964" w:right="120" w:hanging="532"/>
        <w:spacing w:after="0" w:line="311" w:lineRule="auto"/>
        <w:tabs>
          <w:tab w:leader="none" w:pos="964" w:val="left"/>
        </w:tabs>
        <w:numPr>
          <w:ilvl w:val="0"/>
          <w:numId w:val="428"/>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 Deliveries</w:t>
      </w:r>
      <w:r>
        <w:rPr>
          <w:rFonts w:ascii="Arial" w:cs="Arial" w:eastAsia="Arial" w:hAnsi="Arial"/>
          <w:sz w:val="16"/>
          <w:szCs w:val="16"/>
          <w:color w:val="auto"/>
        </w:rPr>
        <w:t>. Notwithstanding anything to the contrary herein, Company agrees that any delivery of Shares or Share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Property shall be effected by book-entry transfer through the facilities of DTC, or any successor depositary, if at the time of delivery, such class of Shares or class of Share Termination Delivery Property is in book-entry form at DTC or such successor depositary.</w:t>
      </w:r>
    </w:p>
    <w:p>
      <w:pPr>
        <w:spacing w:after="0" w:line="54" w:lineRule="exact"/>
        <w:rPr>
          <w:rFonts w:ascii="Arial" w:cs="Arial" w:eastAsia="Arial" w:hAnsi="Arial"/>
          <w:sz w:val="16"/>
          <w:szCs w:val="16"/>
          <w:color w:val="auto"/>
        </w:rPr>
      </w:pPr>
    </w:p>
    <w:p>
      <w:pPr>
        <w:ind w:left="964" w:right="100" w:hanging="532"/>
        <w:spacing w:after="0" w:line="275" w:lineRule="auto"/>
        <w:tabs>
          <w:tab w:leader="none" w:pos="964" w:val="left"/>
        </w:tabs>
        <w:numPr>
          <w:ilvl w:val="0"/>
          <w:numId w:val="428"/>
        </w:numPr>
        <w:rPr>
          <w:rFonts w:ascii="Arial" w:cs="Arial" w:eastAsia="Arial" w:hAnsi="Arial"/>
          <w:sz w:val="17"/>
          <w:szCs w:val="17"/>
          <w:color w:val="auto"/>
        </w:rPr>
      </w:pPr>
      <w:r>
        <w:rPr>
          <w:rFonts w:ascii="Arial" w:cs="Arial" w:eastAsia="Arial" w:hAnsi="Arial"/>
          <w:sz w:val="17"/>
          <w:szCs w:val="17"/>
          <w:i w:val="1"/>
          <w:iCs w:val="1"/>
          <w:u w:val="single" w:color="auto"/>
          <w:color w:val="auto"/>
        </w:rPr>
        <w:t>Waiver of Jury Trial</w:t>
      </w:r>
      <w:r>
        <w:rPr>
          <w:rFonts w:ascii="Arial" w:cs="Arial" w:eastAsia="Arial" w:hAnsi="Arial"/>
          <w:sz w:val="17"/>
          <w:szCs w:val="17"/>
          <w:color w:val="auto"/>
        </w:rPr>
        <w:t>. Each party waives, to the fullest extent permitted by applicable law, any right it may have to a trial by jury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1" w:lineRule="exact"/>
        <w:rPr>
          <w:rFonts w:ascii="Arial" w:cs="Arial" w:eastAsia="Arial" w:hAnsi="Arial"/>
          <w:sz w:val="17"/>
          <w:szCs w:val="17"/>
          <w:color w:val="auto"/>
        </w:rPr>
      </w:pPr>
    </w:p>
    <w:p>
      <w:pPr>
        <w:ind w:left="964" w:right="40" w:hanging="532"/>
        <w:spacing w:after="0" w:line="259" w:lineRule="auto"/>
        <w:tabs>
          <w:tab w:leader="none" w:pos="964" w:val="left"/>
        </w:tabs>
        <w:numPr>
          <w:ilvl w:val="0"/>
          <w:numId w:val="428"/>
        </w:numPr>
        <w:rPr>
          <w:rFonts w:ascii="Arial" w:cs="Arial" w:eastAsia="Arial" w:hAnsi="Arial"/>
          <w:sz w:val="18"/>
          <w:szCs w:val="18"/>
          <w:color w:val="auto"/>
        </w:rPr>
      </w:pPr>
      <w:r>
        <w:rPr>
          <w:rFonts w:ascii="Arial" w:cs="Arial" w:eastAsia="Arial" w:hAnsi="Arial"/>
          <w:sz w:val="18"/>
          <w:szCs w:val="18"/>
          <w:i w:val="1"/>
          <w:iCs w:val="1"/>
          <w:u w:val="single" w:color="auto"/>
          <w:color w:val="auto"/>
        </w:rPr>
        <w:t>Tax Disclosure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from the date of commencement of discussions concerning the Transaction, Company and each of its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0"/>
          <w:numId w:val="428"/>
        </w:numPr>
        <w:rPr>
          <w:rFonts w:ascii="Arial" w:cs="Arial" w:eastAsia="Arial" w:hAnsi="Arial"/>
          <w:sz w:val="18"/>
          <w:szCs w:val="18"/>
          <w:color w:val="auto"/>
        </w:rPr>
      </w:pPr>
      <w:r>
        <w:rPr>
          <w:rFonts w:ascii="Arial" w:cs="Arial" w:eastAsia="Arial" w:hAnsi="Arial"/>
          <w:sz w:val="18"/>
          <w:szCs w:val="18"/>
          <w:i w:val="1"/>
          <w:iCs w:val="1"/>
          <w:u w:val="single" w:color="auto"/>
          <w:color w:val="auto"/>
        </w:rPr>
        <w:t>Maximum Share Delivery</w:t>
      </w:r>
      <w:r>
        <w:rPr>
          <w:rFonts w:ascii="Arial" w:cs="Arial" w:eastAsia="Arial" w:hAnsi="Arial"/>
          <w:sz w:val="18"/>
          <w:szCs w:val="18"/>
          <w:color w:val="auto"/>
        </w:rPr>
        <w:t>.</w:t>
      </w:r>
    </w:p>
    <w:p>
      <w:pPr>
        <w:spacing w:after="0" w:line="131" w:lineRule="exact"/>
        <w:rPr>
          <w:sz w:val="20"/>
          <w:szCs w:val="20"/>
          <w:color w:val="auto"/>
        </w:rPr>
      </w:pPr>
    </w:p>
    <w:p>
      <w:pPr>
        <w:ind w:left="1424" w:hanging="439"/>
        <w:spacing w:after="0"/>
        <w:tabs>
          <w:tab w:leader="none" w:pos="1424" w:val="left"/>
        </w:tabs>
        <w:numPr>
          <w:ilvl w:val="0"/>
          <w:numId w:val="429"/>
        </w:numPr>
        <w:rPr>
          <w:rFonts w:ascii="Arial" w:cs="Arial" w:eastAsia="Arial" w:hAnsi="Arial"/>
          <w:sz w:val="16"/>
          <w:szCs w:val="16"/>
          <w:color w:val="auto"/>
        </w:rPr>
      </w:pPr>
      <w:r>
        <w:rPr>
          <w:rFonts w:ascii="Arial" w:cs="Arial" w:eastAsia="Arial" w:hAnsi="Arial"/>
          <w:sz w:val="16"/>
          <w:szCs w:val="16"/>
          <w:color w:val="auto"/>
        </w:rPr>
        <w:t>Notwithstanding any other provision of this Confirmation, the Agreement or the Equity Definitions, in no event will Company at any</w:t>
      </w:r>
    </w:p>
    <w:p>
      <w:pPr>
        <w:spacing w:after="0" w:line="45" w:lineRule="exact"/>
        <w:rPr>
          <w:sz w:val="20"/>
          <w:szCs w:val="20"/>
          <w:color w:val="auto"/>
        </w:rPr>
      </w:pPr>
    </w:p>
    <w:p>
      <w:pPr>
        <w:ind w:left="1424"/>
        <w:spacing w:after="0" w:line="252" w:lineRule="auto"/>
        <w:rPr>
          <w:sz w:val="20"/>
          <w:szCs w:val="20"/>
          <w:color w:val="auto"/>
        </w:rPr>
      </w:pPr>
      <w:r>
        <w:rPr>
          <w:rFonts w:ascii="Arial" w:cs="Arial" w:eastAsia="Arial" w:hAnsi="Arial"/>
          <w:sz w:val="18"/>
          <w:szCs w:val="18"/>
          <w:color w:val="auto"/>
        </w:rPr>
        <w:t>time be required to deliver a number of Shares greater than [ ]</w:t>
      </w:r>
      <w:r>
        <w:rPr>
          <w:rFonts w:ascii="Arial" w:cs="Arial" w:eastAsia="Arial" w:hAnsi="Arial"/>
          <w:sz w:val="15"/>
          <w:szCs w:val="15"/>
          <w:color w:val="auto"/>
        </w:rPr>
        <w:t>4</w:t>
      </w:r>
      <w:r>
        <w:rPr>
          <w:rFonts w:ascii="Arial" w:cs="Arial" w:eastAsia="Arial" w:hAnsi="Arial"/>
          <w:sz w:val="18"/>
          <w:szCs w:val="18"/>
          <w:color w:val="auto"/>
        </w:rPr>
        <w:t xml:space="preserve"> (the “</w:t>
      </w:r>
      <w:r>
        <w:rPr>
          <w:rFonts w:ascii="Arial" w:cs="Arial" w:eastAsia="Arial" w:hAnsi="Arial"/>
          <w:sz w:val="18"/>
          <w:szCs w:val="18"/>
          <w:b w:val="1"/>
          <w:bCs w:val="1"/>
          <w:color w:val="auto"/>
        </w:rPr>
        <w:t>Maximum Number of Shares</w:t>
      </w:r>
      <w:r>
        <w:rPr>
          <w:rFonts w:ascii="Arial" w:cs="Arial" w:eastAsia="Arial" w:hAnsi="Arial"/>
          <w:sz w:val="18"/>
          <w:szCs w:val="18"/>
          <w:color w:val="auto"/>
        </w:rPr>
        <w:t>”) to Dealer in connection with the Transaction. Notwithstanding anything to the contrary in the Agreement, this Confirmation or the Equity Definitions, (i) the determination of whether the Maximum Number of Shares may be adjusted upon any event, and, if so, the applicable adjustment thereto, shall be made without regard to any amendments set forth herein to the relevant provisions of the Equity Definitions, (ii) the Maximum Number of Shares shall not be adjusted to exceed the Available Shares on account of any event that (x) constitutes a Potential Adjustment Event solely on account of Section 11.2(e)(vii) of the Equity Definitions and (y) is not within Company’s control and (iii) any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424" w:hanging="424"/>
        <w:spacing w:after="0"/>
        <w:tabs>
          <w:tab w:leader="none" w:pos="424" w:val="left"/>
        </w:tabs>
        <w:numPr>
          <w:ilvl w:val="0"/>
          <w:numId w:val="430"/>
        </w:numPr>
        <w:rPr>
          <w:rFonts w:ascii="Arial" w:cs="Arial" w:eastAsia="Arial" w:hAnsi="Arial"/>
          <w:sz w:val="15"/>
          <w:szCs w:val="15"/>
          <w:color w:val="auto"/>
        </w:rPr>
      </w:pPr>
      <w:r>
        <w:rPr>
          <w:rFonts w:ascii="Arial" w:cs="Arial" w:eastAsia="Arial" w:hAnsi="Arial"/>
          <w:sz w:val="18"/>
          <w:szCs w:val="18"/>
          <w:color w:val="auto"/>
        </w:rPr>
        <w:t>Include in Additional Warrant Confirmation.</w:t>
      </w:r>
    </w:p>
    <w:p>
      <w:pPr>
        <w:spacing w:after="0" w:line="22" w:lineRule="exact"/>
        <w:rPr>
          <w:sz w:val="20"/>
          <w:szCs w:val="20"/>
          <w:color w:val="auto"/>
        </w:rPr>
      </w:pPr>
    </w:p>
    <w:p>
      <w:pPr>
        <w:ind w:left="424" w:right="720" w:hanging="424"/>
        <w:spacing w:after="0" w:line="262" w:lineRule="auto"/>
        <w:tabs>
          <w:tab w:leader="none" w:pos="424" w:val="left"/>
        </w:tabs>
        <w:numPr>
          <w:ilvl w:val="0"/>
          <w:numId w:val="431"/>
        </w:numPr>
        <w:rPr>
          <w:rFonts w:ascii="Arial" w:cs="Arial" w:eastAsia="Arial" w:hAnsi="Arial"/>
          <w:sz w:val="15"/>
          <w:szCs w:val="15"/>
          <w:color w:val="auto"/>
        </w:rPr>
      </w:pPr>
      <w:r>
        <w:rPr>
          <w:rFonts w:ascii="Arial" w:cs="Arial" w:eastAsia="Arial" w:hAnsi="Arial"/>
          <w:sz w:val="18"/>
          <w:szCs w:val="18"/>
          <w:color w:val="auto"/>
        </w:rPr>
        <w:t xml:space="preserve">To be the lesser of (x) two times the Number of Shares and (y) (i) 19.9% of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(a) for the Base Warrant Confirmation, 100/115 or (b) for the Additional Warrant Confirmation, 15/115.</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41" w:name="page342"/>
    <w:bookmarkEnd w:id="341"/>
    <w:p>
      <w:pPr>
        <w:ind w:left="1000"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Obligation hereunder shall be calculated without regard to the Maximum Number of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number of Shares deliverable under Section 9(i) shall be limited to the Maximum Number of Shares.</w:t>
      </w:r>
    </w:p>
    <w:p>
      <w:pPr>
        <w:spacing w:after="0" w:line="29" w:lineRule="exact"/>
        <w:rPr>
          <w:sz w:val="20"/>
          <w:szCs w:val="20"/>
          <w:color w:val="auto"/>
        </w:rPr>
      </w:pPr>
    </w:p>
    <w:p>
      <w:pPr>
        <w:ind w:left="1000" w:right="80" w:hanging="439"/>
        <w:spacing w:after="0" w:line="284" w:lineRule="auto"/>
        <w:tabs>
          <w:tab w:leader="none" w:pos="1000" w:val="left"/>
        </w:tabs>
        <w:numPr>
          <w:ilvl w:val="1"/>
          <w:numId w:val="432"/>
        </w:numPr>
        <w:rPr>
          <w:rFonts w:ascii="Arial" w:cs="Arial" w:eastAsia="Arial" w:hAnsi="Arial"/>
          <w:sz w:val="16"/>
          <w:szCs w:val="16"/>
          <w:color w:val="auto"/>
        </w:rPr>
      </w:pPr>
      <w:r>
        <w:rPr>
          <w:rFonts w:ascii="Arial" w:cs="Arial" w:eastAsia="Arial" w:hAnsi="Arial"/>
          <w:sz w:val="16"/>
          <w:szCs w:val="16"/>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6"/>
          <w:szCs w:val="16"/>
          <w:b w:val="1"/>
          <w:bCs w:val="1"/>
          <w:color w:val="auto"/>
        </w:rPr>
        <w:t>Deficit Shares</w:t>
      </w:r>
      <w:r>
        <w:rPr>
          <w:rFonts w:ascii="Arial" w:cs="Arial" w:eastAsia="Arial" w:hAnsi="Arial"/>
          <w:sz w:val="16"/>
          <w:szCs w:val="16"/>
          <w:color w:val="auto"/>
        </w:rPr>
        <w:t>”), Company shall be continually obligated to deliver, from time to time, Shares or Restricted Shares, as the case may be, to Dealer until the full number of Deficit Shares have been delivered pursuant to this Section 9(o)(ii), when, and to the extent that, (A) Shares are repurchased, acquired or otherwise received by Company or any of its subsidiaries after the Trade Date (whether or not in exchange for cash, fair value or any other consideration),</w:t>
      </w:r>
    </w:p>
    <w:p>
      <w:pPr>
        <w:spacing w:after="0" w:line="4" w:lineRule="exact"/>
        <w:rPr>
          <w:rFonts w:ascii="Arial" w:cs="Arial" w:eastAsia="Arial" w:hAnsi="Arial"/>
          <w:sz w:val="16"/>
          <w:szCs w:val="16"/>
          <w:color w:val="auto"/>
        </w:rPr>
      </w:pPr>
    </w:p>
    <w:p>
      <w:pPr>
        <w:ind w:left="1280" w:hanging="287"/>
        <w:spacing w:after="0"/>
        <w:tabs>
          <w:tab w:leader="none" w:pos="1280" w:val="left"/>
        </w:tabs>
        <w:numPr>
          <w:ilvl w:val="2"/>
          <w:numId w:val="432"/>
        </w:numPr>
        <w:rPr>
          <w:rFonts w:ascii="Arial" w:cs="Arial" w:eastAsia="Arial" w:hAnsi="Arial"/>
          <w:sz w:val="16"/>
          <w:szCs w:val="16"/>
          <w:color w:val="auto"/>
        </w:rPr>
      </w:pPr>
      <w:r>
        <w:rPr>
          <w:rFonts w:ascii="Arial" w:cs="Arial" w:eastAsia="Arial" w:hAnsi="Arial"/>
          <w:sz w:val="16"/>
          <w:szCs w:val="16"/>
          <w:color w:val="auto"/>
        </w:rPr>
        <w:t>authorized and unissued Shares previously reserved for issuance in respect of other transactions become no longer so reserved or</w:t>
      </w:r>
    </w:p>
    <w:p>
      <w:pPr>
        <w:spacing w:after="0" w:line="32" w:lineRule="exact"/>
        <w:rPr>
          <w:rFonts w:ascii="Arial" w:cs="Arial" w:eastAsia="Arial" w:hAnsi="Arial"/>
          <w:sz w:val="16"/>
          <w:szCs w:val="16"/>
          <w:color w:val="auto"/>
        </w:rPr>
      </w:pPr>
    </w:p>
    <w:p>
      <w:pPr>
        <w:ind w:left="1000" w:right="40" w:hanging="7"/>
        <w:spacing w:after="0" w:line="270" w:lineRule="auto"/>
        <w:tabs>
          <w:tab w:leader="none" w:pos="1285" w:val="left"/>
        </w:tabs>
        <w:numPr>
          <w:ilvl w:val="2"/>
          <w:numId w:val="432"/>
        </w:numPr>
        <w:rPr>
          <w:rFonts w:ascii="Arial" w:cs="Arial" w:eastAsia="Arial" w:hAnsi="Arial"/>
          <w:sz w:val="17"/>
          <w:szCs w:val="17"/>
          <w:color w:val="auto"/>
        </w:rPr>
      </w:pPr>
      <w:r>
        <w:rPr>
          <w:rFonts w:ascii="Arial" w:cs="Arial" w:eastAsia="Arial" w:hAnsi="Arial"/>
          <w:sz w:val="17"/>
          <w:szCs w:val="17"/>
          <w:color w:val="auto"/>
        </w:rPr>
        <w:t xml:space="preserve">Company additionally authorizes any unissued Shares that are not reserved for other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Company deliver any Shares or Restricted Shares to Dealer pursuant to this Section 9(o)(ii) to the 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83" w:lineRule="exact"/>
        <w:rPr>
          <w:rFonts w:ascii="Arial" w:cs="Arial" w:eastAsia="Arial" w:hAnsi="Arial"/>
          <w:sz w:val="17"/>
          <w:szCs w:val="17"/>
          <w:color w:val="auto"/>
        </w:rPr>
      </w:pPr>
    </w:p>
    <w:p>
      <w:pPr>
        <w:ind w:left="540" w:hanging="532"/>
        <w:spacing w:after="0" w:line="259" w:lineRule="auto"/>
        <w:tabs>
          <w:tab w:leader="none" w:pos="540" w:val="left"/>
        </w:tabs>
        <w:numPr>
          <w:ilvl w:val="0"/>
          <w:numId w:val="433"/>
        </w:numPr>
        <w:rPr>
          <w:rFonts w:ascii="Arial" w:cs="Arial" w:eastAsia="Arial" w:hAnsi="Arial"/>
          <w:sz w:val="18"/>
          <w:szCs w:val="18"/>
          <w:color w:val="auto"/>
        </w:rPr>
      </w:pPr>
      <w:r>
        <w:rPr>
          <w:rFonts w:ascii="Arial" w:cs="Arial" w:eastAsia="Arial" w:hAnsi="Arial"/>
          <w:sz w:val="18"/>
          <w:szCs w:val="18"/>
          <w:i w:val="1"/>
          <w:iCs w:val="1"/>
          <w:color w:val="auto"/>
        </w:rPr>
        <w:t>Submission to Jurisdiction</w:t>
      </w:r>
      <w:r>
        <w:rPr>
          <w:rFonts w:ascii="Arial" w:cs="Arial" w:eastAsia="Arial" w:hAnsi="Arial"/>
          <w:sz w:val="18"/>
          <w:szCs w:val="18"/>
          <w:color w:val="auto"/>
        </w:rPr>
        <w:t>. THE PARTIES HERETO IRREVOCABLY SUBMIT TO THE EXCLUSIVE JURISDICTION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Insert relevant Dealer QFC Stay Rule language, if any.</w:t>
      </w:r>
      <w:r>
        <w:rPr>
          <w:rFonts w:ascii="Arial" w:cs="Arial" w:eastAsia="Arial" w:hAnsi="Arial"/>
          <w:sz w:val="18"/>
          <w:szCs w:val="18"/>
          <w:color w:val="auto"/>
        </w:rPr>
        <w:t>]</w:t>
      </w:r>
    </w:p>
    <w:p>
      <w:pPr>
        <w:spacing w:after="0" w:line="131" w:lineRule="exact"/>
        <w:rPr>
          <w:sz w:val="20"/>
          <w:szCs w:val="20"/>
          <w:color w:val="auto"/>
        </w:rPr>
      </w:pPr>
    </w:p>
    <w:p>
      <w:pPr>
        <w:ind w:left="540" w:right="100" w:hanging="532"/>
        <w:spacing w:after="0" w:line="269" w:lineRule="auto"/>
        <w:tabs>
          <w:tab w:leader="none" w:pos="540" w:val="left"/>
        </w:tabs>
        <w:numPr>
          <w:ilvl w:val="0"/>
          <w:numId w:val="434"/>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Extend</w:t>
      </w:r>
      <w:r>
        <w:rPr>
          <w:rFonts w:ascii="Arial" w:cs="Arial" w:eastAsia="Arial" w:hAnsi="Arial"/>
          <w:sz w:val="17"/>
          <w:szCs w:val="17"/>
          <w:color w:val="auto"/>
        </w:rPr>
        <w:t>. Dealer may postpone or add, in whole or in part, any Expiration Date or any other date of valuation or delivery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some or all of the relevant Warrants (in which event the Calculation Agent shall make appropriate adjustments to the Daily Number of Warrants with respect to one or more Expiration Dates) if Dealer determines, in its commercially reasonable judgment, that such extension is reasonably necessary or appropriate to preserve Dealer’s commercially reasonable hedging or hedge unwind activity hereunder in light of existing liquidity conditions in the cash market, the stock loan market or other relevant market or to enable Dealer to effect purchases of Shares in connection with its commercially reasonable hedging, hedge unwind or settlement activity hereunder in a manner that would, if Dealer were Issuer or an affiliated purchaser of Issuer, be in compliance with applicable legal, regulatory or self-regulatory requirements, or with related policies and procedures applicable to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requirements, policies and procedures relate to regulatory issues and are generally applicable in similar situations and are applied in a consistent manner to similar transactions).</w:t>
      </w:r>
    </w:p>
    <w:p>
      <w:pPr>
        <w:spacing w:after="0" w:line="90" w:lineRule="exact"/>
        <w:rPr>
          <w:rFonts w:ascii="Arial" w:cs="Arial" w:eastAsia="Arial" w:hAnsi="Arial"/>
          <w:sz w:val="17"/>
          <w:szCs w:val="17"/>
          <w:color w:val="auto"/>
        </w:rPr>
      </w:pPr>
    </w:p>
    <w:p>
      <w:pPr>
        <w:ind w:left="540" w:right="40" w:hanging="532"/>
        <w:spacing w:after="0" w:line="255" w:lineRule="auto"/>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i w:val="1"/>
          <w:iCs w:val="1"/>
          <w:u w:val="single" w:color="auto"/>
          <w:color w:val="auto"/>
        </w:rPr>
        <w:t>Status of Claims in Bankruptcy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Dealer acknowledges and agrees that this Confirmation is not intended to convey to Dealer rights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with respect to the Transaction that are senior to the claims of common stockholders of Company in any United States bankruptcy proceedings of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rights in respect of any transactions other than the Transaction.</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60" w:top="274" w:right="479" w:bottom="1440" w:gutter="0" w:footer="0" w:header="0"/>
        </w:sectPr>
      </w:pPr>
    </w:p>
    <w:bookmarkStart w:id="342" w:name="page343"/>
    <w:bookmarkEnd w:id="342"/>
    <w:p>
      <w:pPr>
        <w:ind w:left="964" w:hanging="532"/>
        <w:spacing w:after="0" w:line="273" w:lineRule="auto"/>
        <w:tabs>
          <w:tab w:leader="none" w:pos="964" w:val="left"/>
        </w:tabs>
        <w:numPr>
          <w:ilvl w:val="0"/>
          <w:numId w:val="435"/>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hereto intend for (i) the Transaction to be a “securities contract” as defined in the Bankruptcy Code (Title</w:t>
      </w:r>
      <w:r>
        <w:rPr>
          <w:rFonts w:ascii="Arial" w:cs="Arial" w:eastAsia="Arial" w:hAnsi="Arial"/>
          <w:sz w:val="17"/>
          <w:szCs w:val="17"/>
          <w:i w:val="1"/>
          <w:iCs w:val="1"/>
          <w:color w:val="auto"/>
        </w:rPr>
        <w:t xml:space="preserve"> </w:t>
      </w:r>
      <w:r>
        <w:rPr>
          <w:rFonts w:ascii="Arial" w:cs="Arial" w:eastAsia="Arial" w:hAnsi="Arial"/>
          <w:sz w:val="17"/>
          <w:szCs w:val="17"/>
          <w:color w:val="auto"/>
        </w:rPr>
        <w:t>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and the parties hereto to be entitled to the protections afforded by, among other Sections, Sections 362(b)(6), 546(e) and 555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3" w:lineRule="exact"/>
        <w:rPr>
          <w:rFonts w:ascii="Arial" w:cs="Arial" w:eastAsia="Arial" w:hAnsi="Arial"/>
          <w:sz w:val="17"/>
          <w:szCs w:val="17"/>
          <w:color w:val="auto"/>
        </w:rPr>
      </w:pPr>
    </w:p>
    <w:p>
      <w:pPr>
        <w:ind w:left="964" w:right="120" w:hanging="532"/>
        <w:spacing w:after="0" w:line="270" w:lineRule="auto"/>
        <w:tabs>
          <w:tab w:leader="none" w:pos="964" w:val="left"/>
        </w:tabs>
        <w:numPr>
          <w:ilvl w:val="0"/>
          <w:numId w:val="435"/>
        </w:numPr>
        <w:rPr>
          <w:rFonts w:ascii="Arial" w:cs="Arial" w:eastAsia="Arial" w:hAnsi="Arial"/>
          <w:sz w:val="17"/>
          <w:szCs w:val="17"/>
          <w:color w:val="auto"/>
        </w:rPr>
      </w:pPr>
      <w:r>
        <w:rPr>
          <w:rFonts w:ascii="Arial" w:cs="Arial" w:eastAsia="Arial" w:hAnsi="Arial"/>
          <w:sz w:val="17"/>
          <w:szCs w:val="17"/>
          <w:i w:val="1"/>
          <w:iCs w:val="1"/>
          <w:u w:val="single" w:color="auto"/>
          <w:color w:val="auto"/>
        </w:rPr>
        <w:t>Wall Street Transparency and Accountability Act</w:t>
      </w:r>
      <w:r>
        <w:rPr>
          <w:rFonts w:ascii="Arial" w:cs="Arial" w:eastAsia="Arial" w:hAnsi="Arial"/>
          <w:sz w:val="17"/>
          <w:szCs w:val="17"/>
          <w:color w:val="auto"/>
        </w:rPr>
        <w:t>. In connection with Section 739 of the Wall Street Transparency and Accountability Act</w:t>
      </w:r>
      <w:r>
        <w:rPr>
          <w:rFonts w:ascii="Arial" w:cs="Arial" w:eastAsia="Arial" w:hAnsi="Arial"/>
          <w:sz w:val="17"/>
          <w:szCs w:val="17"/>
          <w:i w:val="1"/>
          <w:iCs w:val="1"/>
          <w:color w:val="auto"/>
        </w:rPr>
        <w:t xml:space="preserve"> </w:t>
      </w:r>
      <w:r>
        <w:rPr>
          <w:rFonts w:ascii="Arial" w:cs="Arial" w:eastAsia="Arial" w:hAnsi="Arial"/>
          <w:sz w:val="17"/>
          <w:szCs w:val="17"/>
          <w:color w:val="auto"/>
        </w:rPr>
        <w:t>of 2010 (“</w:t>
      </w:r>
      <w:r>
        <w:rPr>
          <w:rFonts w:ascii="Arial" w:cs="Arial" w:eastAsia="Arial" w:hAnsi="Arial"/>
          <w:sz w:val="17"/>
          <w:szCs w:val="17"/>
          <w:b w:val="1"/>
          <w:bCs w:val="1"/>
          <w:color w:val="auto"/>
        </w:rPr>
        <w:t>WSTAA</w:t>
      </w:r>
      <w:r>
        <w:rPr>
          <w:rFonts w:ascii="Arial" w:cs="Arial" w:eastAsia="Arial" w:hAnsi="Arial"/>
          <w:sz w:val="17"/>
          <w:szCs w:val="17"/>
          <w:color w:val="auto"/>
        </w:rPr>
        <w:t>”), the parties hereby agree that neither the enactment of WSTAA (or any statute containing any legal certainty provision similar to Section 739 of the WSTAA) or any regulation under the WSTAA (or any such statute), nor any requirement under WSTAA (or any statute containing any legal certainty provision similar to Section 739 of the WSTAA) or an amendment made by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86" w:lineRule="exact"/>
        <w:rPr>
          <w:rFonts w:ascii="Arial" w:cs="Arial" w:eastAsia="Arial" w:hAnsi="Arial"/>
          <w:sz w:val="17"/>
          <w:szCs w:val="17"/>
          <w:color w:val="auto"/>
        </w:rPr>
      </w:pPr>
    </w:p>
    <w:p>
      <w:pPr>
        <w:ind w:left="964" w:right="100" w:hanging="532"/>
        <w:spacing w:after="0" w:line="286" w:lineRule="auto"/>
        <w:tabs>
          <w:tab w:leader="none" w:pos="964" w:val="left"/>
        </w:tabs>
        <w:numPr>
          <w:ilvl w:val="0"/>
          <w:numId w:val="435"/>
        </w:numPr>
        <w:rPr>
          <w:rFonts w:ascii="Arial" w:cs="Arial" w:eastAsia="Arial" w:hAnsi="Arial"/>
          <w:sz w:val="16"/>
          <w:szCs w:val="16"/>
          <w:color w:val="auto"/>
        </w:rPr>
      </w:pPr>
      <w:r>
        <w:rPr>
          <w:rFonts w:ascii="Arial" w:cs="Arial" w:eastAsia="Arial" w:hAnsi="Arial"/>
          <w:sz w:val="16"/>
          <w:szCs w:val="16"/>
          <w:i w:val="1"/>
          <w:iCs w:val="1"/>
          <w:u w:val="single" w:color="auto"/>
          <w:color w:val="auto"/>
        </w:rPr>
        <w:t>Agreements and Acknowledgements Regarding Hedging</w:t>
      </w:r>
      <w:r>
        <w:rPr>
          <w:rFonts w:ascii="Arial" w:cs="Arial" w:eastAsia="Arial" w:hAnsi="Arial"/>
          <w:sz w:val="16"/>
          <w:szCs w:val="16"/>
          <w:color w:val="auto"/>
        </w:rPr>
        <w:t>. Company understands, acknowledges and agrees that: (A) at any time 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w:t>
      </w:r>
    </w:p>
    <w:p>
      <w:pPr>
        <w:spacing w:after="0" w:line="1" w:lineRule="exact"/>
        <w:rPr>
          <w:rFonts w:ascii="Arial" w:cs="Arial" w:eastAsia="Arial" w:hAnsi="Arial"/>
          <w:sz w:val="16"/>
          <w:szCs w:val="16"/>
          <w:color w:val="auto"/>
        </w:rPr>
      </w:pPr>
    </w:p>
    <w:p>
      <w:pPr>
        <w:ind w:left="964" w:right="60"/>
        <w:spacing w:after="0" w:line="273" w:lineRule="auto"/>
        <w:rPr>
          <w:rFonts w:ascii="Arial" w:cs="Arial" w:eastAsia="Arial" w:hAnsi="Arial"/>
          <w:sz w:val="16"/>
          <w:szCs w:val="16"/>
          <w:color w:val="auto"/>
        </w:rPr>
      </w:pPr>
      <w:r>
        <w:rPr>
          <w:rFonts w:ascii="Arial" w:cs="Arial" w:eastAsia="Arial" w:hAnsi="Arial"/>
          <w:sz w:val="17"/>
          <w:szCs w:val="17"/>
          <w:color w:val="auto"/>
        </w:rPr>
        <w:t>(C)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81" w:lineRule="exact"/>
        <w:rPr>
          <w:rFonts w:ascii="Arial" w:cs="Arial" w:eastAsia="Arial" w:hAnsi="Arial"/>
          <w:sz w:val="16"/>
          <w:szCs w:val="16"/>
          <w:color w:val="auto"/>
        </w:rPr>
      </w:pPr>
    </w:p>
    <w:p>
      <w:pPr>
        <w:ind w:left="964" w:right="60" w:hanging="532"/>
        <w:spacing w:after="0" w:line="253" w:lineRule="auto"/>
        <w:tabs>
          <w:tab w:leader="none" w:pos="964" w:val="left"/>
        </w:tabs>
        <w:numPr>
          <w:ilvl w:val="0"/>
          <w:numId w:val="435"/>
        </w:numPr>
        <w:rPr>
          <w:rFonts w:ascii="Arial" w:cs="Arial" w:eastAsia="Arial" w:hAnsi="Arial"/>
          <w:sz w:val="18"/>
          <w:szCs w:val="18"/>
          <w:color w:val="auto"/>
        </w:rPr>
      </w:pPr>
      <w:r>
        <w:rPr>
          <w:rFonts w:ascii="Arial" w:cs="Arial" w:eastAsia="Arial" w:hAnsi="Arial"/>
          <w:sz w:val="18"/>
          <w:szCs w:val="18"/>
          <w:i w:val="1"/>
          <w:iCs w:val="1"/>
          <w:u w:val="single" w:color="auto"/>
          <w:color w:val="auto"/>
        </w:rPr>
        <w:t>Early Unwind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the sale of the [“Firm Securities”]</w:t>
      </w:r>
      <w:r>
        <w:rPr>
          <w:rFonts w:ascii="Arial" w:cs="Arial" w:eastAsia="Arial" w:hAnsi="Arial"/>
          <w:sz w:val="15"/>
          <w:szCs w:val="15"/>
          <w:color w:val="auto"/>
        </w:rPr>
        <w:t>5</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Securities”]</w:t>
      </w:r>
      <w:r>
        <w:rPr>
          <w:rFonts w:ascii="Arial" w:cs="Arial" w:eastAsia="Arial" w:hAnsi="Arial"/>
          <w:sz w:val="15"/>
          <w:szCs w:val="15"/>
          <w:color w:val="auto"/>
        </w:rPr>
        <w:t>6</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Purchase Agreement)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consummated with the Initial Purchasers for any reason, or Company fails to deliver to Dealer opinions of counsel as required pursuant to Section 9(a), in each case by 5:00 p.m. (New York City time) on the Premium Payment Date, or such later date as agreed upon by the parties (the Premium Payment Date or such later date the “</w:t>
      </w:r>
      <w:r>
        <w:rPr>
          <w:rFonts w:ascii="Arial" w:cs="Arial" w:eastAsia="Arial" w:hAnsi="Arial"/>
          <w:sz w:val="18"/>
          <w:szCs w:val="18"/>
          <w:b w:val="1"/>
          <w:bCs w:val="1"/>
          <w:color w:val="auto"/>
        </w:rPr>
        <w:t>Early Unwind Date</w:t>
      </w:r>
      <w:r>
        <w:rPr>
          <w:rFonts w:ascii="Arial" w:cs="Arial" w:eastAsia="Arial" w:hAnsi="Arial"/>
          <w:sz w:val="18"/>
          <w:szCs w:val="18"/>
          <w:color w:val="auto"/>
        </w:rPr>
        <w:t>”), the Transaction shall automatically terminate (the “</w:t>
      </w:r>
      <w:r>
        <w:rPr>
          <w:rFonts w:ascii="Arial" w:cs="Arial" w:eastAsia="Arial" w:hAnsi="Arial"/>
          <w:sz w:val="18"/>
          <w:szCs w:val="18"/>
          <w:b w:val="1"/>
          <w:bCs w:val="1"/>
          <w:color w:val="auto"/>
        </w:rPr>
        <w:t>Early Unwind</w:t>
      </w:r>
      <w:r>
        <w:rPr>
          <w:rFonts w:ascii="Arial" w:cs="Arial" w:eastAsia="Arial" w:hAnsi="Arial"/>
          <w:sz w:val="18"/>
          <w:szCs w:val="18"/>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424" w:hanging="424"/>
        <w:spacing w:after="0"/>
        <w:tabs>
          <w:tab w:leader="none" w:pos="424" w:val="left"/>
        </w:tabs>
        <w:numPr>
          <w:ilvl w:val="0"/>
          <w:numId w:val="436"/>
        </w:numPr>
        <w:rPr>
          <w:rFonts w:ascii="Arial" w:cs="Arial" w:eastAsia="Arial" w:hAnsi="Arial"/>
          <w:sz w:val="15"/>
          <w:szCs w:val="15"/>
          <w:color w:val="auto"/>
        </w:rPr>
      </w:pPr>
      <w:r>
        <w:rPr>
          <w:rFonts w:ascii="Arial" w:cs="Arial" w:eastAsia="Arial" w:hAnsi="Arial"/>
          <w:sz w:val="18"/>
          <w:szCs w:val="18"/>
          <w:color w:val="auto"/>
        </w:rPr>
        <w:t>Insert for Base Warrant Confirmation.</w:t>
      </w:r>
    </w:p>
    <w:p>
      <w:pPr>
        <w:spacing w:after="0" w:line="22" w:lineRule="exact"/>
        <w:rPr>
          <w:sz w:val="20"/>
          <w:szCs w:val="20"/>
          <w:color w:val="auto"/>
        </w:rPr>
      </w:pPr>
    </w:p>
    <w:p>
      <w:pPr>
        <w:ind w:left="424" w:hanging="424"/>
        <w:spacing w:after="0"/>
        <w:tabs>
          <w:tab w:leader="none" w:pos="424" w:val="left"/>
        </w:tabs>
        <w:numPr>
          <w:ilvl w:val="0"/>
          <w:numId w:val="437"/>
        </w:numPr>
        <w:rPr>
          <w:rFonts w:ascii="Arial" w:cs="Arial" w:eastAsia="Arial" w:hAnsi="Arial"/>
          <w:sz w:val="15"/>
          <w:szCs w:val="15"/>
          <w:color w:val="auto"/>
        </w:rPr>
      </w:pPr>
      <w:r>
        <w:rPr>
          <w:rFonts w:ascii="Arial" w:cs="Arial" w:eastAsia="Arial" w:hAnsi="Arial"/>
          <w:sz w:val="18"/>
          <w:szCs w:val="18"/>
          <w:color w:val="auto"/>
        </w:rPr>
        <w:t>Insert for Additional Warrant Confirmation.</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43" w:name="page344"/>
    <w:bookmarkEnd w:id="343"/>
    <w:p>
      <w:pPr>
        <w:ind w:left="964" w:right="340" w:hanging="532"/>
        <w:spacing w:after="0" w:line="275" w:lineRule="auto"/>
        <w:tabs>
          <w:tab w:leader="none" w:pos="964" w:val="left"/>
        </w:tabs>
        <w:numPr>
          <w:ilvl w:val="0"/>
          <w:numId w:val="438"/>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by Dealer</w:t>
      </w:r>
      <w:r>
        <w:rPr>
          <w:rFonts w:ascii="Arial" w:cs="Arial" w:eastAsia="Arial" w:hAnsi="Arial"/>
          <w:sz w:val="17"/>
          <w:szCs w:val="17"/>
          <w:color w:val="auto"/>
        </w:rPr>
        <w:t>. In the event that, following payment of the Premium, (i) an Early Termination Date occurs or is designated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Transaction as a result of a 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81" w:lineRule="exact"/>
        <w:rPr>
          <w:rFonts w:ascii="Arial" w:cs="Arial" w:eastAsia="Arial" w:hAnsi="Arial"/>
          <w:sz w:val="17"/>
          <w:szCs w:val="17"/>
          <w:color w:val="auto"/>
        </w:rPr>
      </w:pPr>
    </w:p>
    <w:p>
      <w:pPr>
        <w:ind w:left="964" w:hanging="532"/>
        <w:spacing w:after="0" w:line="257" w:lineRule="auto"/>
        <w:tabs>
          <w:tab w:leader="none" w:pos="964" w:val="left"/>
        </w:tabs>
        <w:numPr>
          <w:ilvl w:val="0"/>
          <w:numId w:val="438"/>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or Receipt of Cash</w:t>
      </w:r>
      <w:r>
        <w:rPr>
          <w:rFonts w:ascii="Arial" w:cs="Arial" w:eastAsia="Arial" w:hAnsi="Arial"/>
          <w:sz w:val="18"/>
          <w:szCs w:val="18"/>
          <w:color w:val="auto"/>
        </w:rPr>
        <w:t>. For the avoidance of doubt, other than receipt of the Premium by Company, nothing in this Confirmation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interpreted as requiring Company to cash settle the Transaction, except in circumstances where cash settlement is within Company’s control (including, without limitation, where Company elects to deliver or receive cash, or where Company has made Private Placement Settlement unavailable due to the occurrence of events within its control) or in those circumstances in which all holders of Shares would also receive cash.</w:t>
      </w:r>
    </w:p>
    <w:p>
      <w:pPr>
        <w:spacing w:after="0" w:line="93" w:lineRule="exact"/>
        <w:rPr>
          <w:rFonts w:ascii="Arial" w:cs="Arial" w:eastAsia="Arial" w:hAnsi="Arial"/>
          <w:sz w:val="18"/>
          <w:szCs w:val="18"/>
          <w:color w:val="auto"/>
        </w:rPr>
      </w:pPr>
    </w:p>
    <w:p>
      <w:pPr>
        <w:ind w:left="964" w:hanging="532"/>
        <w:spacing w:after="0" w:line="301" w:lineRule="auto"/>
        <w:tabs>
          <w:tab w:leader="none" w:pos="964" w:val="left"/>
        </w:tabs>
        <w:numPr>
          <w:ilvl w:val="0"/>
          <w:numId w:val="438"/>
        </w:numPr>
        <w:rPr>
          <w:rFonts w:ascii="Arial" w:cs="Arial" w:eastAsia="Arial" w:hAnsi="Arial"/>
          <w:sz w:val="16"/>
          <w:szCs w:val="16"/>
          <w:color w:val="auto"/>
        </w:rPr>
      </w:pPr>
      <w:r>
        <w:rPr>
          <w:rFonts w:ascii="Arial" w:cs="Arial" w:eastAsia="Arial" w:hAnsi="Arial"/>
          <w:sz w:val="16"/>
          <w:szCs w:val="16"/>
          <w:i w:val="1"/>
          <w:iCs w:val="1"/>
          <w:u w:val="single" w:color="auto"/>
          <w:color w:val="auto"/>
        </w:rPr>
        <w:t>Listing of Warrant Shares</w:t>
      </w:r>
      <w:r>
        <w:rPr>
          <w:rFonts w:ascii="Arial" w:cs="Arial" w:eastAsia="Arial" w:hAnsi="Arial"/>
          <w:sz w:val="16"/>
          <w:szCs w:val="16"/>
          <w:color w:val="auto"/>
        </w:rPr>
        <w:t>. Company shall have submitted an application for the listing of the Warrant Shares on the Exchange, and such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and listing shall have been approved by the Exchange, subject only to official notice of issuance, in each case, on or prior to the Premium Payment Date. Company agrees and acknowledges that such submission and approval shall be a condition precedent for the purpose of Section 2(a)(iii) of the Agreement with respect to each obligation of Dealer under Section 2(a)(i) of the Agreement.</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0"/>
          <w:numId w:val="438"/>
        </w:numPr>
        <w:rPr>
          <w:rFonts w:ascii="Arial" w:cs="Arial" w:eastAsia="Arial" w:hAnsi="Arial"/>
          <w:sz w:val="18"/>
          <w:szCs w:val="18"/>
          <w:color w:val="auto"/>
        </w:rPr>
      </w:pPr>
      <w:r>
        <w:rPr>
          <w:rFonts w:ascii="Arial" w:cs="Arial" w:eastAsia="Arial" w:hAnsi="Arial"/>
          <w:sz w:val="18"/>
          <w:szCs w:val="18"/>
          <w:i w:val="1"/>
          <w:iCs w:val="1"/>
          <w:u w:val="single" w:color="auto"/>
          <w:color w:val="auto"/>
        </w:rPr>
        <w:t>Tax Matters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424" w:hanging="439"/>
        <w:spacing w:after="0"/>
        <w:tabs>
          <w:tab w:leader="none" w:pos="1424" w:val="left"/>
        </w:tabs>
        <w:numPr>
          <w:ilvl w:val="1"/>
          <w:numId w:val="438"/>
        </w:numPr>
        <w:rPr>
          <w:rFonts w:ascii="Arial" w:cs="Arial" w:eastAsia="Arial" w:hAnsi="Arial"/>
          <w:sz w:val="18"/>
          <w:szCs w:val="18"/>
          <w:color w:val="auto"/>
        </w:rPr>
      </w:pPr>
      <w:r>
        <w:rPr>
          <w:rFonts w:ascii="Arial" w:cs="Arial" w:eastAsia="Arial" w:hAnsi="Arial"/>
          <w:sz w:val="18"/>
          <w:szCs w:val="18"/>
          <w:i w:val="1"/>
          <w:iCs w:val="1"/>
          <w:color w:val="auto"/>
        </w:rPr>
        <w:t>Payee Representations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For the purpose of Section 3(f) of this Agreement, Company makes the following representation to Dealer:</w:t>
      </w:r>
    </w:p>
    <w:p>
      <w:pPr>
        <w:spacing w:after="0" w:line="117" w:lineRule="exact"/>
        <w:rPr>
          <w:rFonts w:ascii="Arial" w:cs="Arial" w:eastAsia="Arial" w:hAnsi="Arial"/>
          <w:sz w:val="18"/>
          <w:szCs w:val="18"/>
          <w:color w:val="auto"/>
        </w:rPr>
      </w:pPr>
    </w:p>
    <w:p>
      <w:pPr>
        <w:ind w:left="1424" w:right="380"/>
        <w:spacing w:after="0" w:line="277" w:lineRule="auto"/>
        <w:rPr>
          <w:rFonts w:ascii="Arial" w:cs="Arial" w:eastAsia="Arial" w:hAnsi="Arial"/>
          <w:sz w:val="18"/>
          <w:szCs w:val="18"/>
          <w:color w:val="auto"/>
        </w:rPr>
      </w:pPr>
      <w:r>
        <w:rPr>
          <w:rFonts w:ascii="Arial" w:cs="Arial" w:eastAsia="Arial" w:hAnsi="Arial"/>
          <w:sz w:val="18"/>
          <w:szCs w:val="18"/>
          <w:color w:val="auto"/>
        </w:rPr>
        <w:t>Company is a corporation for U.S. tax purposes and a U.S. person (as that term is defined in Section 7701(a)(30)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For the purpose of Section 3(f) of this Agreement, Dealer makes the following representation to Company:</w:t>
      </w:r>
    </w:p>
    <w:p>
      <w:pPr>
        <w:spacing w:after="0" w:line="117" w:lineRule="exact"/>
        <w:rPr>
          <w:rFonts w:ascii="Arial" w:cs="Arial" w:eastAsia="Arial" w:hAnsi="Arial"/>
          <w:sz w:val="18"/>
          <w:szCs w:val="18"/>
          <w:color w:val="auto"/>
        </w:rPr>
      </w:pPr>
    </w:p>
    <w:p>
      <w:pPr>
        <w:jc w:val="both"/>
        <w:ind w:left="1424" w:right="160"/>
        <w:spacing w:after="0" w:line="263" w:lineRule="auto"/>
        <w:rPr>
          <w:rFonts w:ascii="Arial" w:cs="Arial" w:eastAsia="Arial" w:hAnsi="Arial"/>
          <w:sz w:val="18"/>
          <w:szCs w:val="18"/>
          <w:color w:val="auto"/>
        </w:rPr>
      </w:pPr>
      <w:r>
        <w:rPr>
          <w:rFonts w:ascii="Arial" w:cs="Arial" w:eastAsia="Arial" w:hAnsi="Arial"/>
          <w:sz w:val="18"/>
          <w:szCs w:val="18"/>
          <w:color w:val="auto"/>
        </w:rPr>
        <w:t>[It is a national banking association organized and existing under the laws of the United States of America, and its federal taxpayer identification number is [ ].]/ [It is a “U.S. person” (as that term is used in Section 1.1441-4(a)(3)(ii) of the United States Treasury Regulations) for U.S. federal income tax purposes.]</w:t>
      </w:r>
      <w:r>
        <w:rPr>
          <w:rFonts w:ascii="Arial" w:cs="Arial" w:eastAsia="Arial" w:hAnsi="Arial"/>
          <w:sz w:val="15"/>
          <w:szCs w:val="15"/>
          <w:color w:val="auto"/>
        </w:rPr>
        <w:t>7</w:t>
      </w:r>
    </w:p>
    <w:p>
      <w:pPr>
        <w:spacing w:after="0" w:line="89" w:lineRule="exact"/>
        <w:rPr>
          <w:rFonts w:ascii="Arial" w:cs="Arial" w:eastAsia="Arial" w:hAnsi="Arial"/>
          <w:sz w:val="18"/>
          <w:szCs w:val="18"/>
          <w:color w:val="auto"/>
        </w:rPr>
      </w:pPr>
    </w:p>
    <w:p>
      <w:pPr>
        <w:ind w:left="1424" w:right="80" w:hanging="439"/>
        <w:spacing w:after="0" w:line="279" w:lineRule="auto"/>
        <w:tabs>
          <w:tab w:leader="none" w:pos="1424" w:val="left"/>
        </w:tabs>
        <w:numPr>
          <w:ilvl w:val="1"/>
          <w:numId w:val="438"/>
        </w:numPr>
        <w:rPr>
          <w:rFonts w:ascii="Arial" w:cs="Arial" w:eastAsia="Arial" w:hAnsi="Arial"/>
          <w:sz w:val="17"/>
          <w:szCs w:val="17"/>
          <w:color w:val="auto"/>
        </w:rPr>
      </w:pPr>
      <w:r>
        <w:rPr>
          <w:rFonts w:ascii="Arial" w:cs="Arial" w:eastAsia="Arial" w:hAnsi="Arial"/>
          <w:sz w:val="17"/>
          <w:szCs w:val="17"/>
          <w:i w:val="1"/>
          <w:iCs w:val="1"/>
          <w:color w:val="auto"/>
        </w:rPr>
        <w:t xml:space="preserve">Tax Documentation. </w:t>
      </w:r>
      <w:r>
        <w:rPr>
          <w:rFonts w:ascii="Arial" w:cs="Arial" w:eastAsia="Arial" w:hAnsi="Arial"/>
          <w:sz w:val="17"/>
          <w:szCs w:val="17"/>
          <w:color w:val="auto"/>
        </w:rPr>
        <w:t>Each party shall provide to the other party a valid United States Internal Revenue Service Form W-9 (or</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thereto), (i) on or before the date of execution of this confirmation and (ii) promptly upon learning that any such tax form previously provided by it has become obsolete or incorrect. Additionally, each party shall, promptly upon request by the other party, provide such other tax forms and documents reasonably requested by the other party.</w:t>
      </w:r>
    </w:p>
    <w:p>
      <w:pPr>
        <w:spacing w:after="0" w:line="76" w:lineRule="exact"/>
        <w:rPr>
          <w:rFonts w:ascii="Arial" w:cs="Arial" w:eastAsia="Arial" w:hAnsi="Arial"/>
          <w:sz w:val="17"/>
          <w:szCs w:val="17"/>
          <w:color w:val="auto"/>
        </w:rPr>
      </w:pPr>
    </w:p>
    <w:p>
      <w:pPr>
        <w:ind w:left="1424" w:right="20" w:hanging="439"/>
        <w:spacing w:after="0" w:line="273" w:lineRule="auto"/>
        <w:tabs>
          <w:tab w:leader="none" w:pos="1424" w:val="left"/>
        </w:tabs>
        <w:numPr>
          <w:ilvl w:val="1"/>
          <w:numId w:val="438"/>
        </w:numPr>
        <w:rPr>
          <w:rFonts w:ascii="Arial" w:cs="Arial" w:eastAsia="Arial" w:hAnsi="Arial"/>
          <w:sz w:val="17"/>
          <w:szCs w:val="17"/>
          <w:color w:val="auto"/>
        </w:rPr>
      </w:pPr>
      <w:r>
        <w:rPr>
          <w:rFonts w:ascii="Arial" w:cs="Arial" w:eastAsia="Arial" w:hAnsi="Arial"/>
          <w:sz w:val="17"/>
          <w:szCs w:val="17"/>
          <w:i w:val="1"/>
          <w:iCs w:val="1"/>
          <w:color w:val="auto"/>
        </w:rPr>
        <w:t>Withholding Tax imposed on payments to non-US counterparties under the United States Foreign Account Tax Compliance Act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 Withholding Tax</w:t>
      </w:r>
      <w:r>
        <w:rPr>
          <w:rFonts w:ascii="Arial" w:cs="Arial" w:eastAsia="Arial" w:hAnsi="Arial"/>
          <w:sz w:val="17"/>
          <w:szCs w:val="17"/>
          <w:color w:val="auto"/>
        </w:rPr>
        <w:t>”). For the avoidance of doubt,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424" w:hanging="424"/>
        <w:spacing w:after="0"/>
        <w:tabs>
          <w:tab w:leader="none" w:pos="424" w:val="left"/>
        </w:tabs>
        <w:numPr>
          <w:ilvl w:val="0"/>
          <w:numId w:val="439"/>
        </w:numPr>
        <w:rPr>
          <w:rFonts w:ascii="Arial" w:cs="Arial" w:eastAsia="Arial" w:hAnsi="Arial"/>
          <w:sz w:val="15"/>
          <w:szCs w:val="15"/>
          <w:color w:val="auto"/>
        </w:rPr>
      </w:pPr>
      <w:r>
        <w:rPr>
          <w:rFonts w:ascii="Arial" w:cs="Arial" w:eastAsia="Arial" w:hAnsi="Arial"/>
          <w:sz w:val="18"/>
          <w:szCs w:val="18"/>
          <w:color w:val="auto"/>
        </w:rPr>
        <w:t>Insert as applicable.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44" w:name="page345"/>
    <w:bookmarkEnd w:id="344"/>
    <w:p>
      <w:pPr>
        <w:ind w:left="1000"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FATCA Withholding Tax is a Tax the deduction or withholding of which is required by applicable law for the purposes of Section 2(d) of the Agreement.</w:t>
      </w:r>
    </w:p>
    <w:p>
      <w:pPr>
        <w:spacing w:after="0" w:line="76" w:lineRule="exact"/>
        <w:rPr>
          <w:sz w:val="20"/>
          <w:szCs w:val="20"/>
          <w:color w:val="auto"/>
        </w:rPr>
      </w:pPr>
    </w:p>
    <w:p>
      <w:pPr>
        <w:ind w:left="1000" w:hanging="439"/>
        <w:spacing w:after="0" w:line="342" w:lineRule="auto"/>
        <w:tabs>
          <w:tab w:leader="none" w:pos="1000" w:val="left"/>
        </w:tabs>
        <w:numPr>
          <w:ilvl w:val="1"/>
          <w:numId w:val="440"/>
        </w:numPr>
        <w:rPr>
          <w:rFonts w:ascii="Arial" w:cs="Arial" w:eastAsia="Arial" w:hAnsi="Arial"/>
          <w:sz w:val="16"/>
          <w:szCs w:val="16"/>
          <w:color w:val="auto"/>
        </w:rPr>
      </w:pPr>
      <w:r>
        <w:rPr>
          <w:rFonts w:ascii="Arial" w:cs="Arial" w:eastAsia="Arial" w:hAnsi="Arial"/>
          <w:sz w:val="16"/>
          <w:szCs w:val="16"/>
          <w:i w:val="1"/>
          <w:iCs w:val="1"/>
          <w:color w:val="auto"/>
        </w:rPr>
        <w:t>HIRE Act</w:t>
      </w:r>
      <w:r>
        <w:rPr>
          <w:rFonts w:ascii="Arial" w:cs="Arial" w:eastAsia="Arial" w:hAnsi="Arial"/>
          <w:sz w:val="16"/>
          <w:szCs w:val="16"/>
          <w:color w:val="auto"/>
        </w:rPr>
        <w:t>. “Indemnifiable Tax”, as defined in Section 14 of the Agreement, shall not include any tax imposed on payments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from sources within the United States under Section 871(m) of the Code or any regulations issued thereunder.</w:t>
      </w:r>
    </w:p>
    <w:p>
      <w:pPr>
        <w:spacing w:after="0" w:line="25" w:lineRule="exact"/>
        <w:rPr>
          <w:rFonts w:ascii="Arial" w:cs="Arial" w:eastAsia="Arial" w:hAnsi="Arial"/>
          <w:sz w:val="16"/>
          <w:szCs w:val="16"/>
          <w:color w:val="auto"/>
        </w:rPr>
      </w:pPr>
    </w:p>
    <w:p>
      <w:pPr>
        <w:ind w:left="540" w:hanging="532"/>
        <w:spacing w:after="0"/>
        <w:tabs>
          <w:tab w:leader="none" w:pos="540" w:val="left"/>
        </w:tabs>
        <w:numPr>
          <w:ilvl w:val="0"/>
          <w:numId w:val="441"/>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ind w:left="540" w:right="14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THE NEW YORK GENERAL OBLIGATIONS LAW).</w:t>
      </w:r>
    </w:p>
    <w:p>
      <w:pPr>
        <w:spacing w:after="0" w:line="95"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441"/>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Confirmation and the Agreement may not be modified, amended or supplemented, except in a written instrument signed</w:t>
      </w:r>
      <w:r>
        <w:rPr>
          <w:rFonts w:ascii="Arial" w:cs="Arial" w:eastAsia="Arial" w:hAnsi="Arial"/>
          <w:sz w:val="18"/>
          <w:szCs w:val="18"/>
          <w:i w:val="1"/>
          <w:iCs w:val="1"/>
          <w:color w:val="auto"/>
        </w:rPr>
        <w:t xml:space="preserve"> </w:t>
      </w:r>
      <w:r>
        <w:rPr>
          <w:rFonts w:ascii="Arial" w:cs="Arial" w:eastAsia="Arial" w:hAnsi="Arial"/>
          <w:sz w:val="18"/>
          <w:szCs w:val="18"/>
          <w:color w:val="auto"/>
        </w:rPr>
        <w:t>by Company and Dealer.</w:t>
      </w:r>
    </w:p>
    <w:p>
      <w:pPr>
        <w:spacing w:after="0" w:line="75" w:lineRule="exact"/>
        <w:rPr>
          <w:rFonts w:ascii="Arial" w:cs="Arial" w:eastAsia="Arial" w:hAnsi="Arial"/>
          <w:sz w:val="18"/>
          <w:szCs w:val="18"/>
          <w:color w:val="auto"/>
        </w:rPr>
      </w:pPr>
    </w:p>
    <w:p>
      <w:pPr>
        <w:ind w:left="540" w:right="420" w:hanging="532"/>
        <w:spacing w:after="0" w:line="277" w:lineRule="auto"/>
        <w:tabs>
          <w:tab w:leader="none" w:pos="540" w:val="left"/>
        </w:tabs>
        <w:numPr>
          <w:ilvl w:val="0"/>
          <w:numId w:val="441"/>
        </w:numPr>
        <w:rPr>
          <w:rFonts w:ascii="Arial" w:cs="Arial" w:eastAsia="Arial" w:hAnsi="Arial"/>
          <w:sz w:val="18"/>
          <w:szCs w:val="18"/>
          <w:color w:val="auto"/>
        </w:rPr>
      </w:pPr>
      <w:r>
        <w:rPr>
          <w:rFonts w:ascii="Arial" w:cs="Arial" w:eastAsia="Arial" w:hAnsi="Arial"/>
          <w:sz w:val="18"/>
          <w:szCs w:val="18"/>
          <w:i w:val="1"/>
          <w:iCs w:val="1"/>
          <w:u w:val="single" w:color="auto"/>
          <w:color w:val="auto"/>
        </w:rPr>
        <w:t>Counterparts</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Confirmation may be executed in several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80"/>
          </w:cols>
          <w:pgMar w:left="860" w:top="274" w:right="459" w:bottom="1440" w:gutter="0" w:footer="0" w:header="0"/>
        </w:sectPr>
      </w:pPr>
    </w:p>
    <w:bookmarkStart w:id="345" w:name="page346"/>
    <w:bookmarkEnd w:id="34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Company with respect to the Transaction, by manually signing this Confirmation or this page hereof as evidence of agreement to such terms and providing the other information requested herein and immediately returning an executed copy to Dealer.</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546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Trade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[Base][Additional] Warrant Confirmation]</w:t>
      </w:r>
    </w:p>
    <w:p>
      <w:pPr>
        <w:sectPr>
          <w:pgSz w:w="11900" w:h="16838" w:orient="portrait"/>
          <w:cols w:equalWidth="0" w:num="1">
            <w:col w:w="10960"/>
          </w:cols>
          <w:pgMar w:left="440" w:top="274" w:right="49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Expiration Dates and the Daily Number of Warrants for each Expiration Date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3"/>
          </w:tcPr>
          <w:p>
            <w:pPr>
              <w:ind w:left="2320"/>
              <w:spacing w:after="0"/>
              <w:rPr>
                <w:sz w:val="20"/>
                <w:szCs w:val="20"/>
                <w:color w:val="auto"/>
              </w:rPr>
            </w:pPr>
            <w:r>
              <w:rPr>
                <w:rFonts w:ascii="Arial" w:cs="Arial" w:eastAsia="Arial" w:hAnsi="Arial"/>
                <w:sz w:val="14"/>
                <w:szCs w:val="14"/>
                <w:b w:val="1"/>
                <w:bCs w:val="1"/>
                <w:color w:val="auto"/>
              </w:rPr>
              <w:t>Expiration Date</w:t>
            </w:r>
          </w:p>
        </w:tc>
        <w:tc>
          <w:tcPr>
            <w:tcW w:w="5280" w:type="dxa"/>
            <w:vAlign w:val="bottom"/>
            <w:gridSpan w:val="2"/>
          </w:tcPr>
          <w:p>
            <w:pPr>
              <w:jc w:val="right"/>
              <w:ind w:right="1730"/>
              <w:spacing w:after="0"/>
              <w:rPr>
                <w:sz w:val="20"/>
                <w:szCs w:val="20"/>
                <w:color w:val="auto"/>
              </w:rPr>
            </w:pPr>
            <w:r>
              <w:rPr>
                <w:rFonts w:ascii="Arial" w:cs="Arial" w:eastAsia="Arial" w:hAnsi="Arial"/>
                <w:sz w:val="14"/>
                <w:szCs w:val="14"/>
                <w:b w:val="1"/>
                <w:bCs w:val="1"/>
                <w:color w:val="auto"/>
              </w:rPr>
              <w:t>Daily Number of Warrants</w:t>
            </w:r>
          </w:p>
        </w:tc>
      </w:tr>
      <w:tr>
        <w:trPr>
          <w:trHeight w:val="195"/>
        </w:trPr>
        <w:tc>
          <w:tcPr>
            <w:tcW w:w="282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2800" w:type="dxa"/>
            <w:vAlign w:val="bottom"/>
            <w:tcBorders>
              <w:top w:val="single" w:sz="8" w:color="auto"/>
            </w:tcBorders>
          </w:tcPr>
          <w:p>
            <w:pPr>
              <w:jc w:val="right"/>
              <w:ind w:right="229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6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2640" w:type="dxa"/>
            <w:vAlign w:val="bottom"/>
            <w:tcBorders>
              <w:top w:val="single" w:sz="8" w:color="auto"/>
            </w:tcBorders>
          </w:tcPr>
          <w:p>
            <w:pPr>
              <w:jc w:val="right"/>
              <w:ind w:right="2130"/>
              <w:spacing w:after="0" w:line="195" w:lineRule="exact"/>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21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0" w:right="4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Execution Version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THIRD AMENDMENT AND RESTATEMENT AGREEMENT dated as of February 23, 2021 (this “</w:t>
      </w:r>
      <w:r>
        <w:rPr>
          <w:rFonts w:ascii="Arial" w:cs="Arial" w:eastAsia="Arial" w:hAnsi="Arial"/>
          <w:sz w:val="18"/>
          <w:szCs w:val="18"/>
          <w:u w:val="single" w:color="auto"/>
          <w:color w:val="auto"/>
        </w:rPr>
        <w:t>Amendment</w:t>
      </w:r>
      <w:r>
        <w:rPr>
          <w:rFonts w:ascii="Arial" w:cs="Arial" w:eastAsia="Arial" w:hAnsi="Arial"/>
          <w:sz w:val="18"/>
          <w:szCs w:val="18"/>
          <w:color w:val="auto"/>
        </w:rPr>
        <w:t>”), relating to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and Guaranty Agreement dated as of March 20, 2014 (as amended and restated by the Amendment and Restatement Agreement dated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May 9, 2014 and the Second Amendment and Restatement Agreement dated as of April 3, 2017, and as further amended by the Incremental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and Amendment Agreement dated as of February 9, 2018,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among DROPBOX, INC., as Borrower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party thereto, the Lenders (the “</w:t>
      </w:r>
      <w:r>
        <w:rPr>
          <w:rFonts w:ascii="Arial" w:cs="Arial" w:eastAsia="Arial" w:hAnsi="Arial"/>
          <w:sz w:val="17"/>
          <w:szCs w:val="17"/>
          <w:u w:val="single" w:color="auto"/>
          <w:color w:val="auto"/>
        </w:rPr>
        <w:t>Existing Lenders</w:t>
      </w:r>
      <w:r>
        <w:rPr>
          <w:rFonts w:ascii="Arial" w:cs="Arial" w:eastAsia="Arial" w:hAnsi="Arial"/>
          <w:sz w:val="17"/>
          <w:szCs w:val="17"/>
          <w:color w:val="auto"/>
        </w:rPr>
        <w:t>”) and Issuing Banks party thereto, and JPMORGAN CHASE BANK,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 as Swing Line Lender and the Administrative Agent and Collateral Agent for the Existing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RECITALS</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A. The Existing Lenders have agreed to extend credit to the Borrower under the Existing Credit Agreement on the terms and subject to the conditions set forth therein.</w:t>
      </w:r>
    </w:p>
    <w:p>
      <w:pPr>
        <w:spacing w:after="0" w:line="170"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B. The Borrower has requested that the Existing Credit Agreement be amended and restated to provide for, among other things, (a) a reduction in the aggregate amount of the Commitments (as defined in the Existing Credit Agreement) to an aggregate total amount of $500,000,000, (b) an extension of the Maturity Date (as defined in the Existing Credit Agreement) to the date that is five years following the Third Amendment Effective Date (as defined below) and (c) certain other modifications to be made to the Existing Credit Agreement.</w:t>
      </w:r>
    </w:p>
    <w:p>
      <w:pPr>
        <w:spacing w:after="0" w:line="17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C. In order to effect the foregoing, the Borrower and the other parties hereto desire to amend and restate, as of the Third Amendment Effective Date, the Existing Credit Agreement and to enter into certain other agreements herein, in each case subject to the terms and conditions set forth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AGREEMENTS</w:t>
      </w:r>
    </w:p>
    <w:p>
      <w:pPr>
        <w:spacing w:after="0" w:line="225" w:lineRule="exact"/>
        <w:rPr>
          <w:sz w:val="20"/>
          <w:szCs w:val="20"/>
          <w:color w:val="auto"/>
        </w:rPr>
      </w:pPr>
    </w:p>
    <w:p>
      <w:pPr>
        <w:ind w:right="840" w:firstLine="991"/>
        <w:spacing w:after="0" w:line="277"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herein and not otherwise defined herein have the meanings assigned to them in the Existing Credit Agreement or the Restated Credit Agreement (as defined below), as the context may require. The interpretive provisions specified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Existing Credit Agreement also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 and Restatement of the Existing Credit Agreement; Schedules to Security Agreement</w:t>
      </w:r>
      <w:r>
        <w:rPr>
          <w:rFonts w:ascii="Arial" w:cs="Arial" w:eastAsia="Arial" w:hAnsi="Arial"/>
          <w:sz w:val="18"/>
          <w:szCs w:val="18"/>
          <w:color w:val="auto"/>
        </w:rPr>
        <w:t>. Effective as of the Third Amendment Effective Date:</w:t>
      </w:r>
    </w:p>
    <w:p>
      <w:pPr>
        <w:spacing w:after="0" w:line="62" w:lineRule="exact"/>
        <w:rPr>
          <w:sz w:val="20"/>
          <w:szCs w:val="20"/>
          <w:color w:val="auto"/>
        </w:rPr>
      </w:pPr>
    </w:p>
    <w:p>
      <w:pPr>
        <w:ind w:right="160" w:firstLine="987"/>
        <w:spacing w:after="0" w:line="286" w:lineRule="auto"/>
        <w:tabs>
          <w:tab w:leader="none" w:pos="123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The Existing Credit Agreement (excluding all exhibits thereto, each of which shall remain as in effect immediately prior to the Third Amendment Effective Date) is amended and restated in its entirety in the form of the Revolving Credit and Guaranty Agreement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Existing Credit Agreement, as so amended and restated, being referred to as the “</w:t>
      </w:r>
      <w:r>
        <w:rPr>
          <w:rFonts w:ascii="Arial" w:cs="Arial" w:eastAsia="Arial" w:hAnsi="Arial"/>
          <w:sz w:val="17"/>
          <w:szCs w:val="17"/>
          <w:u w:val="single" w:color="auto"/>
          <w:color w:val="auto"/>
        </w:rPr>
        <w:t>Restated Credit Agreement</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348" w:name="page349"/>
    <w:bookmarkEnd w:id="348"/>
    <w:p>
      <w:pPr>
        <w:ind w:left="4" w:right="40" w:firstLine="987"/>
        <w:spacing w:after="0" w:line="277" w:lineRule="auto"/>
        <w:tabs>
          <w:tab w:leader="none" w:pos="1250"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Schedule to the Existing Credit Agreement is hereby amended and restated in the form of the corresponding Schedule attached to the Disclosure Letter.</w:t>
      </w:r>
    </w:p>
    <w:p>
      <w:pPr>
        <w:spacing w:after="0" w:line="62" w:lineRule="exact"/>
        <w:rPr>
          <w:rFonts w:ascii="Arial" w:cs="Arial" w:eastAsia="Arial" w:hAnsi="Arial"/>
          <w:sz w:val="18"/>
          <w:szCs w:val="18"/>
          <w:color w:val="auto"/>
        </w:rPr>
      </w:pPr>
    </w:p>
    <w:p>
      <w:pPr>
        <w:jc w:val="both"/>
        <w:ind w:left="4" w:right="20" w:firstLine="987"/>
        <w:spacing w:after="0" w:line="263" w:lineRule="auto"/>
        <w:tabs>
          <w:tab w:leader="none" w:pos="12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Each Schedule to the Pledge and Security Agreement dated as of March 20, 2014 (as supplemented or otherwise modified from time to time prior to the date hereof,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by and among the Grantors referred to therein and the Collateral Agent, is hereby amended and restated in the form of the corresponding Schedule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84"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Consenting Lenders; Commitments and Revolving Loans</w:t>
      </w:r>
      <w:r>
        <w:rPr>
          <w:rFonts w:ascii="Arial" w:cs="Arial" w:eastAsia="Arial" w:hAnsi="Arial"/>
          <w:sz w:val="16"/>
          <w:szCs w:val="16"/>
          <w:color w:val="auto"/>
        </w:rPr>
        <w:t>. (a) Each Existing Lender holding Commitments and/or Revolving Loans outstanding immediately prior to the Third Amendment Effective Date that executes and delivers a signature page to this Amendment (each,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on or prior to the Third Amendment Effective Date, will have agreed to the terms of this Amendment upon the effectiveness of this Amendment on the Third Amendment Effective Date. Each Existing Lender that does not execute and deliver a signature page to this Amendment on or prior to the Third Amendment Effective Date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will be deemed not to have agreed to this Amendment and will be subject to the mandatory assignment provisions of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of the Existing Credit Agreement upon the effectiveness of this Amendment on the Third Amendment Effective Date (it being understood that the interests, rights and obligations of the Non-Consenting Lenders will be assumed by</w:t>
      </w:r>
    </w:p>
    <w:p>
      <w:pPr>
        <w:spacing w:after="0" w:line="2" w:lineRule="exact"/>
        <w:rPr>
          <w:sz w:val="20"/>
          <w:szCs w:val="20"/>
          <w:color w:val="auto"/>
        </w:rPr>
      </w:pPr>
    </w:p>
    <w:p>
      <w:pPr>
        <w:ind w:left="4" w:right="200" w:hanging="4"/>
        <w:spacing w:after="0" w:line="260" w:lineRule="auto"/>
        <w:tabs>
          <w:tab w:leader="none" w:pos="249"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certain Consenting Lenders and (b) certain financial institutions that are not Existing Lenders but are party hereto (each, an </w:t>
      </w:r>
      <w:r>
        <w:rPr>
          <w:rFonts w:ascii="Arial" w:cs="Arial" w:eastAsia="Arial" w:hAnsi="Arial"/>
          <w:sz w:val="18"/>
          <w:szCs w:val="18"/>
          <w:u w:val="single" w:color="auto"/>
          <w:color w:val="auto"/>
        </w:rPr>
        <w:t>Assuming Lender</w:t>
      </w:r>
      <w:r>
        <w:rPr>
          <w:rFonts w:ascii="Arial" w:cs="Arial" w:eastAsia="Arial" w:hAnsi="Arial"/>
          <w:sz w:val="18"/>
          <w:szCs w:val="18"/>
          <w:color w:val="auto"/>
        </w:rPr>
        <w:t>”), in each case, in accordance with the terms hereof).</w:t>
      </w:r>
    </w:p>
    <w:p>
      <w:pPr>
        <w:spacing w:after="0" w:line="77" w:lineRule="exact"/>
        <w:rPr>
          <w:rFonts w:ascii="Arial" w:cs="Arial" w:eastAsia="Arial" w:hAnsi="Arial"/>
          <w:sz w:val="18"/>
          <w:szCs w:val="18"/>
          <w:color w:val="auto"/>
        </w:rPr>
      </w:pPr>
    </w:p>
    <w:p>
      <w:pPr>
        <w:ind w:left="4" w:right="80" w:firstLine="987"/>
        <w:spacing w:after="0" w:line="286" w:lineRule="auto"/>
        <w:tabs>
          <w:tab w:leader="none" w:pos="125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On the Third Amendment Effective Date, each Assuming Lender shall become, and each Consenting Lender shall continue to be, a “Lender” under the Restated Credit Agreement and each Assuming Lender shall have, and each Consenting Lender shall continue to have, all the rights and obligations of a “Lender” holding a Commitment or a Revolving Loan under the Restated Credit Agreement.</w:t>
      </w:r>
    </w:p>
    <w:p>
      <w:pPr>
        <w:spacing w:after="0" w:line="57" w:lineRule="exact"/>
        <w:rPr>
          <w:rFonts w:ascii="Arial" w:cs="Arial" w:eastAsia="Arial" w:hAnsi="Arial"/>
          <w:sz w:val="17"/>
          <w:szCs w:val="17"/>
          <w:color w:val="auto"/>
        </w:rPr>
      </w:pPr>
    </w:p>
    <w:p>
      <w:pPr>
        <w:ind w:left="4" w:right="40" w:firstLine="987"/>
        <w:spacing w:after="0" w:line="287" w:lineRule="auto"/>
        <w:tabs>
          <w:tab w:leader="none" w:pos="124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 xml:space="preserve">On the Third Amendment Effective Date, (i) each Consenting Lender and Assuming Lender shall make available to the Administrative Agent such amounts in immediately available funds as the Administrative Agent shall determine, for the benefit of the other Lenders, as being required in order to cause, after giving effect to this Amendment and the application of such amounts to make payments to such other Lenders, the Revolving Loans to be held ratably by all Lenders as of the Third Amendment Effective Date in accordance with their respective Applicable Percentages (as determined on the Third Amendment Effective Date based on the Commitments set forth in Schedule 2.1 to the Restated Credit Agreement), (ii) the Borrower shall be deemed to have prepaid and reborrowed all outstanding Revolving Loans made to it as of the Third Amendment Effective Date (with each such borrowing to consist of Revolving Loans, with related Interest Periods, if applicable, specified in a notice delivered by the Borrower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of the Restated Credit Agreement) and (iii) the Borrower shall pay to the Existing Lenders (other than any Consenting Lender, each of whom hereby consents, on behalf of itself and its Affiliates, to waive the payment of any amounts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the Existing Credit Agreement as a result of the transactions contemplated hereby) the amounts, if any,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the Existing Credit Agreement as a result of such prepayment. In addition, each Consenting Lender and Assuming Lender acknowledges and</w:t>
      </w:r>
    </w:p>
    <w:p>
      <w:pPr>
        <w:spacing w:after="0" w:line="2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49" w:name="page350"/>
    <w:bookmarkEnd w:id="34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agrees that on the Third Amendment Effective Date and without any further action on the part of the any Issuing Bank or any Lender, all outstanding participations in Letters of Credit issued under the Existing Credit Agreement shall be canceled and each Issuing Bank shall have granted to each Lender (after giving effect to this Amendment), and each such Lender shall have acquired from each Issuing Bank, a participation in each Letter of Credit issued by such Issuing Bank and outstanding on the Third Amendment Effective Date equal to such Lender’s Applicable Percentage (as determined on the Third Amendment Effective Date based on the Commitments set forth in Schedule 2.1 to the Restated Credit Agreement) of the aggregate amount available to be drawn under such Letters of Credit. Such participations shall be governed by the terms of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of the Restated Credit Agreement. For the avoidance of doubt, any Existing Lender that is not listed on Schedule 2.1 to the Restated Credit Agreement shall have no further obligations under the Existing Credit Agreement or the Restated Credit Agreement.</w:t>
      </w:r>
    </w:p>
    <w:p>
      <w:pPr>
        <w:spacing w:after="0" w:line="17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other parties hereto to enter into this Amendment, each Loan Party represents and warrants to each other party hereto that, as of the Third Amendment Effective Date:</w:t>
      </w:r>
    </w:p>
    <w:p>
      <w:pPr>
        <w:spacing w:after="0" w:line="62" w:lineRule="exact"/>
        <w:rPr>
          <w:sz w:val="20"/>
          <w:szCs w:val="20"/>
          <w:color w:val="auto"/>
        </w:rPr>
      </w:pPr>
    </w:p>
    <w:p>
      <w:pPr>
        <w:ind w:right="440" w:firstLine="987"/>
        <w:spacing w:after="0" w:line="259" w:lineRule="auto"/>
        <w:tabs>
          <w:tab w:leader="none" w:pos="123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This Amendment has been duly authorized, executed and delivered by it and this Amendment and the Restated Credit Agreement constitute its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78" w:lineRule="exact"/>
        <w:rPr>
          <w:rFonts w:ascii="Arial" w:cs="Arial" w:eastAsia="Arial" w:hAnsi="Arial"/>
          <w:sz w:val="18"/>
          <w:szCs w:val="18"/>
          <w:color w:val="auto"/>
        </w:rPr>
      </w:pPr>
    </w:p>
    <w:p>
      <w:pPr>
        <w:ind w:right="80" w:firstLine="987"/>
        <w:spacing w:after="0" w:line="275" w:lineRule="auto"/>
        <w:tabs>
          <w:tab w:leader="none" w:pos="1246"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of the Restated Credit Agreement are, after giving effect to this Amendment, true and correct in all material respects (other than to the extent qualified by materiality or “Material Adverse Effect”, in which case, such representations and warranties are true and correct in all respects) on and as of the Third Amendment Effective Date with the same effect as though made on and as of the Third Amendment Effective Date, except to the extent such representations and warranties expressly relate to an earlier date (in which case such representations and warranties were true and correct in all material respects as of such earlier date).</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After giving effect to this Amendment and the transactions contemplated hereby, no Default or Event of Default has occurred and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21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Effectiveness</w:t>
      </w:r>
      <w:r>
        <w:rPr>
          <w:rFonts w:ascii="Arial" w:cs="Arial" w:eastAsia="Arial" w:hAnsi="Arial"/>
          <w:sz w:val="18"/>
          <w:szCs w:val="18"/>
          <w:color w:val="auto"/>
        </w:rPr>
        <w:t>. (a) This Amendment shall become effective as of the first date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on which each of the following conditions shall have been satisfied:</w:t>
      </w:r>
    </w:p>
    <w:p>
      <w:pPr>
        <w:spacing w:after="0" w:line="62" w:lineRule="exact"/>
        <w:rPr>
          <w:sz w:val="20"/>
          <w:szCs w:val="20"/>
          <w:color w:val="auto"/>
        </w:rPr>
      </w:pPr>
    </w:p>
    <w:p>
      <w:pPr>
        <w:jc w:val="both"/>
        <w:ind w:left="440" w:right="280" w:firstLine="419"/>
        <w:spacing w:after="0" w:line="286" w:lineRule="auto"/>
        <w:tabs>
          <w:tab w:leader="none" w:pos="1078"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Administrative Agent shall have received duly executed counterparts hereof that, when taken together, bear the signatures of each Loan Party, each Consenting Lender, each Assuming Lender, Lenders constituting the Required Lenders under the Existing Credit Agreement, each Issuing Bank, the Swing Line Lender, the Administrative Agent and the Collateral Agent.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50" w:name="page351"/>
    <w:bookmarkEnd w:id="350"/>
    <w:p>
      <w:pPr>
        <w:ind w:firstLine="419"/>
        <w:spacing w:after="0" w:line="263" w:lineRule="auto"/>
        <w:tabs>
          <w:tab w:leader="none" w:pos="688" w:val="left"/>
        </w:tabs>
        <w:numPr>
          <w:ilvl w:val="0"/>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representations and warranties set forth in Section 4 hereof shall be true and correct on and as of the Third Amendment Effective Date, and the Administrative Agent shall have received a certificate of the President, a Vice President or a Financial Officer of the Borrower, dated the Third Amendment Effective Date, to such effect.</w:t>
      </w:r>
    </w:p>
    <w:p>
      <w:pPr>
        <w:spacing w:after="0" w:line="75" w:lineRule="exact"/>
        <w:rPr>
          <w:rFonts w:ascii="Arial" w:cs="Arial" w:eastAsia="Arial" w:hAnsi="Arial"/>
          <w:sz w:val="18"/>
          <w:szCs w:val="18"/>
          <w:color w:val="auto"/>
        </w:rPr>
      </w:pPr>
    </w:p>
    <w:p>
      <w:pPr>
        <w:ind w:right="60" w:firstLine="419"/>
        <w:spacing w:after="0" w:line="286" w:lineRule="auto"/>
        <w:tabs>
          <w:tab w:leader="none" w:pos="738"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The Administrative Agent shall have received a favorable written opinion (addressed to the Administrative Agent, the Collateral Agent, the Issuing Banks and the Lenders and dated the Third Amendment Effective Date) of Wilson Sonsini Goodrich &amp; Rosati, P.C., counsel for the Borrower and the Guarantors in form and substance reasonably satisfactory to the Administrative Agent.</w:t>
      </w:r>
    </w:p>
    <w:p>
      <w:pPr>
        <w:spacing w:after="0" w:line="57" w:lineRule="exact"/>
        <w:rPr>
          <w:rFonts w:ascii="Arial" w:cs="Arial" w:eastAsia="Arial" w:hAnsi="Arial"/>
          <w:sz w:val="17"/>
          <w:szCs w:val="17"/>
          <w:color w:val="auto"/>
        </w:rPr>
      </w:pPr>
    </w:p>
    <w:p>
      <w:pPr>
        <w:ind w:right="140" w:firstLine="419"/>
        <w:spacing w:after="0" w:line="273" w:lineRule="auto"/>
        <w:tabs>
          <w:tab w:leader="none" w:pos="728"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certified copies of the resolutions of the board of directors of the Borrower and each other Loan Party approving this Amendment and the transactions contemplated hereby and the execution, delivery and performance of this Amendment, and all documents evidencing other necessary corporate (or other applicable organizational) action and governmental approvals, if any, with respect to this Amendment and the transactions contemplated hereby and (b) all other documents reasonably requested by the Administrative Agent relating to the organization, existence and good standing (or the equivalent in the jurisdiction of organization of such Loan Party) of each Loan Party and authorization of this Amendment and the transactions contemplated hereby.</w:t>
      </w:r>
    </w:p>
    <w:p>
      <w:pPr>
        <w:spacing w:after="0" w:line="69" w:lineRule="exact"/>
        <w:rPr>
          <w:rFonts w:ascii="Arial" w:cs="Arial" w:eastAsia="Arial" w:hAnsi="Arial"/>
          <w:sz w:val="17"/>
          <w:szCs w:val="17"/>
          <w:color w:val="auto"/>
        </w:rPr>
      </w:pPr>
    </w:p>
    <w:p>
      <w:pPr>
        <w:ind w:right="240" w:firstLine="419"/>
        <w:spacing w:after="0" w:line="263" w:lineRule="auto"/>
        <w:tabs>
          <w:tab w:leader="none" w:pos="67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Secretary or an Assistant Secretary of each Loan Party certifying the names and true signatures of the officers of such Loan Party authorized to sign this Amendment and any other documents to be delivered hereunder on the Third Amendment Effective Date.</w:t>
      </w:r>
    </w:p>
    <w:p>
      <w:pPr>
        <w:spacing w:after="0" w:line="75" w:lineRule="exact"/>
        <w:rPr>
          <w:rFonts w:ascii="Arial" w:cs="Arial" w:eastAsia="Arial" w:hAnsi="Arial"/>
          <w:sz w:val="18"/>
          <w:szCs w:val="18"/>
          <w:color w:val="auto"/>
        </w:rPr>
      </w:pPr>
    </w:p>
    <w:p>
      <w:pPr>
        <w:ind w:right="40" w:firstLine="419"/>
        <w:spacing w:after="0" w:line="257" w:lineRule="auto"/>
        <w:tabs>
          <w:tab w:leader="none" w:pos="72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Lenders, the Joint Bookrunners and the Administrative Agent shall have received all fees required to be paid by the Borrower on or before the Third Amendment Effective Date, and all expenses required to be reimbursed by the Borrower pursuant to the Restated Credit Agreement, any other agreement in writing between the Borrower and any Lender, Joint Bookrunner or the Administrative Agent, and the Fee Letter (as defined in the Restated Credit Agreement) for which invoices have been presented at least three Business Days prior to the Third Amendment Effective Date, on or before the Third Amendment Effective Date.</w:t>
      </w:r>
    </w:p>
    <w:p>
      <w:pPr>
        <w:spacing w:after="0" w:line="79" w:lineRule="exact"/>
        <w:rPr>
          <w:rFonts w:ascii="Arial" w:cs="Arial" w:eastAsia="Arial" w:hAnsi="Arial"/>
          <w:sz w:val="18"/>
          <w:szCs w:val="18"/>
          <w:color w:val="auto"/>
        </w:rPr>
      </w:pPr>
    </w:p>
    <w:p>
      <w:pPr>
        <w:ind w:right="60" w:firstLine="419"/>
        <w:spacing w:after="0" w:line="277" w:lineRule="auto"/>
        <w:tabs>
          <w:tab w:leader="none" w:pos="77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 order to evidence a continuing valid, perfected first priority security interest in the Collateral in favor of the Collateral Agent, for the benefit of the Secured Parties, each Loan Party shall have delivered to the Collateral Agent:</w:t>
      </w:r>
    </w:p>
    <w:p>
      <w:pPr>
        <w:spacing w:after="0" w:line="62" w:lineRule="exact"/>
        <w:rPr>
          <w:rFonts w:ascii="Arial" w:cs="Arial" w:eastAsia="Arial" w:hAnsi="Arial"/>
          <w:sz w:val="18"/>
          <w:szCs w:val="18"/>
          <w:color w:val="auto"/>
        </w:rPr>
      </w:pPr>
    </w:p>
    <w:p>
      <w:pPr>
        <w:ind w:left="540" w:right="300" w:firstLine="408"/>
        <w:spacing w:after="0" w:line="263" w:lineRule="auto"/>
        <w:tabs>
          <w:tab w:leader="none" w:pos="1236" w:val="left"/>
        </w:tabs>
        <w:numPr>
          <w:ilvl w:val="1"/>
          <w:numId w:val="447"/>
        </w:numPr>
        <w:rPr>
          <w:rFonts w:ascii="Arial" w:cs="Arial" w:eastAsia="Arial" w:hAnsi="Arial"/>
          <w:sz w:val="18"/>
          <w:szCs w:val="18"/>
          <w:color w:val="auto"/>
        </w:rPr>
      </w:pPr>
      <w:r>
        <w:rPr>
          <w:rFonts w:ascii="Arial" w:cs="Arial" w:eastAsia="Arial" w:hAnsi="Arial"/>
          <w:sz w:val="18"/>
          <w:szCs w:val="18"/>
          <w:color w:val="auto"/>
        </w:rPr>
        <w:t>evidence satisfactory to the Collateral Agent of the compliance by each Loan Party of its obligations under the Security Agreement and the other Collateral Documents (including its obligations to execute and deliver UCC financing statements, Intellectual Property Security Agreements and originals of securities);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351" w:name="page352"/>
    <w:bookmarkEnd w:id="351"/>
    <w:p>
      <w:pPr>
        <w:ind w:left="960" w:right="200" w:firstLine="408"/>
        <w:spacing w:after="0" w:line="254" w:lineRule="auto"/>
        <w:tabs>
          <w:tab w:leader="none" w:pos="1646" w:val="left"/>
        </w:tabs>
        <w:numPr>
          <w:ilvl w:val="2"/>
          <w:numId w:val="4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completed Perfection Certificate dated the Third Amendment Effective Date and executed by a Responsible Officer of each Loan Party,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under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the Restated Credit Agreement or have been, or substantially contemporaneously with the occurrence of the Third Amendment Effective Date will be, released; and</w:t>
      </w:r>
    </w:p>
    <w:p>
      <w:pPr>
        <w:spacing w:after="0" w:line="86" w:lineRule="exact"/>
        <w:rPr>
          <w:rFonts w:ascii="Arial" w:cs="Arial" w:eastAsia="Arial" w:hAnsi="Arial"/>
          <w:sz w:val="18"/>
          <w:szCs w:val="18"/>
          <w:color w:val="auto"/>
        </w:rPr>
      </w:pPr>
    </w:p>
    <w:p>
      <w:pPr>
        <w:ind w:left="960" w:right="300" w:firstLine="408"/>
        <w:spacing w:after="0" w:line="263" w:lineRule="auto"/>
        <w:tabs>
          <w:tab w:leader="none" w:pos="1646" w:val="left"/>
        </w:tabs>
        <w:numPr>
          <w:ilvl w:val="2"/>
          <w:numId w:val="448"/>
        </w:numPr>
        <w:rPr>
          <w:rFonts w:ascii="Arial" w:cs="Arial" w:eastAsia="Arial" w:hAnsi="Arial"/>
          <w:sz w:val="18"/>
          <w:szCs w:val="18"/>
          <w:color w:val="auto"/>
        </w:rPr>
      </w:pPr>
      <w:r>
        <w:rPr>
          <w:rFonts w:ascii="Arial" w:cs="Arial" w:eastAsia="Arial" w:hAnsi="Arial"/>
          <w:sz w:val="18"/>
          <w:szCs w:val="18"/>
          <w:color w:val="auto"/>
        </w:rPr>
        <w:t>evidence that each Loan Party shall have taken or caused to be taken any other action, executed and delivered or caused to be executed and delivered any other agreement, document and instrument and made or caused to be made any other filing and recording (other than as set forth herein) reasonably required by the Collateral Agent.</w:t>
      </w:r>
    </w:p>
    <w:p>
      <w:pPr>
        <w:spacing w:after="0" w:line="75" w:lineRule="exact"/>
        <w:rPr>
          <w:rFonts w:ascii="Arial" w:cs="Arial" w:eastAsia="Arial" w:hAnsi="Arial"/>
          <w:sz w:val="18"/>
          <w:szCs w:val="18"/>
          <w:color w:val="auto"/>
        </w:rPr>
      </w:pPr>
    </w:p>
    <w:p>
      <w:pPr>
        <w:ind w:left="420" w:right="460" w:firstLine="419"/>
        <w:spacing w:after="0" w:line="277" w:lineRule="auto"/>
        <w:tabs>
          <w:tab w:leader="none" w:pos="124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The Lenders shall have received from the Borrower (i) the financial statements described in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of the Restated Credit Agreement and (ii) the Projections (as defined in the Restated Credit Agreement).</w:t>
      </w:r>
    </w:p>
    <w:p>
      <w:pPr>
        <w:spacing w:after="0" w:line="62" w:lineRule="exact"/>
        <w:rPr>
          <w:rFonts w:ascii="Arial" w:cs="Arial" w:eastAsia="Arial" w:hAnsi="Arial"/>
          <w:sz w:val="18"/>
          <w:szCs w:val="18"/>
          <w:color w:val="auto"/>
        </w:rPr>
      </w:pPr>
    </w:p>
    <w:p>
      <w:pPr>
        <w:ind w:left="420" w:right="520" w:firstLine="419"/>
        <w:spacing w:after="0" w:line="263" w:lineRule="auto"/>
        <w:tabs>
          <w:tab w:leader="none" w:pos="114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On the Third Amendment Effective Date, the Administrative Agent shall have received a Solvency Certificate in form, scope and substance reasonably satisfactory to the Administrative Agent, and demonstrating that the Borrower is, individually and together with its Restricted Subsidiaries, and will be Solvent.</w:t>
      </w:r>
    </w:p>
    <w:p>
      <w:pPr>
        <w:spacing w:after="0" w:line="75" w:lineRule="exact"/>
        <w:rPr>
          <w:rFonts w:ascii="Arial" w:cs="Arial" w:eastAsia="Arial" w:hAnsi="Arial"/>
          <w:sz w:val="18"/>
          <w:szCs w:val="18"/>
          <w:color w:val="auto"/>
        </w:rPr>
      </w:pPr>
    </w:p>
    <w:p>
      <w:pPr>
        <w:ind w:left="420" w:firstLine="419"/>
        <w:spacing w:after="0" w:line="263" w:lineRule="auto"/>
        <w:tabs>
          <w:tab w:leader="none" w:pos="109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Since December 31, 2020, no event, development or circumstance exists or has occurred that has had or would reasonably be expected to have a material adverse effect on the business, property, financial condition or results of operations of the Borrower and its Restricted Subsidiaries, taken as a whole.</w:t>
      </w:r>
    </w:p>
    <w:p>
      <w:pPr>
        <w:spacing w:after="0" w:line="75" w:lineRule="exact"/>
        <w:rPr>
          <w:rFonts w:ascii="Arial" w:cs="Arial" w:eastAsia="Arial" w:hAnsi="Arial"/>
          <w:sz w:val="18"/>
          <w:szCs w:val="18"/>
          <w:color w:val="auto"/>
        </w:rPr>
      </w:pPr>
    </w:p>
    <w:p>
      <w:pPr>
        <w:ind w:left="420" w:right="40" w:firstLine="419"/>
        <w:spacing w:after="0" w:line="259" w:lineRule="auto"/>
        <w:tabs>
          <w:tab w:leader="none" w:pos="114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three Business Days prior to the Third Amendment Effective Date, to the extent reasonably requested by any of the Lenders at least five Business Days prior to the Third Amendment Effective Date, all documentation and other information required by bank regulatory authorities under applicable “know-your-customer” and anti-money laundering rules and regulations, including, without limitation, the USA Patriot Act and the Beneficial Ownership Regulation.</w:t>
      </w:r>
    </w:p>
    <w:p>
      <w:pPr>
        <w:spacing w:after="0" w:line="78" w:lineRule="exact"/>
        <w:rPr>
          <w:rFonts w:ascii="Arial" w:cs="Arial" w:eastAsia="Arial" w:hAnsi="Arial"/>
          <w:sz w:val="18"/>
          <w:szCs w:val="18"/>
          <w:color w:val="auto"/>
        </w:rPr>
      </w:pPr>
    </w:p>
    <w:p>
      <w:pPr>
        <w:ind w:left="-20" w:right="20" w:firstLine="987"/>
        <w:spacing w:after="0" w:line="255" w:lineRule="auto"/>
        <w:tabs>
          <w:tab w:leader="none" w:pos="1226"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Administrative Agent shall notify the Borrower and the Lenders of the Third Amendment Effective Date, and such notice shall be conclusive and binding. Without limiting the generality of the provisions of Article IX of the Restated Credit Agreement, for purposes of determining compliance with the conditions specified in this Section 5, each Lender that has signed this Amendment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Third Amendment Effective Date specifying its objection thereto.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352" w:name="page353"/>
    <w:bookmarkEnd w:id="352"/>
    <w:p>
      <w:pPr>
        <w:ind w:right="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(a) Except as expressly set forth herein or in the Restated Credit Agreement, this Amendment shall not by implication or otherwise limit, impair, constitute a waiver of, or otherwise affect the rights and remedies of, the Lenders, the Swing Line Lender, the Issuing Banks or the Agents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Nothing herein shall be deemed to establish a precedent for purposes of interpreting the provisions of the Existing Credit Agreement or the Restated Credit Agreement or entitle any Loan Party to a consent to, or a waiver, amendment, modification or other change of, any of the terms, conditions, obligations, covenants or agreements contained in the Existing Credit Agreement, the Restated Credit Agreement or any other Loan Document in similar or different circumstances. The parties hereto acknowledge and agree that this Amendment and all other Loan Documents executed and delivered in connection herewith do not constitute a novation or termination of the Obligations under the Existing Credit Agreement and the other Loan Documents as in effect prior to the Third Amendment Effective Date. This Amendment shall apply to and be effective only with respect to the provisions of the Existing Credit Agreement and the other Loan Documents specifically referred to herein.</w:t>
      </w:r>
    </w:p>
    <w:p>
      <w:pPr>
        <w:spacing w:after="0" w:line="71" w:lineRule="exact"/>
        <w:rPr>
          <w:sz w:val="20"/>
          <w:szCs w:val="20"/>
          <w:color w:val="auto"/>
        </w:rPr>
      </w:pPr>
    </w:p>
    <w:p>
      <w:pPr>
        <w:ind w:right="80" w:firstLine="987"/>
        <w:spacing w:after="0" w:line="259" w:lineRule="auto"/>
        <w:tabs>
          <w:tab w:leader="none" w:pos="124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On and after the Third Amendment Effective Date, each reference in the Existing Credit Agreement to “this Agreement”, “hereunder”, “hereof”, “herein”, or words of like import, and each reference to the Existing Credit Agreement in any other Loan Document shall be deemed a reference to the Restated Credit Agreement. This Amendment shall constitute a “Loan Document” for all purposes of the Restated Credit Agreement and the other Loan Documents.</w:t>
      </w:r>
    </w:p>
    <w:p>
      <w:pPr>
        <w:spacing w:after="0" w:line="18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Reaffirmation</w:t>
      </w:r>
      <w:r>
        <w:rPr>
          <w:rFonts w:ascii="Arial" w:cs="Arial" w:eastAsia="Arial" w:hAnsi="Arial"/>
          <w:sz w:val="17"/>
          <w:szCs w:val="17"/>
          <w:color w:val="auto"/>
        </w:rPr>
        <w:t>. Each of the Loan Parties hereby acknowledges that it expects to receive substantial direct and indirect benefits as a result of this Amendment and the transactions contemplated hereby. Each of the Loan Parties hereby further (a) acknowledges that the Obligations shall include the due and punctual payment of all the monetary obligations of each Loan Party under or pursuant to the Restated Credit Agreement (including all such obligations incurred during the pendency of any bankruptcy, insolvency, receivership or other similar proceeding, regardless of whether allowed or allowable in such proceeding), (b) confirms its guarantees, pledges and grants of security interests, as applicable, under each of the Loan Documents to which it is party and (c) agrees that, notwithstanding the effectiveness of this Amendment and the transactions contemplated hereby, such guarantees, pledges and grants of security interests shall continue to be in full force and effect and shall accrue to the benefit of the Secured Parties (and shall be determined after giving effect to this Amendment).</w:t>
      </w:r>
    </w:p>
    <w:p>
      <w:pPr>
        <w:spacing w:after="0" w:line="174" w:lineRule="exact"/>
        <w:rPr>
          <w:sz w:val="20"/>
          <w:szCs w:val="20"/>
          <w:color w:val="auto"/>
        </w:rPr>
      </w:pPr>
    </w:p>
    <w:p>
      <w:pPr>
        <w:ind w:right="460" w:firstLine="991"/>
        <w:spacing w:after="0" w:line="28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xml:space="preserve">. </w:t>
      </w:r>
      <w:r>
        <w:rPr>
          <w:rFonts w:ascii="Arial" w:cs="Arial" w:eastAsia="Arial" w:hAnsi="Arial"/>
          <w:sz w:val="17"/>
          <w:szCs w:val="17"/>
          <w:b w:val="1"/>
          <w:bCs w:val="1"/>
          <w:color w:val="auto"/>
        </w:rPr>
        <w:t>This Amendment and any claim, controversy or dispute under, arising out of or relating to this</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 and the transactions contemplated hereby, whether based in contract (at law or in equity), tort or any other theory, shall be governed by and construed in accordance with the laws of the State of New York</w:t>
      </w:r>
      <w:r>
        <w:rPr>
          <w:rFonts w:ascii="Arial" w:cs="Arial" w:eastAsia="Arial" w:hAnsi="Arial"/>
          <w:sz w:val="17"/>
          <w:szCs w:val="17"/>
          <w:color w:val="auto"/>
        </w:rPr>
        <w:t>.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10.9(b)</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10.9(c)</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10.10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Credit Agreement shall apply to this Amendment to the same extent as if fully set forth 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53" w:name="page354"/>
    <w:bookmarkEnd w:id="353"/>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agrees to reimburse the Administrative Agent for its reasonable out-of-pocket expenses in connection with this Amendment and the transactions contemplated hereby, including the reasonable fees, charges and disbursements of counsel for the Administrative Agent.</w:t>
      </w:r>
    </w:p>
    <w:p>
      <w:pPr>
        <w:spacing w:after="0" w:line="184"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different parties hereto in separate counterparts, each of which when so executed and delivered shall be deemed an original, but all such counterparts together shall constitute but one and the same instrument. The words “execution,” “signed,” “signature,” “delivery,” and words of like import in or relating to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spacing w:after="0" w:line="192"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Amendment are for purposes of reference only and shall not limit or otherwise affect the meaning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54" w:name="page355"/>
    <w:bookmarkEnd w:id="35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Amendment to be duly executed by their duly authorized representatives, all as of the date and year first above writeen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Tim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 Regan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[SIGNATURE PAGE TO THIRD AMENDMENT AND RESTATEMENT AGREEMENT]</w:t>
      </w:r>
    </w:p>
    <w:p>
      <w:pPr>
        <w:sectPr>
          <w:pgSz w:w="11900" w:h="16838" w:orient="portrait"/>
          <w:cols w:equalWidth="0" w:num="1">
            <w:col w:w="11000"/>
          </w:cols>
          <w:pgMar w:left="440" w:top="274" w:right="459" w:bottom="1440" w:gutter="0" w:footer="0" w:header="0"/>
        </w:sectPr>
      </w:pPr>
    </w:p>
    <w:bookmarkStart w:id="355" w:name="page356"/>
    <w:bookmarkEnd w:id="35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 Collateral Agent,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and as an Issuing Bank, Swing Line Lender and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Matthew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Matthew Cheung</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[SIGNATURE PAGE TO THIRD AMENDMENT AND RESTATEMENT AGREEMENT]</w:t>
      </w:r>
    </w:p>
    <w:p>
      <w:pPr>
        <w:sectPr>
          <w:pgSz w:w="11900" w:h="16838" w:orient="portrait"/>
          <w:cols w:equalWidth="0" w:num="1">
            <w:col w:w="9060"/>
          </w:cols>
          <w:pgMar w:left="1440" w:top="274" w:right="1399" w:bottom="1440" w:gutter="0" w:footer="0" w:header="0"/>
        </w:sectPr>
      </w:pPr>
    </w:p>
    <w:bookmarkStart w:id="356" w:name="page357"/>
    <w:bookmarkEnd w:id="35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as a Lender and an Issuning Bank</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Marie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Marie Harrison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4" w:right="1440" w:bottom="1440" w:gutter="0" w:footer="0" w:header="0"/>
        </w:sectPr>
      </w:pPr>
    </w:p>
    <w:bookmarkStart w:id="357" w:name="page358"/>
    <w:bookmarkEnd w:id="35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BANK USA,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as a Lender and an Issuing Bank</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Raisch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Raisch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THIRD AMENDMENT AND RESTATEMENT AGREEMENT]</w:t>
      </w:r>
    </w:p>
    <w:p>
      <w:pPr>
        <w:sectPr>
          <w:pgSz w:w="11900" w:h="16838" w:orient="portrait"/>
          <w:cols w:equalWidth="0" w:num="1">
            <w:col w:w="9019"/>
          </w:cols>
          <w:pgMar w:left="1440" w:top="274" w:right="1440" w:bottom="1440" w:gutter="0" w:footer="0" w:header="0"/>
        </w:sectPr>
      </w:pPr>
    </w:p>
    <w:bookmarkStart w:id="358" w:name="page359"/>
    <w:bookmarkEnd w:id="35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ROYAL BANK OF CANADA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Kamran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Kamran Khan</w:t>
      </w:r>
    </w:p>
    <w:p>
      <w:pPr>
        <w:spacing w:after="0" w:line="23"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Title: Authorized Signatory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THIRD AMENDMENT AND RESTATEMENT AGREEMENT]</w:t>
      </w:r>
    </w:p>
    <w:p>
      <w:pPr>
        <w:sectPr>
          <w:pgSz w:w="11900" w:h="16838" w:orient="portrait"/>
          <w:cols w:equalWidth="0" w:num="1">
            <w:col w:w="9019"/>
          </w:cols>
          <w:pgMar w:left="1440" w:top="274" w:right="1440" w:bottom="1440" w:gutter="0" w:footer="0" w:header="0"/>
        </w:sectPr>
      </w:pPr>
    </w:p>
    <w:bookmarkStart w:id="359" w:name="page360"/>
    <w:bookmarkEnd w:id="35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BANK NATIONAL ASSOCIATION,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Brian Seipke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SEIPKE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[SIGNATURE PAGE TO THIRD AMENDMENT AND RESTATEMENT AGREEMENT]</w:t>
      </w:r>
    </w:p>
    <w:p>
      <w:pPr>
        <w:sectPr>
          <w:pgSz w:w="11900" w:h="16838" w:orient="portrait"/>
          <w:cols w:equalWidth="0" w:num="1">
            <w:col w:w="9019"/>
          </w:cols>
          <w:pgMar w:left="1440" w:top="517" w:right="1440" w:bottom="1440" w:gutter="0" w:footer="0" w:header="0"/>
        </w:sectPr>
      </w:pPr>
    </w:p>
    <w:bookmarkStart w:id="360" w:name="page361"/>
    <w:bookmarkEnd w:id="360"/>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ectPr>
          <w:pgSz w:w="11900" w:h="16838" w:orient="portrait"/>
          <w:cols w:equalWidth="0" w:num="1">
            <w:col w:w="9019"/>
          </w:cols>
          <w:pgMar w:left="1440" w:top="270" w:right="1440"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REVOLVING CREDIT AND GUARANTY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dated as of March 20, 2014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amended and restated as of February 23, 2021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Guarantors Party Hereto,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Lenders and Issuing Banks Party Hereto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995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468630</wp:posOffset>
            </wp:positionV>
            <wp:extent cx="1474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Sole Lead Arranger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15"/>
          <w:szCs w:val="15"/>
          <w:color w:val="auto"/>
        </w:rPr>
        <w:t>1</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357505</wp:posOffset>
            </wp:positionV>
            <wp:extent cx="7715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24" w:hanging="424"/>
        <w:spacing w:after="0"/>
        <w:tabs>
          <w:tab w:leader="none" w:pos="424" w:val="left"/>
        </w:tabs>
        <w:numPr>
          <w:ilvl w:val="0"/>
          <w:numId w:val="451"/>
        </w:numPr>
        <w:rPr>
          <w:rFonts w:ascii="Arial" w:cs="Arial" w:eastAsia="Arial" w:hAnsi="Arial"/>
          <w:sz w:val="15"/>
          <w:szCs w:val="15"/>
          <w:color w:val="auto"/>
        </w:rPr>
      </w:pPr>
      <w:r>
        <w:rPr>
          <w:rFonts w:ascii="Arial" w:cs="Arial" w:eastAsia="Arial" w:hAnsi="Arial"/>
          <w:sz w:val="18"/>
          <w:szCs w:val="18"/>
          <w:color w:val="auto"/>
        </w:rPr>
        <w:t>RBC Capital Markets is a brand name for the capital markets businesses of Royal Bank of Canada and its affiliates.</w:t>
      </w:r>
    </w:p>
    <w:p>
      <w:pPr>
        <w:sectPr>
          <w:pgSz w:w="11900" w:h="16838" w:orient="portrait"/>
          <w:cols w:equalWidth="0" w:num="1">
            <w:col w:w="11024"/>
          </w:cols>
          <w:pgMar w:left="436" w:top="274" w:right="4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5820" w:type="dxa"/>
            <w:vAlign w:val="bottom"/>
            <w:gridSpan w:val="2"/>
          </w:tcPr>
          <w:p>
            <w:pPr>
              <w:jc w:val="center"/>
              <w:ind w:right="4540"/>
              <w:spacing w:after="0"/>
              <w:rPr>
                <w:sz w:val="20"/>
                <w:szCs w:val="20"/>
                <w:color w:val="auto"/>
              </w:rPr>
            </w:pPr>
            <w:r>
              <w:rPr>
                <w:rFonts w:ascii="Arial" w:cs="Arial" w:eastAsia="Arial" w:hAnsi="Arial"/>
                <w:sz w:val="18"/>
                <w:szCs w:val="18"/>
                <w:color w:val="auto"/>
                <w:w w:val="90"/>
              </w:rPr>
              <w:t>Table of Contents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6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1280" w:type="dxa"/>
            <w:vAlign w:val="bottom"/>
            <w:tcBorders>
              <w:top w:val="single" w:sz="8" w:color="auto"/>
              <w:bottom w:val="single" w:sz="8" w:color="auto"/>
            </w:tcBorders>
            <w:vMerge w:val="restart"/>
          </w:tcPr>
          <w:p>
            <w:pPr>
              <w:spacing w:after="0"/>
              <w:rPr>
                <w:sz w:val="24"/>
                <w:szCs w:val="24"/>
                <w:color w:val="auto"/>
              </w:rPr>
            </w:pPr>
          </w:p>
        </w:tc>
        <w:tc>
          <w:tcPr>
            <w:tcW w:w="4540" w:type="dxa"/>
            <w:vAlign w:val="bottom"/>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680" w:type="dxa"/>
            <w:vAlign w:val="bottom"/>
            <w:gridSpan w:val="3"/>
          </w:tcPr>
          <w:p>
            <w:pPr>
              <w:ind w:left="72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1.1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1.2 Classification of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1.3 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1.4 Accounting Terms; GAAP</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1.5 Letter of Credit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1.6 Electronic Execution of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1.7 Divisions.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1.8 Interest Rate; LIBOR Notification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gridSpan w:val="3"/>
          </w:tcPr>
          <w:p>
            <w:pPr>
              <w:ind w:left="720"/>
              <w:spacing w:after="0"/>
              <w:rPr>
                <w:sz w:val="20"/>
                <w:szCs w:val="20"/>
                <w:color w:val="auto"/>
              </w:rPr>
            </w:pPr>
            <w:r>
              <w:rPr>
                <w:rFonts w:ascii="Arial" w:cs="Arial" w:eastAsia="Arial" w:hAnsi="Arial"/>
                <w:sz w:val="18"/>
                <w:szCs w:val="18"/>
                <w:color w:val="auto"/>
              </w:rPr>
              <w:t>THE CREDITS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0"/>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2.2 Revolving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2.3 Swing Line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2.4 Issuance of Letters of Credit and Purchase of Participations Therein</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2.5 Requests for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2.6 Funding of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2.7 Interest Elections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2.8 Termination and Reduction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2.9 Repayment of Loans; 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2.10 Prepayment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2.11 Fees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2.12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2.13 Alternate Rate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2.14 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2.15 Break Funding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2.16 Taxes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2.18 Mitigation Obligations; 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2.19 Increase in the Aggregate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2.20 Extension of Maturity Date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0680" w:type="dxa"/>
            <w:vAlign w:val="bottom"/>
            <w:gridSpan w:val="3"/>
          </w:tcPr>
          <w:p>
            <w:pPr>
              <w:ind w:left="360"/>
              <w:spacing w:after="0"/>
              <w:rPr>
                <w:sz w:val="20"/>
                <w:szCs w:val="20"/>
                <w:color w:val="auto"/>
              </w:rPr>
            </w:pPr>
            <w:r>
              <w:rPr>
                <w:rFonts w:ascii="Arial" w:cs="Arial" w:eastAsia="Arial" w:hAnsi="Arial"/>
                <w:sz w:val="18"/>
                <w:szCs w:val="18"/>
                <w:color w:val="auto"/>
              </w:rPr>
              <w:t>Section 2.21 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80" w:type="dxa"/>
            <w:vAlign w:val="bottom"/>
            <w:gridSpan w:val="3"/>
          </w:tcPr>
          <w:p>
            <w:pPr>
              <w:ind w:left="72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5820" w:type="dxa"/>
            <w:vAlign w:val="bottom"/>
            <w:gridSpan w:val="2"/>
          </w:tcPr>
          <w:p>
            <w:pPr>
              <w:jc w:val="center"/>
              <w:ind w:right="4540"/>
              <w:spacing w:after="0"/>
              <w:rPr>
                <w:sz w:val="20"/>
                <w:szCs w:val="20"/>
                <w:color w:val="auto"/>
              </w:rPr>
            </w:pPr>
            <w:r>
              <w:rPr>
                <w:rFonts w:ascii="Arial" w:cs="Arial" w:eastAsia="Arial" w:hAnsi="Arial"/>
                <w:sz w:val="18"/>
                <w:szCs w:val="18"/>
                <w:color w:val="auto"/>
                <w:w w:val="99"/>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3" w:name="page364"/>
    <w:bookmarkEnd w:id="363"/>
    <w:tbl>
      <w:tblPr>
        <w:tblLayout w:type="fixed"/>
        <w:tblInd w:w="0" w:type="dxa"/>
        <w:tblCellMar>
          <w:top w:w="0" w:type="dxa"/>
          <w:left w:w="0" w:type="dxa"/>
          <w:bottom w:w="0" w:type="dxa"/>
          <w:right w:w="0" w:type="dxa"/>
        </w:tblCellMar>
      </w:tblP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 Organization; 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3.2 Authorization; Enforceability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3.3 Governmental Approvals; No Conflicts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3.4 Financial Condition; No Material Adverse Change</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3.5 Properties</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3.6 Litigation and 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3.7 Compliance with Laws and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3.8 Investment Company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3.9 Taxes</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3.10 ERISA</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3.11 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3.12 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3.13 Anti-Terrorism Laws; USA Patriot Act</w:t>
            </w:r>
          </w:p>
        </w:tc>
        <w:tc>
          <w:tcPr>
            <w:tcW w:w="24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3.14 Anti-Corruption Laws and Sanctions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3.15 Margin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3.16 Solvency</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3.17 Immaterial 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3.18 Collateral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3.19 EEA Financial Institution</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Section 3.20 FinCEN</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ARTICLE IV</w:t>
            </w:r>
          </w:p>
        </w:tc>
        <w:tc>
          <w:tcPr>
            <w:tcW w:w="2480" w:type="dxa"/>
            <w:vAlign w:val="bottom"/>
          </w:tcPr>
          <w:p>
            <w:pPr>
              <w:spacing w:after="0"/>
              <w:rPr>
                <w:sz w:val="24"/>
                <w:szCs w:val="24"/>
                <w:color w:val="auto"/>
              </w:rPr>
            </w:pPr>
          </w:p>
        </w:tc>
      </w:tr>
      <w:tr>
        <w:trPr>
          <w:trHeight w:val="324"/>
        </w:trPr>
        <w:tc>
          <w:tcPr>
            <w:tcW w:w="8480" w:type="dxa"/>
            <w:vAlign w:val="bottom"/>
          </w:tcPr>
          <w:p>
            <w:pPr>
              <w:ind w:left="720"/>
              <w:spacing w:after="0"/>
              <w:rPr>
                <w:sz w:val="20"/>
                <w:szCs w:val="20"/>
                <w:color w:val="auto"/>
              </w:rPr>
            </w:pPr>
            <w:r>
              <w:rPr>
                <w:rFonts w:ascii="Arial" w:cs="Arial" w:eastAsia="Arial" w:hAnsi="Arial"/>
                <w:sz w:val="18"/>
                <w:szCs w:val="18"/>
                <w:color w:val="auto"/>
              </w:rPr>
              <w:t>CONDITIONS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0"/>
        </w:trPr>
        <w:tc>
          <w:tcPr>
            <w:tcW w:w="8480" w:type="dxa"/>
            <w:vAlign w:val="bottom"/>
          </w:tcPr>
          <w:p>
            <w:pPr>
              <w:ind w:left="360"/>
              <w:spacing w:after="0"/>
              <w:rPr>
                <w:sz w:val="20"/>
                <w:szCs w:val="20"/>
                <w:color w:val="auto"/>
              </w:rPr>
            </w:pPr>
            <w:r>
              <w:rPr>
                <w:rFonts w:ascii="Arial" w:cs="Arial" w:eastAsia="Arial" w:hAnsi="Arial"/>
                <w:sz w:val="18"/>
                <w:szCs w:val="18"/>
                <w:color w:val="auto"/>
              </w:rPr>
              <w:t>Section 4.1 [Reserved]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Section 4.2 Each Credit Extension</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ARTICLE V</w:t>
            </w:r>
          </w:p>
        </w:tc>
        <w:tc>
          <w:tcPr>
            <w:tcW w:w="2480" w:type="dxa"/>
            <w:vAlign w:val="bottom"/>
          </w:tcPr>
          <w:p>
            <w:pPr>
              <w:spacing w:after="0"/>
              <w:rPr>
                <w:sz w:val="24"/>
                <w:szCs w:val="24"/>
                <w:color w:val="auto"/>
              </w:rPr>
            </w:pPr>
          </w:p>
        </w:tc>
      </w:tr>
      <w:tr>
        <w:trPr>
          <w:trHeight w:val="324"/>
        </w:trPr>
        <w:tc>
          <w:tcPr>
            <w:tcW w:w="8480" w:type="dxa"/>
            <w:vAlign w:val="bottom"/>
          </w:tcPr>
          <w:p>
            <w:pPr>
              <w:ind w:left="720"/>
              <w:spacing w:after="0"/>
              <w:rPr>
                <w:sz w:val="20"/>
                <w:szCs w:val="20"/>
                <w:color w:val="auto"/>
              </w:rPr>
            </w:pPr>
            <w:r>
              <w:rPr>
                <w:rFonts w:ascii="Arial" w:cs="Arial" w:eastAsia="Arial" w:hAnsi="Arial"/>
                <w:sz w:val="18"/>
                <w:szCs w:val="18"/>
                <w:color w:val="auto"/>
              </w:rPr>
              <w:t>AFFIRMATIVE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8480" w:type="dxa"/>
            <w:vAlign w:val="bottom"/>
          </w:tcPr>
          <w:p>
            <w:pPr>
              <w:ind w:left="360"/>
              <w:spacing w:after="0"/>
              <w:rPr>
                <w:sz w:val="20"/>
                <w:szCs w:val="20"/>
                <w:color w:val="auto"/>
              </w:rPr>
            </w:pPr>
            <w:r>
              <w:rPr>
                <w:rFonts w:ascii="Arial" w:cs="Arial" w:eastAsia="Arial" w:hAnsi="Arial"/>
                <w:sz w:val="18"/>
                <w:szCs w:val="18"/>
                <w:color w:val="auto"/>
              </w:rPr>
              <w:t>Section 5.1 Financial Statements; Other Information; Quarterly Conference Calls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5.2 Notices of Material Events</w:t>
            </w:r>
          </w:p>
        </w:tc>
        <w:tc>
          <w:tcPr>
            <w:tcW w:w="2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5.3 Existence; Conduct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5.4 Payment of Taxes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5.5 Maintenance of Properties; 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5.6 Books and Records; Inspection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5.7 ERISA-Related Information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5.8 Compliance with Laws and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5.9 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5.10 Additional Guarantors; Material IP 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5.11 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Section 5.12 Designation of Restricted and Unrestricted 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Section 5.13 Minimum Liquidity</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ARTICLE VI</w:t>
            </w:r>
          </w:p>
        </w:tc>
        <w:tc>
          <w:tcPr>
            <w:tcW w:w="2800" w:type="dxa"/>
            <w:vAlign w:val="bottom"/>
          </w:tcPr>
          <w:p>
            <w:pPr>
              <w:spacing w:after="0"/>
              <w:rPr>
                <w:sz w:val="20"/>
                <w:szCs w:val="20"/>
                <w:color w:val="auto"/>
              </w:rPr>
            </w:pPr>
          </w:p>
        </w:tc>
      </w:tr>
      <w:tr>
        <w:trPr>
          <w:trHeight w:val="324"/>
        </w:trPr>
        <w:tc>
          <w:tcPr>
            <w:tcW w:w="8160" w:type="dxa"/>
            <w:vAlign w:val="bottom"/>
          </w:tcPr>
          <w:p>
            <w:pPr>
              <w:ind w:left="720"/>
              <w:spacing w:after="0"/>
              <w:rPr>
                <w:sz w:val="20"/>
                <w:szCs w:val="20"/>
                <w:color w:val="auto"/>
              </w:rPr>
            </w:pPr>
            <w:r>
              <w:rPr>
                <w:rFonts w:ascii="Arial" w:cs="Arial" w:eastAsia="Arial" w:hAnsi="Arial"/>
                <w:sz w:val="18"/>
                <w:szCs w:val="18"/>
                <w:color w:val="auto"/>
              </w:rPr>
              <w:t>NEGATIVE COVENANTS</w:t>
            </w:r>
          </w:p>
        </w:tc>
        <w:tc>
          <w:tcPr>
            <w:tcW w:w="28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8160" w:type="dxa"/>
            <w:vAlign w:val="bottom"/>
          </w:tcPr>
          <w:p>
            <w:pPr>
              <w:ind w:left="360"/>
              <w:spacing w:after="0"/>
              <w:rPr>
                <w:sz w:val="20"/>
                <w:szCs w:val="20"/>
                <w:color w:val="auto"/>
              </w:rPr>
            </w:pPr>
            <w:r>
              <w:rPr>
                <w:rFonts w:ascii="Arial" w:cs="Arial" w:eastAsia="Arial" w:hAnsi="Arial"/>
                <w:sz w:val="18"/>
                <w:szCs w:val="18"/>
                <w:color w:val="auto"/>
              </w:rPr>
              <w:t>Section 6.1 Indebtedness</w:t>
            </w:r>
          </w:p>
        </w:tc>
        <w:tc>
          <w:tcPr>
            <w:tcW w:w="28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6.2 Liens</w:t>
            </w:r>
          </w:p>
        </w:tc>
        <w:tc>
          <w:tcPr>
            <w:tcW w:w="28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6.3 Fundamental Changes; Assets Sales; Changes in Business</w:t>
            </w:r>
          </w:p>
        </w:tc>
        <w:tc>
          <w:tcPr>
            <w:tcW w:w="2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6.4 Restricted Payments</w:t>
            </w:r>
          </w:p>
        </w:tc>
        <w:tc>
          <w:tcPr>
            <w:tcW w:w="2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6.5 Restrictive Agreements</w:t>
            </w:r>
          </w:p>
        </w:tc>
        <w:tc>
          <w:tcPr>
            <w:tcW w:w="2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6.6 Transactions with Affiliates</w:t>
            </w:r>
          </w:p>
        </w:tc>
        <w:tc>
          <w:tcPr>
            <w:tcW w:w="28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Section 6.7 Investments</w:t>
            </w:r>
          </w:p>
        </w:tc>
        <w:tc>
          <w:tcPr>
            <w:tcW w:w="28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8160" w:type="dxa"/>
            <w:vAlign w:val="bottom"/>
          </w:tcPr>
          <w:p>
            <w:pPr>
              <w:spacing w:after="0"/>
              <w:rPr>
                <w:sz w:val="20"/>
                <w:szCs w:val="20"/>
                <w:color w:val="auto"/>
              </w:rPr>
            </w:pPr>
            <w:r>
              <w:rPr>
                <w:rFonts w:ascii="Arial" w:cs="Arial" w:eastAsia="Arial" w:hAnsi="Arial"/>
                <w:sz w:val="18"/>
                <w:szCs w:val="18"/>
                <w:color w:val="auto"/>
              </w:rPr>
              <w:t>ARTICLE VII</w:t>
            </w:r>
          </w:p>
        </w:tc>
        <w:tc>
          <w:tcPr>
            <w:tcW w:w="2800" w:type="dxa"/>
            <w:vAlign w:val="bottom"/>
          </w:tcPr>
          <w:p>
            <w:pPr>
              <w:spacing w:after="0"/>
              <w:rPr>
                <w:sz w:val="24"/>
                <w:szCs w:val="24"/>
                <w:color w:val="auto"/>
              </w:rPr>
            </w:pPr>
          </w:p>
        </w:tc>
      </w:tr>
      <w:tr>
        <w:trPr>
          <w:trHeight w:val="324"/>
        </w:trPr>
        <w:tc>
          <w:tcPr>
            <w:tcW w:w="8160" w:type="dxa"/>
            <w:vAlign w:val="bottom"/>
          </w:tcPr>
          <w:p>
            <w:pPr>
              <w:ind w:left="720"/>
              <w:spacing w:after="0"/>
              <w:rPr>
                <w:sz w:val="20"/>
                <w:szCs w:val="20"/>
                <w:color w:val="auto"/>
              </w:rPr>
            </w:pPr>
            <w:r>
              <w:rPr>
                <w:rFonts w:ascii="Arial" w:cs="Arial" w:eastAsia="Arial" w:hAnsi="Arial"/>
                <w:sz w:val="18"/>
                <w:szCs w:val="18"/>
                <w:color w:val="auto"/>
              </w:rPr>
              <w:t>GUARANTY</w:t>
            </w:r>
          </w:p>
        </w:tc>
        <w:tc>
          <w:tcPr>
            <w:tcW w:w="2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10"/>
        </w:trPr>
        <w:tc>
          <w:tcPr>
            <w:tcW w:w="8160" w:type="dxa"/>
            <w:vAlign w:val="bottom"/>
          </w:tcPr>
          <w:p>
            <w:pPr>
              <w:ind w:left="360"/>
              <w:spacing w:after="0"/>
              <w:rPr>
                <w:sz w:val="20"/>
                <w:szCs w:val="20"/>
                <w:color w:val="auto"/>
              </w:rPr>
            </w:pPr>
            <w:r>
              <w:rPr>
                <w:rFonts w:ascii="Arial" w:cs="Arial" w:eastAsia="Arial" w:hAnsi="Arial"/>
                <w:sz w:val="18"/>
                <w:szCs w:val="18"/>
                <w:color w:val="auto"/>
              </w:rPr>
              <w:t>Section 7.1 Guaranty of the Obligations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7.2 Payment by Guarantors</w:t>
            </w:r>
          </w:p>
        </w:tc>
        <w:tc>
          <w:tcPr>
            <w:tcW w:w="2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7.3 Liability of Guarantors Absolute</w:t>
            </w:r>
          </w:p>
        </w:tc>
        <w:tc>
          <w:tcPr>
            <w:tcW w:w="2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7.4 Waivers by Guarantors</w:t>
            </w:r>
          </w:p>
        </w:tc>
        <w:tc>
          <w:tcPr>
            <w:tcW w:w="2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7.5 Guarantors’ Rights of Subrogation, Contribution, Etc.</w:t>
            </w:r>
          </w:p>
        </w:tc>
        <w:tc>
          <w:tcPr>
            <w:tcW w:w="2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7.6 Subrogation of Other Obligations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7.7 Continuing Guaranty</w:t>
            </w:r>
          </w:p>
        </w:tc>
        <w:tc>
          <w:tcPr>
            <w:tcW w:w="2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7.8 Authority of Guarantors or the Borrower</w:t>
            </w:r>
          </w:p>
        </w:tc>
        <w:tc>
          <w:tcPr>
            <w:tcW w:w="2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7.9 Financial Condition of the Borrower</w:t>
            </w:r>
          </w:p>
        </w:tc>
        <w:tc>
          <w:tcPr>
            <w:tcW w:w="2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7.10 Bankruptcy, Etc.</w:t>
            </w:r>
          </w:p>
        </w:tc>
        <w:tc>
          <w:tcPr>
            <w:tcW w:w="2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Section 7.11 Excluded Swap Obligations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8160" w:type="dxa"/>
            <w:vAlign w:val="bottom"/>
          </w:tcPr>
          <w:p>
            <w:pPr>
              <w:spacing w:after="0"/>
              <w:rPr>
                <w:sz w:val="20"/>
                <w:szCs w:val="20"/>
                <w:color w:val="auto"/>
              </w:rPr>
            </w:pPr>
            <w:r>
              <w:rPr>
                <w:rFonts w:ascii="Arial" w:cs="Arial" w:eastAsia="Arial" w:hAnsi="Arial"/>
                <w:sz w:val="18"/>
                <w:szCs w:val="18"/>
                <w:color w:val="auto"/>
              </w:rPr>
              <w:t>ARTICLE VIII</w:t>
            </w:r>
          </w:p>
        </w:tc>
        <w:tc>
          <w:tcPr>
            <w:tcW w:w="2800" w:type="dxa"/>
            <w:vAlign w:val="bottom"/>
          </w:tcPr>
          <w:p>
            <w:pPr>
              <w:spacing w:after="0"/>
              <w:rPr>
                <w:sz w:val="24"/>
                <w:szCs w:val="24"/>
                <w:color w:val="auto"/>
              </w:rPr>
            </w:pPr>
          </w:p>
        </w:tc>
      </w:tr>
      <w:tr>
        <w:trPr>
          <w:trHeight w:val="324"/>
        </w:trPr>
        <w:tc>
          <w:tcPr>
            <w:tcW w:w="8160" w:type="dxa"/>
            <w:vAlign w:val="bottom"/>
          </w:tcPr>
          <w:p>
            <w:pPr>
              <w:ind w:left="720"/>
              <w:spacing w:after="0"/>
              <w:rPr>
                <w:sz w:val="20"/>
                <w:szCs w:val="20"/>
                <w:color w:val="auto"/>
              </w:rPr>
            </w:pPr>
            <w:r>
              <w:rPr>
                <w:rFonts w:ascii="Arial" w:cs="Arial" w:eastAsia="Arial" w:hAnsi="Arial"/>
                <w:sz w:val="18"/>
                <w:szCs w:val="18"/>
                <w:color w:val="auto"/>
              </w:rPr>
              <w:t>EVENTS OF DEFAULT</w:t>
            </w:r>
          </w:p>
        </w:tc>
        <w:tc>
          <w:tcPr>
            <w:tcW w:w="2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8160" w:type="dxa"/>
            <w:vAlign w:val="bottom"/>
          </w:tcPr>
          <w:p>
            <w:pPr>
              <w:spacing w:after="0"/>
              <w:rPr>
                <w:sz w:val="20"/>
                <w:szCs w:val="20"/>
                <w:color w:val="auto"/>
              </w:rPr>
            </w:pPr>
            <w:r>
              <w:rPr>
                <w:rFonts w:ascii="Arial" w:cs="Arial" w:eastAsia="Arial" w:hAnsi="Arial"/>
                <w:sz w:val="18"/>
                <w:szCs w:val="18"/>
                <w:color w:val="auto"/>
              </w:rPr>
              <w:t>ARTICLE IX</w:t>
            </w:r>
          </w:p>
        </w:tc>
        <w:tc>
          <w:tcPr>
            <w:tcW w:w="2800" w:type="dxa"/>
            <w:vAlign w:val="bottom"/>
          </w:tcPr>
          <w:p>
            <w:pPr>
              <w:spacing w:after="0"/>
              <w:rPr>
                <w:sz w:val="24"/>
                <w:szCs w:val="24"/>
                <w:color w:val="auto"/>
              </w:rPr>
            </w:pPr>
          </w:p>
        </w:tc>
      </w:tr>
      <w:tr>
        <w:trPr>
          <w:trHeight w:val="324"/>
        </w:trPr>
        <w:tc>
          <w:tcPr>
            <w:tcW w:w="8160" w:type="dxa"/>
            <w:vAlign w:val="bottom"/>
          </w:tcPr>
          <w:p>
            <w:pPr>
              <w:ind w:left="720"/>
              <w:spacing w:after="0"/>
              <w:rPr>
                <w:sz w:val="20"/>
                <w:szCs w:val="20"/>
                <w:color w:val="auto"/>
              </w:rPr>
            </w:pPr>
            <w:r>
              <w:rPr>
                <w:rFonts w:ascii="Arial" w:cs="Arial" w:eastAsia="Arial" w:hAnsi="Arial"/>
                <w:sz w:val="18"/>
                <w:szCs w:val="18"/>
                <w:color w:val="auto"/>
              </w:rPr>
              <w:t>THE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0"/>
        </w:trPr>
        <w:tc>
          <w:tcPr>
            <w:tcW w:w="8160" w:type="dxa"/>
            <w:vAlign w:val="bottom"/>
          </w:tcPr>
          <w:p>
            <w:pPr>
              <w:ind w:left="360"/>
              <w:spacing w:after="0"/>
              <w:rPr>
                <w:sz w:val="20"/>
                <w:szCs w:val="20"/>
                <w:color w:val="auto"/>
              </w:rPr>
            </w:pPr>
            <w:r>
              <w:rPr>
                <w:rFonts w:ascii="Arial" w:cs="Arial" w:eastAsia="Arial" w:hAnsi="Arial"/>
                <w:sz w:val="18"/>
                <w:szCs w:val="18"/>
                <w:color w:val="auto"/>
              </w:rPr>
              <w:t>Section 9.1 Authorization and Action</w:t>
            </w:r>
          </w:p>
        </w:tc>
        <w:tc>
          <w:tcPr>
            <w:tcW w:w="2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9.2 Administrative Agent’s Reliance, Limitation of Liability, Etc</w:t>
            </w:r>
          </w:p>
        </w:tc>
        <w:tc>
          <w:tcPr>
            <w:tcW w:w="28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9.3 The Administrative Agent Individually</w:t>
            </w:r>
          </w:p>
        </w:tc>
        <w:tc>
          <w:tcPr>
            <w:tcW w:w="28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9.4 Successor Administrative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9.5 Acknowledgments of Lenders and Issuing Banks</w:t>
            </w:r>
          </w:p>
        </w:tc>
        <w:tc>
          <w:tcPr>
            <w:tcW w:w="28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160" w:type="dxa"/>
            <w:vAlign w:val="bottom"/>
          </w:tcPr>
          <w:p>
            <w:pPr>
              <w:ind w:left="360"/>
              <w:spacing w:after="0"/>
              <w:rPr>
                <w:sz w:val="20"/>
                <w:szCs w:val="20"/>
                <w:color w:val="auto"/>
              </w:rPr>
            </w:pPr>
            <w:r>
              <w:rPr>
                <w:rFonts w:ascii="Arial" w:cs="Arial" w:eastAsia="Arial" w:hAnsi="Arial"/>
                <w:sz w:val="18"/>
                <w:szCs w:val="18"/>
                <w:color w:val="auto"/>
              </w:rPr>
              <w:t>Section 9.6 Collateral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Section 9.7 Credit Bidding</w:t>
            </w:r>
          </w:p>
        </w:tc>
        <w:tc>
          <w:tcPr>
            <w:tcW w:w="28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8160" w:type="dxa"/>
            <w:vAlign w:val="bottom"/>
          </w:tcPr>
          <w:p>
            <w:pPr>
              <w:spacing w:after="0"/>
              <w:rPr>
                <w:sz w:val="20"/>
                <w:szCs w:val="20"/>
                <w:color w:val="auto"/>
              </w:rPr>
            </w:pPr>
            <w:r>
              <w:rPr>
                <w:rFonts w:ascii="Arial" w:cs="Arial" w:eastAsia="Arial" w:hAnsi="Arial"/>
                <w:sz w:val="18"/>
                <w:szCs w:val="18"/>
                <w:color w:val="auto"/>
              </w:rPr>
              <w:t>ARTICLE X</w:t>
            </w:r>
          </w:p>
        </w:tc>
        <w:tc>
          <w:tcPr>
            <w:tcW w:w="2800" w:type="dxa"/>
            <w:vAlign w:val="bottom"/>
          </w:tcPr>
          <w:p>
            <w:pPr>
              <w:spacing w:after="0"/>
              <w:rPr>
                <w:sz w:val="24"/>
                <w:szCs w:val="24"/>
                <w:color w:val="auto"/>
              </w:rPr>
            </w:pPr>
          </w:p>
        </w:tc>
      </w:tr>
      <w:tr>
        <w:trPr>
          <w:trHeight w:val="324"/>
        </w:trPr>
        <w:tc>
          <w:tcPr>
            <w:tcW w:w="8160" w:type="dxa"/>
            <w:vAlign w:val="bottom"/>
          </w:tcPr>
          <w:p>
            <w:pPr>
              <w:ind w:left="720"/>
              <w:spacing w:after="0"/>
              <w:rPr>
                <w:sz w:val="20"/>
                <w:szCs w:val="20"/>
                <w:color w:val="auto"/>
              </w:rPr>
            </w:pPr>
            <w:r>
              <w:rPr>
                <w:rFonts w:ascii="Arial" w:cs="Arial" w:eastAsia="Arial" w:hAnsi="Arial"/>
                <w:sz w:val="18"/>
                <w:szCs w:val="18"/>
                <w:color w:val="auto"/>
              </w:rPr>
              <w:t>MISCELLANEOUS</w:t>
            </w:r>
          </w:p>
        </w:tc>
        <w:tc>
          <w:tcPr>
            <w:tcW w:w="28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65"/>
        </w:trPr>
        <w:tc>
          <w:tcPr>
            <w:tcW w:w="8160" w:type="dxa"/>
            <w:vAlign w:val="bottom"/>
          </w:tcPr>
          <w:p>
            <w:pPr>
              <w:ind w:left="5360"/>
              <w:spacing w:after="0"/>
              <w:rPr>
                <w:sz w:val="20"/>
                <w:szCs w:val="20"/>
                <w:color w:val="auto"/>
              </w:rPr>
            </w:pPr>
            <w:r>
              <w:rPr>
                <w:rFonts w:ascii="Arial" w:cs="Arial" w:eastAsia="Arial" w:hAnsi="Arial"/>
                <w:sz w:val="18"/>
                <w:szCs w:val="18"/>
                <w:color w:val="auto"/>
              </w:rPr>
              <w:t>-iii-</w:t>
            </w:r>
          </w:p>
        </w:tc>
        <w:tc>
          <w:tcPr>
            <w:tcW w:w="2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5" w:name="page366"/>
    <w:bookmarkEnd w:id="365"/>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 Notices</w:t>
            </w:r>
          </w:p>
        </w:tc>
        <w:tc>
          <w:tcPr>
            <w:tcW w:w="21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10.2 Waivers; Amendments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10.3 Expenses; Indemnity; Damage Waiver</w:t>
            </w:r>
          </w:p>
        </w:tc>
        <w:tc>
          <w:tcPr>
            <w:tcW w:w="21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10.4 Successors and Assigns</w:t>
            </w:r>
          </w:p>
        </w:tc>
        <w:tc>
          <w:tcPr>
            <w:tcW w:w="2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10.5 Survival</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10.6 Integration; Effectiveness</w:t>
            </w:r>
          </w:p>
        </w:tc>
        <w:tc>
          <w:tcPr>
            <w:tcW w:w="21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10.7 Severability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10.8 Right of Setoff</w:t>
            </w:r>
          </w:p>
        </w:tc>
        <w:tc>
          <w:tcPr>
            <w:tcW w:w="2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10.9 Governing Law; Jurisdiction; Consent to Service of Process</w:t>
            </w:r>
          </w:p>
        </w:tc>
        <w:tc>
          <w:tcPr>
            <w:tcW w:w="2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10.10 WAIVER OF JURY TRIAL</w:t>
            </w:r>
          </w:p>
        </w:tc>
        <w:tc>
          <w:tcPr>
            <w:tcW w:w="2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10.11 Headings</w:t>
            </w:r>
          </w:p>
        </w:tc>
        <w:tc>
          <w:tcPr>
            <w:tcW w:w="2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10.12 Confidentiality</w:t>
            </w:r>
          </w:p>
        </w:tc>
        <w:tc>
          <w:tcPr>
            <w:tcW w:w="21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10.13 Interest Rate Limitation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10.14 No Advisory or Fiduciary Responsibility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10.15 Counterparts; Integration; Effectiveness, Electronic Execution</w:t>
            </w:r>
          </w:p>
        </w:tc>
        <w:tc>
          <w:tcPr>
            <w:tcW w:w="21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10.16 USA PATRIOT Act and Beneficial Ownership</w:t>
            </w:r>
          </w:p>
        </w:tc>
        <w:tc>
          <w:tcPr>
            <w:tcW w:w="2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10.17 Release of Liens and Guarantors</w:t>
            </w:r>
          </w:p>
        </w:tc>
        <w:tc>
          <w:tcPr>
            <w:tcW w:w="2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10.18 Acknowledgement and Consent to Bail-In of Affected Financial Institutions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10.19 Conversion of Currencies</w:t>
            </w:r>
          </w:p>
        </w:tc>
        <w:tc>
          <w:tcPr>
            <w:tcW w:w="2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10.20 Acknowledgement Regarding Any Supported QFCs</w:t>
            </w:r>
          </w:p>
        </w:tc>
        <w:tc>
          <w:tcPr>
            <w:tcW w:w="2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Section 10.21 Keepwell</w:t>
            </w:r>
          </w:p>
        </w:tc>
        <w:tc>
          <w:tcPr>
            <w:tcW w:w="2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Section 10.22 Certain ERISA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00"/>
          </w:cols>
          <w:pgMar w:left="800" w:top="274" w:right="49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SCHEDULES</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345"/>
        </w:trPr>
        <w:tc>
          <w:tcPr>
            <w:tcW w:w="1220" w:type="dxa"/>
            <w:vAlign w:val="bottom"/>
            <w:gridSpan w:val="3"/>
          </w:tcPr>
          <w:p>
            <w:pPr>
              <w:spacing w:after="0"/>
              <w:rPr>
                <w:sz w:val="20"/>
                <w:szCs w:val="20"/>
                <w:color w:val="auto"/>
              </w:rPr>
            </w:pPr>
            <w:r>
              <w:rPr>
                <w:rFonts w:ascii="Arial" w:cs="Arial" w:eastAsia="Arial" w:hAnsi="Arial"/>
                <w:sz w:val="18"/>
                <w:szCs w:val="18"/>
                <w:color w:val="auto"/>
              </w:rPr>
              <w:t>Schedule 2.1</w:t>
            </w:r>
          </w:p>
        </w:tc>
        <w:tc>
          <w:tcPr>
            <w:tcW w:w="50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Commitments</w:t>
            </w:r>
          </w:p>
        </w:tc>
      </w:tr>
      <w:tr>
        <w:trPr>
          <w:trHeight w:val="39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4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30"/>
        </w:trPr>
        <w:tc>
          <w:tcPr>
            <w:tcW w:w="122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Borrowing Request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Issuance Notice</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Interest Election Request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D-1</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Revolving Loan Note</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D-2</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Swing Line Note</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Security Agreement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w w:val="91"/>
              </w:rPr>
              <w:t>Form of Maturity Date Extension Request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Counterpart Agreement</w:t>
            </w:r>
          </w:p>
        </w:tc>
      </w:t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080" w:type="dxa"/>
            <w:vAlign w:val="bottom"/>
          </w:tcPr>
          <w:p>
            <w:pPr>
              <w:ind w:left="40"/>
              <w:spacing w:after="0"/>
              <w:rPr>
                <w:sz w:val="20"/>
                <w:szCs w:val="20"/>
                <w:color w:val="auto"/>
              </w:rPr>
            </w:pPr>
            <w:r>
              <w:rPr>
                <w:rFonts w:ascii="Arial" w:cs="Arial" w:eastAsia="Arial" w:hAnsi="Arial"/>
                <w:sz w:val="18"/>
                <w:szCs w:val="18"/>
                <w:color w:val="auto"/>
              </w:rPr>
              <w:t>Form of Solvency Certificate</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56" w:right="1440" w:bottom="1440" w:gutter="0" w:footer="0" w:header="0"/>
        </w:sectPr>
      </w:pPr>
    </w:p>
    <w:bookmarkStart w:id="367" w:name="page368"/>
    <w:bookmarkEnd w:id="367"/>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REVOLVING CREDIT AND GUARANTY AGREEMENT dated as of March 20, 2014, as amended and restated as of May 9, 2014, and April 3, 2017, and as further amended and restated as of February 23, 2021, among DROPBOX, INC., as Borrower, the GUARANTORS party hereto, the LENDERS and ISSUING BANKS party hereto and JPMORGAN CHASE BANK, N.A., as Administrative Agent, Collateral Agent and Swing Line Lender.</w:t>
      </w:r>
    </w:p>
    <w:p>
      <w:pPr>
        <w:spacing w:after="0" w:line="187"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The Borrower (such term and each other capitalized term used and not otherwise defined herein having the meaning assigned to it in </w:t>
      </w:r>
      <w:r>
        <w:rPr>
          <w:rFonts w:ascii="Arial" w:cs="Arial" w:eastAsia="Arial" w:hAnsi="Arial"/>
          <w:sz w:val="16"/>
          <w:szCs w:val="16"/>
          <w:u w:val="single" w:color="auto"/>
          <w:color w:val="auto"/>
        </w:rPr>
        <w:t>Article I</w:t>
      </w:r>
      <w:r>
        <w:rPr>
          <w:rFonts w:ascii="Arial" w:cs="Arial" w:eastAsia="Arial" w:hAnsi="Arial"/>
          <w:sz w:val="16"/>
          <w:szCs w:val="16"/>
          <w:color w:val="auto"/>
        </w:rPr>
        <w:t>) requested that the Lenders make Loans to the Borrower on a revolving credit basis and the Issuing Banks issue Letters of Credit at the request and for the account of the Borrower on and after the Effective Date and at any time and from time to time prior to the Commitment Termination Date.</w:t>
      </w:r>
    </w:p>
    <w:p>
      <w:pPr>
        <w:spacing w:after="0" w:line="149" w:lineRule="exact"/>
        <w:rPr>
          <w:sz w:val="20"/>
          <w:szCs w:val="20"/>
          <w:color w:val="auto"/>
        </w:rPr>
      </w:pPr>
    </w:p>
    <w:p>
      <w:pPr>
        <w:jc w:val="both"/>
        <w:ind w:right="360" w:firstLine="991"/>
        <w:spacing w:after="0" w:line="263" w:lineRule="auto"/>
        <w:rPr>
          <w:sz w:val="20"/>
          <w:szCs w:val="20"/>
          <w:color w:val="auto"/>
        </w:rPr>
      </w:pPr>
      <w:r>
        <w:rPr>
          <w:rFonts w:ascii="Arial" w:cs="Arial" w:eastAsia="Arial" w:hAnsi="Arial"/>
          <w:sz w:val="18"/>
          <w:szCs w:val="18"/>
          <w:color w:val="auto"/>
        </w:rPr>
        <w:t xml:space="preserve">The proceeds of borrowings and Letters of Credit hereunder are to be used for the purposes described in </w:t>
      </w:r>
      <w:r>
        <w:rPr>
          <w:rFonts w:ascii="Arial" w:cs="Arial" w:eastAsia="Arial" w:hAnsi="Arial"/>
          <w:sz w:val="18"/>
          <w:szCs w:val="18"/>
          <w:u w:val="single" w:color="auto"/>
          <w:color w:val="auto"/>
        </w:rPr>
        <w:t>Section 5.9</w:t>
      </w:r>
      <w:r>
        <w:rPr>
          <w:rFonts w:ascii="Arial" w:cs="Arial" w:eastAsia="Arial" w:hAnsi="Arial"/>
          <w:sz w:val="18"/>
          <w:szCs w:val="18"/>
          <w:color w:val="auto"/>
        </w:rPr>
        <w:t>. On the Effective Date, the Lenders agreed to establish the credit facility referred to in the preceding paragraph upon the terms and subject to the conditions set forth herein.</w:t>
      </w:r>
    </w:p>
    <w:p>
      <w:pPr>
        <w:spacing w:after="0" w:line="18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On the Restatement Effective Date, the Original Credit Agreement was amended and restated in the form of this Agreement. Accordingly, the parties hereto agree as follows: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 transactions resulting in the acquisition by the Borrower or any of its Restricted Subsidiaries, whether by purchase, merger or otherwise, of all or substantially all of the assets of, all of the Equity Interests of, or a business line or unit or a division of, any Person.</w:t>
      </w:r>
    </w:p>
    <w:p>
      <w:pPr>
        <w:spacing w:after="0" w:line="184" w:lineRule="exact"/>
        <w:rPr>
          <w:sz w:val="20"/>
          <w:szCs w:val="20"/>
          <w:color w:val="auto"/>
        </w:rPr>
      </w:pPr>
    </w:p>
    <w:p>
      <w:pPr>
        <w:ind w:right="4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with respect to any Eurodollar Borrowing for any Interest Period, an interest rate per annum (rounded upwards, if necessary, to the next 1/16 of 1%) equal to (a)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Statutory Reserve Rate.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JPMCB, in its capacity as administrative agent for the Lenders hereunder, or any successor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ectPr>
          <w:pgSz w:w="11900" w:h="16838" w:orient="portrait"/>
          <w:cols w:equalWidth="0" w:num="1">
            <w:col w:w="10960"/>
          </w:cols>
          <w:pgMar w:left="440" w:top="274" w:right="499" w:bottom="1440" w:gutter="0" w:footer="0" w:header="0"/>
        </w:sectPr>
      </w:pPr>
    </w:p>
    <w:bookmarkStart w:id="368" w:name="page369"/>
    <w:bookmarkEnd w:id="36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left="4"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each of the Administrative Agent, the Collateral Agent and each of the Co-Documentation Agents.</w:t>
      </w:r>
    </w:p>
    <w:p>
      <w:pPr>
        <w:spacing w:after="0" w:line="225"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Revolving Credit and Guaranty Agreement, as the same may hereafter be modified, supplemented, extended, amended, restated or amended and restated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set forth in Section 10.19(b).</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highest of (a) the Prime Rate in effect on such day, (b) the NYFRB Rate in effect on such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 and (c) the Adjusted LIBO Rate for an Interest Period of 1 month commencing on such day (or if such day is not a Business Day, the immediately preceding Business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1.00%. For purposes of this definition, the Adjusted LIBO Rate on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(for the avoidance of doubt, only until the Benchmark Replacement has been determined pursuant to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then the Alternate Base Rate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w:t>
      </w:r>
    </w:p>
    <w:p>
      <w:pPr>
        <w:spacing w:after="0" w:line="3" w:lineRule="exact"/>
        <w:rPr>
          <w:sz w:val="20"/>
          <w:szCs w:val="20"/>
          <w:color w:val="auto"/>
        </w:rPr>
      </w:pPr>
    </w:p>
    <w:p>
      <w:pPr>
        <w:ind w:left="4" w:right="140" w:hanging="4"/>
        <w:spacing w:after="0" w:line="260" w:lineRule="auto"/>
        <w:tabs>
          <w:tab w:leader="none" w:pos="259" w:val="left"/>
        </w:tabs>
        <w:numPr>
          <w:ilvl w:val="0"/>
          <w:numId w:val="452"/>
        </w:numPr>
        <w:rPr>
          <w:rFonts w:ascii="Arial" w:cs="Arial" w:eastAsia="Arial" w:hAnsi="Arial"/>
          <w:sz w:val="18"/>
          <w:szCs w:val="18"/>
          <w:u w:val="single" w:color="auto"/>
          <w:color w:val="auto"/>
        </w:rPr>
      </w:pPr>
      <w:r>
        <w:rPr>
          <w:rFonts w:ascii="Arial" w:cs="Arial" w:eastAsia="Arial" w:hAnsi="Arial"/>
          <w:sz w:val="18"/>
          <w:szCs w:val="18"/>
          <w:color w:val="auto"/>
        </w:rPr>
        <w:t xml:space="preserve">above and shall be determined without reference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For the avoidance of doubt, if the Alternate Base Rate as determined pursuant to the foregoing would be less than 1.00%, such rate shall be deemed to be 1.00% for purposes of this Agreement.</w:t>
      </w:r>
    </w:p>
    <w:p>
      <w:pPr>
        <w:spacing w:after="0" w:line="185" w:lineRule="exact"/>
        <w:rPr>
          <w:sz w:val="20"/>
          <w:szCs w:val="20"/>
          <w:color w:val="auto"/>
        </w:rPr>
      </w:pPr>
    </w:p>
    <w:p>
      <w:pPr>
        <w:ind w:left="4"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Euro, Sterling and any other currency (other than dollars) that (i) is freely available, freely transferable and freely convertible into dollars and (ii) unless otherwise consented to by each Lender, in which dealings in deposits are carried on in the London interbank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issuance, amendment, increase or extension of any Letter of Credit denominated in a currency other than dollars, Euro or Sterling, such other currency is reasonably acceptable to the Administrative Agent and the applicable Issuing Bank in respect of such Letter of Credit.</w:t>
      </w:r>
    </w:p>
    <w:p>
      <w:pPr>
        <w:spacing w:after="0" w:line="188" w:lineRule="exact"/>
        <w:rPr>
          <w:sz w:val="20"/>
          <w:szCs w:val="20"/>
          <w:color w:val="auto"/>
        </w:rPr>
      </w:pPr>
    </w:p>
    <w:p>
      <w:pPr>
        <w:ind w:left="4"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and Restatement Agreement</w:t>
      </w:r>
      <w:r>
        <w:rPr>
          <w:rFonts w:ascii="Arial" w:cs="Arial" w:eastAsia="Arial" w:hAnsi="Arial"/>
          <w:sz w:val="18"/>
          <w:szCs w:val="18"/>
          <w:color w:val="auto"/>
        </w:rPr>
        <w:t>” means the Third Amendment and Restatement Agreement dated as of February 23, 2021 among the Borrower, the Guarantors party thereto, the Lenders and Issuing Banks party thereto and JPMCB, as Administrative Agent and Collateral Agent.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69" w:name="page370"/>
    <w:bookmarkEnd w:id="369"/>
    <w:p>
      <w:pPr>
        <w:ind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corruption or money laundering.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has the meaning set forth in Section 10.19(b).</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total Commitments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Defaulting Lender exists at such time, the Applicable Percentage shall be calculated disregarding such Defaulting Lender’s Commitment. If the Commitments have terminated or expired, the Applicable Percentages shall be determined based upon the Commitments most recently in effect, giving effect to any assignments.</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(a) with respect to any Eurodollar Loan, 1.375% per annum, and (b) with respect to any ABR Loan, 0.375% per annum.</w:t>
      </w:r>
    </w:p>
    <w:p>
      <w:pPr>
        <w:spacing w:after="0" w:line="170"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an application or agreement, in a form as the applicable Issuing Bank may specify as the form for use by its customers from time to time, executed and delivered by the Borrower to the Administrative Agent and the applicable Issuing Bank, requesting such Issuing Bank to issue a Letter of Credit.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JPMCB, in its capacity as sole lead arranger and any successor thereto.</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 a sale, lease (as lessor or sublessor), sale and leaseback, license (as licensor or sublicensor), exchange, transfer or other disposition to, any Person, in one transaction or a series of transactions, of all or any part of the Borrower’s or any of its Restricted Subsidiaries’ businesses, assets or properties of any kind, whether real, personal, or mixed and whether tangible or intangible, whether now owned or hereafter acquired, including the Equity Interests of any of the Borrower’s Subsidiaries, other than:</w:t>
      </w:r>
    </w:p>
    <w:p>
      <w:pPr>
        <w:spacing w:after="0" w:line="79" w:lineRule="exact"/>
        <w:rPr>
          <w:sz w:val="20"/>
          <w:szCs w:val="20"/>
          <w:color w:val="auto"/>
        </w:rPr>
      </w:pPr>
    </w:p>
    <w:p>
      <w:pPr>
        <w:ind w:right="160" w:firstLine="987"/>
        <w:spacing w:after="0" w:line="263" w:lineRule="auto"/>
        <w:tabs>
          <w:tab w:leader="none" w:pos="123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inventory (or other assets, including intangible assets) sold, leased or licensed out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subleases of any office locations shall be deemed in the ordinary course of business, including, any subleasing pursuant to the Borrower’s “virtual first work” model as publicly disclosed in its periodic filings with the Securities and Exchange Commission,</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obsolete, surplus or worn-out property,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sales or other dispositions of Cash Equivalents for the fair market value thereof,</w:t>
      </w:r>
    </w:p>
    <w:p>
      <w:pPr>
        <w:spacing w:after="0" w:line="117" w:lineRule="exact"/>
        <w:rPr>
          <w:rFonts w:ascii="Arial" w:cs="Arial" w:eastAsia="Arial" w:hAnsi="Arial"/>
          <w:sz w:val="18"/>
          <w:szCs w:val="18"/>
          <w:color w:val="auto"/>
        </w:rPr>
      </w:pPr>
    </w:p>
    <w:p>
      <w:pPr>
        <w:ind w:right="80" w:firstLine="987"/>
        <w:spacing w:after="0" w:line="308" w:lineRule="auto"/>
        <w:tabs>
          <w:tab w:leader="none" w:pos="1246" w:val="left"/>
        </w:tabs>
        <w:numPr>
          <w:ilvl w:val="0"/>
          <w:numId w:val="453"/>
        </w:numPr>
        <w:rPr>
          <w:rFonts w:ascii="Arial" w:cs="Arial" w:eastAsia="Arial" w:hAnsi="Arial"/>
          <w:sz w:val="17"/>
          <w:szCs w:val="17"/>
          <w:color w:val="auto"/>
        </w:rPr>
      </w:pPr>
      <w:r>
        <w:rPr>
          <w:rFonts w:ascii="Arial" w:cs="Arial" w:eastAsia="Arial" w:hAnsi="Arial"/>
          <w:sz w:val="17"/>
          <w:szCs w:val="17"/>
          <w:color w:val="auto"/>
        </w:rPr>
        <w:t>dispositions of property (including the sale of any Equity Interest owned by such Person) from (i) any Restricted Subsidiary that is not a Guarantor to any other Restricted Subsidiary that is not a Guarantor or to any Loan Party or (ii) any Loan Party to any other Loan Party,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70" w:name="page371"/>
    <w:bookmarkEnd w:id="370"/>
    <w:p>
      <w:pPr>
        <w:ind w:left="1240" w:hanging="253"/>
        <w:spacing w:after="0"/>
        <w:tabs>
          <w:tab w:leader="none" w:pos="12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dispositions of property in connection with casualty or condemnation events,</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dispositions of past due accounts receivable in connection with the collection, write down or compromise thereof in the ordinary course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business,</w:t>
      </w:r>
    </w:p>
    <w:p>
      <w:pPr>
        <w:spacing w:after="0" w:line="103" w:lineRule="exact"/>
        <w:rPr>
          <w:sz w:val="20"/>
          <w:szCs w:val="20"/>
          <w:color w:val="auto"/>
        </w:rPr>
      </w:pPr>
    </w:p>
    <w:p>
      <w:pPr>
        <w:ind w:right="260" w:firstLine="987"/>
        <w:spacing w:after="0" w:line="277" w:lineRule="auto"/>
        <w:tabs>
          <w:tab w:leader="none" w:pos="124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dispositions of property to the extent that (x) such property is exchanged for credit against the purchase price of similar replacement property or (y) the proceeds of such disposition are promptly applied to the purchase price of such replacement property,</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dispositions permitted by clause (a) of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Permitted IP Transfers,</w:t>
      </w:r>
    </w:p>
    <w:p>
      <w:pPr>
        <w:spacing w:after="0" w:line="117" w:lineRule="exact"/>
        <w:rPr>
          <w:rFonts w:ascii="Arial" w:cs="Arial" w:eastAsia="Arial" w:hAnsi="Arial"/>
          <w:sz w:val="18"/>
          <w:szCs w:val="18"/>
          <w:color w:val="auto"/>
        </w:rPr>
      </w:pPr>
    </w:p>
    <w:p>
      <w:pPr>
        <w:ind w:right="60" w:firstLine="987"/>
        <w:spacing w:after="0" w:line="277" w:lineRule="auto"/>
        <w:tabs>
          <w:tab w:leader="none" w:pos="120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dispositions of assets acquired in connection with (or owned by a Person that is acquired in connection with) an Acquisition for the fair market value thereof (as determined in good faith by the Borrower),</w:t>
      </w:r>
    </w:p>
    <w:p>
      <w:pPr>
        <w:spacing w:after="0" w:line="62" w:lineRule="exact"/>
        <w:rPr>
          <w:rFonts w:ascii="Arial" w:cs="Arial" w:eastAsia="Arial" w:hAnsi="Arial"/>
          <w:sz w:val="18"/>
          <w:szCs w:val="18"/>
          <w:color w:val="auto"/>
        </w:rPr>
      </w:pPr>
    </w:p>
    <w:p>
      <w:pPr>
        <w:ind w:right="60" w:firstLine="987"/>
        <w:spacing w:after="0" w:line="275" w:lineRule="auto"/>
        <w:tabs>
          <w:tab w:leader="none" w:pos="1246"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any other sale, lease, sale and leaseback, license, exchange, transfer or other disposition of assets or properties (other than Material IP) for fair market value (as determined in good faith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Default or Event of Default exists at the time of or would result from such disposition and (ii) the sum of (A) the aggregate consideration received or to be received in respect of such disposition plus (B) the aggregate consideration received or to be received in respect of all other dispositions effected in reliance on this clause (k) prior to or concurrently with such disposition shall not exceed 30% of Consolidated Total Assets at the time of such disposition,</w:t>
      </w:r>
    </w:p>
    <w:p>
      <w:pPr>
        <w:spacing w:after="0" w:line="68" w:lineRule="exact"/>
        <w:rPr>
          <w:rFonts w:ascii="Arial" w:cs="Arial" w:eastAsia="Arial" w:hAnsi="Arial"/>
          <w:sz w:val="17"/>
          <w:szCs w:val="17"/>
          <w:color w:val="auto"/>
        </w:rPr>
      </w:pPr>
    </w:p>
    <w:p>
      <w:pPr>
        <w:ind w:right="360" w:firstLine="987"/>
        <w:spacing w:after="0" w:line="277" w:lineRule="auto"/>
        <w:tabs>
          <w:tab w:leader="none" w:pos="120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unwinding of any Swap Agreement permitted hereunder or any Permitted Call Spread Transaction permitted hereunder, in each case, to the extent that such unwinding otherwise constitutes an Asset Sale, and</w:t>
      </w:r>
    </w:p>
    <w:p>
      <w:pPr>
        <w:spacing w:after="0" w:line="62" w:lineRule="exact"/>
        <w:rPr>
          <w:rFonts w:ascii="Arial" w:cs="Arial" w:eastAsia="Arial" w:hAnsi="Arial"/>
          <w:sz w:val="18"/>
          <w:szCs w:val="18"/>
          <w:color w:val="auto"/>
        </w:rPr>
      </w:pPr>
    </w:p>
    <w:p>
      <w:pPr>
        <w:ind w:firstLine="987"/>
        <w:spacing w:after="0" w:line="263" w:lineRule="auto"/>
        <w:tabs>
          <w:tab w:leader="none" w:pos="129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any other sale, lease, sale and leaseback, license, exchange, transfer or other disposition of assets or properties by a Foreign Subsidiary to a Loan Party or another Foreign Subsidiary, subject to compliance, in the case of any such disposition of Intellectual Property, with the requirements set forth in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definition of Permitted IP Transfer.</w:t>
      </w:r>
    </w:p>
    <w:p>
      <w:pPr>
        <w:spacing w:after="0" w:line="184"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use of an electronic platform) approved by the Administrative Agent.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ASU 842</w:t>
      </w:r>
      <w:r>
        <w:rPr>
          <w:rFonts w:ascii="Arial" w:cs="Arial" w:eastAsia="Arial" w:hAnsi="Arial"/>
          <w:sz w:val="18"/>
          <w:szCs w:val="18"/>
          <w:color w:val="auto"/>
        </w:rPr>
        <w:t>” has the meaning set forth in the definition of “Capital Lease Obligations”.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71" w:name="page372"/>
    <w:bookmarkEnd w:id="37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means the period from and including the Effective Date to but excluding the Commitment Termination Date.</w:t>
      </w:r>
    </w:p>
    <w:p>
      <w:pPr>
        <w:spacing w:after="0" w:line="23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Commitments</w:t>
      </w:r>
      <w:r>
        <w:rPr>
          <w:rFonts w:ascii="Arial" w:cs="Arial" w:eastAsia="Arial" w:hAnsi="Arial"/>
          <w:sz w:val="18"/>
          <w:szCs w:val="18"/>
          <w:color w:val="auto"/>
        </w:rPr>
        <w:t>” mean, as of any date, the aggregate amount of Commitments then in effect minus the aggregate amount of Revolving Exposure then outstanding.</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2.13.</w:t>
      </w:r>
    </w:p>
    <w:p>
      <w:pPr>
        <w:spacing w:after="0" w:line="18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BANA</w:t>
      </w:r>
      <w:r>
        <w:rPr>
          <w:rFonts w:ascii="Arial" w:cs="Arial" w:eastAsia="Arial" w:hAnsi="Arial"/>
          <w:sz w:val="18"/>
          <w:szCs w:val="18"/>
          <w:color w:val="auto"/>
        </w:rPr>
        <w:t>” means Bank of America, N.A.</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Chapter 11 of Title 11 of the United States Code, as amended from time to time and any successor statute and all rules and regulations promulgated thereunder.</w:t>
      </w:r>
    </w:p>
    <w:p>
      <w:pPr>
        <w:spacing w:after="0" w:line="170"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LIBO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or an Early Opt-in Election, as applicable, and its related Benchmark Replacement Date have occurred with respect to LIBO Rate or the then-current Benchmark, then “Benchmark” means the applicable Benchmark Replacement to the extent that such Benchmark Replacement has replaced such prior benchmark rate pursuant to clause (b) or clause (c) of Section 2.13.</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means, for any Available Tenor, the first alternative set forth in the order below that can be determined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103" w:lineRule="exact"/>
        <w:rPr>
          <w:sz w:val="20"/>
          <w:szCs w:val="20"/>
          <w:color w:val="auto"/>
        </w:rPr>
      </w:pPr>
    </w:p>
    <w:p>
      <w:pPr>
        <w:ind w:left="5460" w:right="3660" w:hanging="4473"/>
        <w:spacing w:after="0" w:line="449" w:lineRule="auto"/>
        <w:tabs>
          <w:tab w:leader="none" w:pos="1243"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 5</w:t>
      </w:r>
    </w:p>
    <w:p>
      <w:pPr>
        <w:sectPr>
          <w:pgSz w:w="11900" w:h="16838" w:orient="portrait"/>
          <w:cols w:equalWidth="0" w:num="1">
            <w:col w:w="11020"/>
          </w:cols>
          <w:pgMar w:left="440" w:top="274" w:right="439" w:bottom="1440" w:gutter="0" w:footer="0" w:header="0"/>
        </w:sectPr>
      </w:pPr>
    </w:p>
    <w:bookmarkStart w:id="372" w:name="page373"/>
    <w:bookmarkEnd w:id="372"/>
    <w:p>
      <w:pPr>
        <w:ind w:left="1680" w:hanging="252"/>
        <w:spacing w:after="0"/>
        <w:tabs>
          <w:tab w:leader="none" w:pos="16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sum of: (a) Daily Simple SOFR and (b) the related Benchmark Replacement Adjustment;</w:t>
      </w:r>
    </w:p>
    <w:p>
      <w:pPr>
        <w:spacing w:after="0" w:line="117" w:lineRule="exact"/>
        <w:rPr>
          <w:rFonts w:ascii="Arial" w:cs="Arial" w:eastAsia="Arial" w:hAnsi="Arial"/>
          <w:sz w:val="18"/>
          <w:szCs w:val="18"/>
          <w:color w:val="auto"/>
        </w:rPr>
      </w:pPr>
    </w:p>
    <w:p>
      <w:pPr>
        <w:ind w:firstLine="1428"/>
        <w:spacing w:after="0" w:line="257" w:lineRule="auto"/>
        <w:tabs>
          <w:tab w:leader="none" w:pos="168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88"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92"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right="120" w:firstLine="1432"/>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24" w:lineRule="exact"/>
        <w:rPr>
          <w:sz w:val="20"/>
          <w:szCs w:val="20"/>
          <w:color w:val="auto"/>
        </w:rPr>
      </w:pPr>
    </w:p>
    <w:p>
      <w:pPr>
        <w:ind w:right="460" w:firstLine="1428"/>
        <w:spacing w:after="0" w:line="277" w:lineRule="auto"/>
        <w:tabs>
          <w:tab w:leader="none" w:pos="1687" w:val="left"/>
        </w:tabs>
        <w:numPr>
          <w:ilvl w:val="0"/>
          <w:numId w:val="458"/>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62" w:lineRule="exact"/>
        <w:rPr>
          <w:sz w:val="20"/>
          <w:szCs w:val="20"/>
          <w:color w:val="auto"/>
        </w:rPr>
      </w:pPr>
    </w:p>
    <w:p>
      <w:pPr>
        <w:ind w:right="100" w:firstLine="1428"/>
        <w:spacing w:after="0" w:line="259" w:lineRule="auto"/>
        <w:tabs>
          <w:tab w:leader="none" w:pos="1677"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78" w:lineRule="exact"/>
        <w:rPr>
          <w:rFonts w:ascii="Arial" w:cs="Arial" w:eastAsia="Arial" w:hAnsi="Arial"/>
          <w:sz w:val="18"/>
          <w:szCs w:val="18"/>
          <w:color w:val="auto"/>
        </w:rPr>
      </w:pPr>
    </w:p>
    <w:p>
      <w:pPr>
        <w:ind w:right="120" w:firstLine="1428"/>
        <w:spacing w:after="0" w:line="286" w:lineRule="auto"/>
        <w:tabs>
          <w:tab w:leader="none" w:pos="1687" w:val="left"/>
        </w:tabs>
        <w:numPr>
          <w:ilvl w:val="0"/>
          <w:numId w:val="459"/>
        </w:numPr>
        <w:rPr>
          <w:rFonts w:ascii="Arial" w:cs="Arial" w:eastAsia="Arial" w:hAnsi="Arial"/>
          <w:sz w:val="17"/>
          <w:szCs w:val="17"/>
          <w:color w:val="auto"/>
        </w:rPr>
      </w:pPr>
      <w:r>
        <w:rPr>
          <w:rFonts w:ascii="Arial" w:cs="Arial" w:eastAsia="Arial" w:hAnsi="Arial"/>
          <w:sz w:val="17"/>
          <w:szCs w:val="17"/>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73" w:name="page374"/>
    <w:bookmarkEnd w:id="373"/>
    <w:p>
      <w:pPr>
        <w:ind w:right="20" w:firstLine="987"/>
        <w:spacing w:after="0" w:line="272" w:lineRule="auto"/>
        <w:tabs>
          <w:tab w:leader="none" w:pos="1246" w:val="left"/>
        </w:tabs>
        <w:numPr>
          <w:ilvl w:val="0"/>
          <w:numId w:val="4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77" w:lineRule="exact"/>
        <w:rPr>
          <w:sz w:val="20"/>
          <w:szCs w:val="20"/>
          <w:color w:val="auto"/>
        </w:rPr>
      </w:pPr>
    </w:p>
    <w:p>
      <w:pPr>
        <w:ind w:right="300" w:firstLine="991"/>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46"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means the earliest to occur of the following events with respect to the then-current Benchmark:</w:t>
      </w:r>
    </w:p>
    <w:p>
      <w:pPr>
        <w:spacing w:after="0" w:line="129" w:lineRule="exact"/>
        <w:rPr>
          <w:sz w:val="20"/>
          <w:szCs w:val="20"/>
          <w:color w:val="auto"/>
        </w:rPr>
      </w:pPr>
    </w:p>
    <w:p>
      <w:pPr>
        <w:ind w:right="240" w:firstLine="987"/>
        <w:spacing w:after="0" w:line="311" w:lineRule="auto"/>
        <w:tabs>
          <w:tab w:leader="none" w:pos="1246" w:val="left"/>
        </w:tabs>
        <w:numPr>
          <w:ilvl w:val="0"/>
          <w:numId w:val="461"/>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40" w:lineRule="exact"/>
        <w:rPr>
          <w:rFonts w:ascii="Arial" w:cs="Arial" w:eastAsia="Arial" w:hAnsi="Arial"/>
          <w:sz w:val="16"/>
          <w:szCs w:val="16"/>
          <w:color w:val="auto"/>
        </w:rPr>
      </w:pPr>
    </w:p>
    <w:p>
      <w:pPr>
        <w:ind w:right="800" w:firstLine="987"/>
        <w:spacing w:after="0" w:line="277" w:lineRule="auto"/>
        <w:tabs>
          <w:tab w:leader="none" w:pos="124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 or</w:t>
      </w:r>
    </w:p>
    <w:p>
      <w:pPr>
        <w:spacing w:after="0" w:line="62"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2.13(c); or</w:t>
      </w:r>
    </w:p>
    <w:p>
      <w:pPr>
        <w:spacing w:after="0" w:line="62"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the case of an Early Opt-in Election, the sixth Business Day after the date notice of such Early Opt-in Election is provided to the Lenders, so long as the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74" w:name="page375"/>
    <w:bookmarkEnd w:id="37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 has not received, by 5:00 p.m. (New York City time) on the fifth Business Day after the date notice of such Early Opt-in Election is provided to the Lenders, written notice of objection to such Early Opt-in Election from Lenders comprising the Required Lenders.</w:t>
      </w:r>
    </w:p>
    <w:p>
      <w:pPr>
        <w:spacing w:after="0" w:line="170"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the occurrence of one or more of the following events with respect to the then-current Benchmark:</w:t>
      </w:r>
    </w:p>
    <w:p>
      <w:pPr>
        <w:spacing w:after="0" w:line="140" w:lineRule="exact"/>
        <w:rPr>
          <w:sz w:val="20"/>
          <w:szCs w:val="20"/>
          <w:color w:val="auto"/>
        </w:rPr>
      </w:pPr>
    </w:p>
    <w:p>
      <w:pPr>
        <w:jc w:val="both"/>
        <w:ind w:right="80" w:firstLine="987"/>
        <w:spacing w:after="0" w:line="259" w:lineRule="auto"/>
        <w:tabs>
          <w:tab w:leader="none" w:pos="124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8" w:lineRule="exact"/>
        <w:rPr>
          <w:rFonts w:ascii="Arial" w:cs="Arial" w:eastAsia="Arial" w:hAnsi="Arial"/>
          <w:sz w:val="18"/>
          <w:szCs w:val="18"/>
          <w:color w:val="auto"/>
        </w:rPr>
      </w:pPr>
    </w:p>
    <w:p>
      <w:pPr>
        <w:ind w:firstLine="987"/>
        <w:spacing w:after="0" w:line="272" w:lineRule="auto"/>
        <w:tabs>
          <w:tab w:leader="none" w:pos="1246"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69" w:lineRule="exact"/>
        <w:rPr>
          <w:rFonts w:ascii="Arial" w:cs="Arial" w:eastAsia="Arial" w:hAnsi="Arial"/>
          <w:sz w:val="17"/>
          <w:szCs w:val="17"/>
          <w:color w:val="auto"/>
        </w:rPr>
      </w:pPr>
    </w:p>
    <w:p>
      <w:pPr>
        <w:ind w:firstLine="987"/>
        <w:spacing w:after="0" w:line="263" w:lineRule="auto"/>
        <w:tabs>
          <w:tab w:leader="none" w:pos="124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75" w:name="page376"/>
    <w:bookmarkEnd w:id="375"/>
    <w:p>
      <w:pPr>
        <w:ind w:right="16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2.13 and (y) ending at the time that a Benchmark Replacement has replaced the then-current Benchmark for all purposes hereunder and under any Loan Document in accordance with Section 2.13.</w:t>
      </w:r>
    </w:p>
    <w:p>
      <w:pPr>
        <w:spacing w:after="0" w:line="157"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means each Agent, Issuing Bank, Lender and Lender Counterparty.</w:t>
      </w:r>
    </w:p>
    <w:p>
      <w:pPr>
        <w:spacing w:after="0" w:line="225" w:lineRule="exact"/>
        <w:rPr>
          <w:sz w:val="20"/>
          <w:szCs w:val="20"/>
          <w:color w:val="auto"/>
        </w:rPr>
      </w:pPr>
    </w:p>
    <w:p>
      <w:pPr>
        <w:ind w:right="3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Plans</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 1841(k)) of such party.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comparable governing body of the Borrower, or any committee thereof duly authorized to act on its behalf.</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means any fund or investment vehicle that is engaged in the making, purchasing, holding or otherwise investing in commercial loans, bonds and other similar extensions of credit in the ordinary course.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Dropbox, Inc., a Delaware corporation.</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Type, made, converted or continued on the same date and, in the case of Eurodollar Loans, as to which a single Interest Period is in effect or (b) a Swing Line Loan.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Credit Card Obligations</w:t>
      </w:r>
      <w:r>
        <w:rPr>
          <w:rFonts w:ascii="Arial" w:cs="Arial" w:eastAsia="Arial" w:hAnsi="Arial"/>
          <w:sz w:val="18"/>
          <w:szCs w:val="18"/>
          <w:color w:val="auto"/>
        </w:rPr>
        <w:t>” means obligations incurred by the Borrower or its Restricted Subsidiaries in the ordinary course of business under a commercial credit card or purchasing card program.</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76" w:name="page377"/>
    <w:bookmarkEnd w:id="376"/>
    <w:p>
      <w:pPr>
        <w:ind w:left="4" w:right="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obligations relating to a lease that was accounted for by such Person as an operating lease for purposes of GAAP prior to the implementation of Financial Accounting Standards Board ASU No. 2016-02, Leases (Topic 842) and any interpretations thereof (“</w:t>
      </w:r>
      <w:r>
        <w:rPr>
          <w:rFonts w:ascii="Arial" w:cs="Arial" w:eastAsia="Arial" w:hAnsi="Arial"/>
          <w:sz w:val="17"/>
          <w:szCs w:val="17"/>
          <w:u w:val="single" w:color="auto"/>
          <w:color w:val="auto"/>
        </w:rPr>
        <w:t>ASU 842</w:t>
      </w:r>
      <w:r>
        <w:rPr>
          <w:rFonts w:ascii="Arial" w:cs="Arial" w:eastAsia="Arial" w:hAnsi="Arial"/>
          <w:sz w:val="17"/>
          <w:szCs w:val="17"/>
          <w:color w:val="auto"/>
        </w:rPr>
        <w:t xml:space="preserve">”) shall continue to be accounted for as operating leases and not as Capital Lease Obligations for purposes of all financial definitions, calculations and covenants for purpose of this Agreement notwithstanding the fact that such obligations are required in accordance with ASU 842 to be treated as capitalized lease obligations in accordance with GAAP in the financial statements to be delivered pursuant to the Loan Documents. For purposes of </w:t>
      </w:r>
      <w:r>
        <w:rPr>
          <w:rFonts w:ascii="Arial" w:cs="Arial" w:eastAsia="Arial" w:hAnsi="Arial"/>
          <w:sz w:val="17"/>
          <w:szCs w:val="17"/>
          <w:u w:val="single" w:color="auto"/>
          <w:color w:val="auto"/>
        </w:rPr>
        <w:t>Section 6.2</w:t>
      </w:r>
      <w:r>
        <w:rPr>
          <w:rFonts w:ascii="Arial" w:cs="Arial" w:eastAsia="Arial" w:hAnsi="Arial"/>
          <w:sz w:val="17"/>
          <w:szCs w:val="17"/>
          <w:color w:val="auto"/>
        </w:rPr>
        <w:t>, a Capital Lease Obligation shall be deemed to be secured by a Lien on the property being leased and such property shall be deemed to be owned by the lessee.</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384" w:hanging="393"/>
        <w:spacing w:after="0"/>
        <w:tabs>
          <w:tab w:leader="none" w:pos="138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United States dollars, or money in other currencies received in the ordinary course of business,</w:t>
      </w:r>
    </w:p>
    <w:p>
      <w:pPr>
        <w:spacing w:after="0" w:line="117" w:lineRule="exact"/>
        <w:rPr>
          <w:rFonts w:ascii="Arial" w:cs="Arial" w:eastAsia="Arial" w:hAnsi="Arial"/>
          <w:sz w:val="18"/>
          <w:szCs w:val="18"/>
          <w:color w:val="auto"/>
        </w:rPr>
      </w:pPr>
    </w:p>
    <w:p>
      <w:pPr>
        <w:ind w:left="4" w:right="100" w:firstLine="987"/>
        <w:spacing w:after="0" w:line="277" w:lineRule="auto"/>
        <w:tabs>
          <w:tab w:leader="none" w:pos="1385" w:val="left"/>
        </w:tabs>
        <w:numPr>
          <w:ilvl w:val="1"/>
          <w:numId w:val="463"/>
        </w:numPr>
        <w:rPr>
          <w:rFonts w:ascii="Arial" w:cs="Arial" w:eastAsia="Arial" w:hAnsi="Arial"/>
          <w:sz w:val="18"/>
          <w:szCs w:val="18"/>
          <w:color w:val="auto"/>
        </w:rPr>
      </w:pPr>
      <w:r>
        <w:rPr>
          <w:rFonts w:ascii="Arial" w:cs="Arial" w:eastAsia="Arial" w:hAnsi="Arial"/>
          <w:sz w:val="18"/>
          <w:szCs w:val="18"/>
          <w:color w:val="auto"/>
        </w:rPr>
        <w:t>U.S. Government Obligations or certificates representing an ownership interest in U.S. Government Obligations with maturities not exceeding one year from the date of acquisition,</w:t>
      </w:r>
    </w:p>
    <w:p>
      <w:pPr>
        <w:spacing w:after="0" w:line="62" w:lineRule="exact"/>
        <w:rPr>
          <w:rFonts w:ascii="Arial" w:cs="Arial" w:eastAsia="Arial" w:hAnsi="Arial"/>
          <w:sz w:val="18"/>
          <w:szCs w:val="18"/>
          <w:color w:val="auto"/>
        </w:rPr>
      </w:pPr>
    </w:p>
    <w:p>
      <w:pPr>
        <w:ind w:left="1384" w:hanging="393"/>
        <w:spacing w:after="0"/>
        <w:tabs>
          <w:tab w:leader="none" w:pos="1384" w:val="left"/>
        </w:tabs>
        <w:numPr>
          <w:ilvl w:val="1"/>
          <w:numId w:val="463"/>
        </w:numPr>
        <w:rPr>
          <w:rFonts w:ascii="Arial" w:cs="Arial" w:eastAsia="Arial" w:hAnsi="Arial"/>
          <w:sz w:val="17"/>
          <w:szCs w:val="17"/>
          <w:color w:val="auto"/>
        </w:rPr>
      </w:pPr>
      <w:r>
        <w:rPr>
          <w:rFonts w:ascii="Arial" w:cs="Arial" w:eastAsia="Arial" w:hAnsi="Arial"/>
          <w:sz w:val="17"/>
          <w:szCs w:val="17"/>
          <w:color w:val="auto"/>
        </w:rPr>
        <w:t>(i) demand deposits, (ii) time deposits and certificates of deposit with maturities of one year or less from the date of acquisition,</w:t>
      </w:r>
    </w:p>
    <w:p>
      <w:pPr>
        <w:spacing w:after="0" w:line="34" w:lineRule="exact"/>
        <w:rPr>
          <w:rFonts w:ascii="Arial" w:cs="Arial" w:eastAsia="Arial" w:hAnsi="Arial"/>
          <w:sz w:val="17"/>
          <w:szCs w:val="17"/>
          <w:color w:val="auto"/>
        </w:rPr>
      </w:pPr>
    </w:p>
    <w:p>
      <w:pPr>
        <w:ind w:left="4" w:right="200" w:hanging="4"/>
        <w:spacing w:after="0" w:line="277" w:lineRule="auto"/>
        <w:tabs>
          <w:tab w:leader="none" w:pos="319" w:val="left"/>
        </w:tabs>
        <w:numPr>
          <w:ilvl w:val="0"/>
          <w:numId w:val="464"/>
        </w:numPr>
        <w:rPr>
          <w:rFonts w:ascii="Arial" w:cs="Arial" w:eastAsia="Arial" w:hAnsi="Arial"/>
          <w:sz w:val="17"/>
          <w:szCs w:val="17"/>
          <w:color w:val="auto"/>
        </w:rPr>
      </w:pPr>
      <w:r>
        <w:rPr>
          <w:rFonts w:ascii="Arial" w:cs="Arial" w:eastAsia="Arial" w:hAnsi="Arial"/>
          <w:sz w:val="17"/>
          <w:szCs w:val="17"/>
          <w:color w:val="auto"/>
        </w:rPr>
        <w:t>bankers’ acceptances with maturities not exceeding one year from the date of acquisition, and (iv) overnight bank deposits, in each case with any bank or trust company organized or licensed under the laws of the United States or any State thereof having capital, surplus and undivided profits in excess of $500 million whose short-term debt is rated “A-2” or higher by S&amp;P or “P-2” or higher by Moody’s,</w:t>
      </w:r>
    </w:p>
    <w:p>
      <w:pPr>
        <w:spacing w:after="0" w:line="64" w:lineRule="exact"/>
        <w:rPr>
          <w:rFonts w:ascii="Arial" w:cs="Arial" w:eastAsia="Arial" w:hAnsi="Arial"/>
          <w:sz w:val="17"/>
          <w:szCs w:val="17"/>
          <w:color w:val="auto"/>
        </w:rPr>
      </w:pPr>
    </w:p>
    <w:p>
      <w:pPr>
        <w:ind w:left="4" w:right="100" w:firstLine="987"/>
        <w:spacing w:after="0" w:line="277" w:lineRule="auto"/>
        <w:tabs>
          <w:tab w:leader="none" w:pos="1385" w:val="left"/>
        </w:tabs>
        <w:numPr>
          <w:ilvl w:val="1"/>
          <w:numId w:val="464"/>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 described in clauses (2) and (3) above entered into with any financial institution meeting the qualifications specified in clause (3) above,</w:t>
      </w:r>
    </w:p>
    <w:p>
      <w:pPr>
        <w:spacing w:after="0" w:line="62" w:lineRule="exact"/>
        <w:rPr>
          <w:rFonts w:ascii="Arial" w:cs="Arial" w:eastAsia="Arial" w:hAnsi="Arial"/>
          <w:sz w:val="18"/>
          <w:szCs w:val="18"/>
          <w:color w:val="auto"/>
        </w:rPr>
      </w:pPr>
    </w:p>
    <w:p>
      <w:pPr>
        <w:ind w:left="1384" w:hanging="393"/>
        <w:spacing w:after="0"/>
        <w:tabs>
          <w:tab w:leader="none" w:pos="1384" w:val="left"/>
        </w:tabs>
        <w:numPr>
          <w:ilvl w:val="1"/>
          <w:numId w:val="464"/>
        </w:numPr>
        <w:rPr>
          <w:rFonts w:ascii="Arial" w:cs="Arial" w:eastAsia="Arial" w:hAnsi="Arial"/>
          <w:sz w:val="17"/>
          <w:szCs w:val="17"/>
          <w:color w:val="auto"/>
        </w:rPr>
      </w:pPr>
      <w:r>
        <w:rPr>
          <w:rFonts w:ascii="Arial" w:cs="Arial" w:eastAsia="Arial" w:hAnsi="Arial"/>
          <w:sz w:val="17"/>
          <w:szCs w:val="17"/>
          <w:color w:val="auto"/>
        </w:rPr>
        <w:t>commercial paper rated at least P-1 by Moody’s or A-1 by S&amp;P and maturing within one year after the date of acquisition,</w:t>
      </w:r>
    </w:p>
    <w:p>
      <w:pPr>
        <w:spacing w:after="0" w:line="128" w:lineRule="exact"/>
        <w:rPr>
          <w:rFonts w:ascii="Arial" w:cs="Arial" w:eastAsia="Arial" w:hAnsi="Arial"/>
          <w:sz w:val="17"/>
          <w:szCs w:val="17"/>
          <w:color w:val="auto"/>
        </w:rPr>
      </w:pPr>
    </w:p>
    <w:p>
      <w:pPr>
        <w:ind w:left="4" w:right="20" w:firstLine="987"/>
        <w:spacing w:after="0" w:line="277" w:lineRule="auto"/>
        <w:tabs>
          <w:tab w:leader="none" w:pos="1385" w:val="left"/>
        </w:tabs>
        <w:numPr>
          <w:ilvl w:val="1"/>
          <w:numId w:val="464"/>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which (or the issuer of which) are rated at least A or A-1 by S&amp;P or A2 or P-1 by Moody’s,</w:t>
      </w:r>
    </w:p>
    <w:p>
      <w:pPr>
        <w:spacing w:after="0" w:line="62" w:lineRule="exact"/>
        <w:rPr>
          <w:rFonts w:ascii="Arial" w:cs="Arial" w:eastAsia="Arial" w:hAnsi="Arial"/>
          <w:sz w:val="18"/>
          <w:szCs w:val="18"/>
          <w:color w:val="auto"/>
        </w:rPr>
      </w:pPr>
    </w:p>
    <w:p>
      <w:pPr>
        <w:ind w:left="5424" w:hanging="4433"/>
        <w:spacing w:after="0" w:line="449" w:lineRule="auto"/>
        <w:tabs>
          <w:tab w:leader="none" w:pos="1387" w:val="left"/>
        </w:tabs>
        <w:numPr>
          <w:ilvl w:val="1"/>
          <w:numId w:val="464"/>
        </w:numPr>
        <w:rPr>
          <w:rFonts w:ascii="Arial" w:cs="Arial" w:eastAsia="Arial" w:hAnsi="Arial"/>
          <w:sz w:val="18"/>
          <w:szCs w:val="18"/>
          <w:color w:val="auto"/>
        </w:rPr>
      </w:pPr>
      <w:r>
        <w:rPr>
          <w:rFonts w:ascii="Arial" w:cs="Arial" w:eastAsia="Arial" w:hAnsi="Arial"/>
          <w:sz w:val="18"/>
          <w:szCs w:val="18"/>
          <w:color w:val="auto"/>
        </w:rPr>
        <w:t>money market funds at least 90% of the assets of which consist of investments of the type described in clauses (1) through (6) above, 10</w:t>
      </w:r>
    </w:p>
    <w:p>
      <w:pPr>
        <w:sectPr>
          <w:pgSz w:w="11900" w:h="16838" w:orient="portrait"/>
          <w:cols w:equalWidth="0" w:num="1">
            <w:col w:w="10964"/>
          </w:cols>
          <w:pgMar w:left="436" w:top="274" w:right="499" w:bottom="1440" w:gutter="0" w:footer="0" w:header="0"/>
        </w:sectPr>
      </w:pPr>
    </w:p>
    <w:bookmarkStart w:id="377" w:name="page378"/>
    <w:bookmarkEnd w:id="377"/>
    <w:p>
      <w:pPr>
        <w:ind w:right="80" w:firstLine="987"/>
        <w:spacing w:after="0" w:line="263" w:lineRule="auto"/>
        <w:tabs>
          <w:tab w:leader="none" w:pos="1426" w:val="left"/>
        </w:tabs>
        <w:numPr>
          <w:ilvl w:val="0"/>
          <w:numId w:val="4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made pursuant to the Borrower’s investment policy as approved by the Board of Directors as in effect on, and provided to the Administrative Agent on or prior to, the Restatement Effective Date, and as may be amended, supplemented or otherwise modified by the Board of Directors in a manner reasonably satisfactory to the Administrative Agent, and</w:t>
      </w:r>
    </w:p>
    <w:p>
      <w:pPr>
        <w:spacing w:after="0" w:line="75" w:lineRule="exact"/>
        <w:rPr>
          <w:rFonts w:ascii="Arial" w:cs="Arial" w:eastAsia="Arial" w:hAnsi="Arial"/>
          <w:sz w:val="18"/>
          <w:szCs w:val="18"/>
          <w:color w:val="auto"/>
        </w:rPr>
      </w:pPr>
    </w:p>
    <w:p>
      <w:pPr>
        <w:ind w:firstLine="987"/>
        <w:spacing w:after="0" w:line="263" w:lineRule="auto"/>
        <w:tabs>
          <w:tab w:leader="none" w:pos="142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in the case of any Foreign Subsidiary, instruments and investments of the type and maturity described in clause (1) through (8) above denominated in any foreign currency that are comparable in investment quality to those referred to above and are customarily used by companies in the jurisdiction of such Foreign Subsidiary for cash management purposes.</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the Borrower or any of its Restricted Subsidiaries and (b) commercial credit card and purchasing card services provided to the Borrower or any of its Restricted Subsidiaries.</w:t>
      </w:r>
    </w:p>
    <w:p>
      <w:pPr>
        <w:spacing w:after="0" w:line="187"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 Agreement</w:t>
      </w:r>
      <w:r>
        <w:rPr>
          <w:rFonts w:ascii="Arial" w:cs="Arial" w:eastAsia="Arial" w:hAnsi="Arial"/>
          <w:sz w:val="18"/>
          <w:szCs w:val="18"/>
          <w:color w:val="auto"/>
        </w:rPr>
        <w:t>” means any agreement with respect to the provision of Cash Management Services to the Borrower or any of its Restricted Subsidiaries.</w:t>
      </w:r>
    </w:p>
    <w:p>
      <w:pPr>
        <w:spacing w:after="0" w:line="170"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each Subsidiary that is a “controlled foreign corporation” within the meaning of Section 957 of the Code and (b) each subsidiary of any such controlled foreign corporation.</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means each Subsidiary, including a U.S. Subsidiary, substantially all the assets of which consist of Equity Interests in one or more CFCs or Subsidiaries described in this definition.</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of ownership, directly or indirectly, beneficially or of record, by any Person or group (within the meaning of the Securities Exchange Act and the rules of the Securities and Exchange Commission thereunder), other than the Permitted Holders, of Equity Interests in the Borrower representing more than 35% of the aggregate ordinary voting power represented by the issued and outstanding Equity Interests in the Borrower.</w:t>
      </w:r>
    </w:p>
    <w:p>
      <w:pPr>
        <w:spacing w:after="0" w:line="187"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78" w:name="page379"/>
    <w:bookmarkEnd w:id="37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from time to time, and the regulations promulgated and rulings issued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Co-Documentation Agents</w:t>
      </w:r>
      <w:r>
        <w:rPr>
          <w:rFonts w:ascii="Arial" w:cs="Arial" w:eastAsia="Arial" w:hAnsi="Arial"/>
          <w:sz w:val="18"/>
          <w:szCs w:val="18"/>
          <w:color w:val="auto"/>
        </w:rPr>
        <w:t>” means BANA, GSLP and RBC.</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collectively, all of the property (including Equity Interests) in which Liens are purported to be granted pursuant to the Collateral Documents as security for the Obligations.</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JPMCB, in its capacity as collateral agent for the Lenders and Issuing Banks hereunder, or any successor collateral agent.</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the Security Agreement, the Intellectual Property Security Agreements and all other instruments, documents and agreements delivered by or on behalf of any Loan Party pursuant to this Agreement or any of the other Loan Documents in order to grant to, or perfect in favor of, the Collateral Agent, for the benefit of the Lenders and Issuing Banks, a Lien on any Collateral of that Loan Party as security for the Obligations.</w:t>
      </w:r>
    </w:p>
    <w:p>
      <w:pPr>
        <w:spacing w:after="0" w:line="187"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with respect to each Lender, the commitment of such Lender to make Revolving Loans hereunder and to acquire participations in Letters of Credit and Swing Line Loans hereunder, expressed as an amount representing the maximum aggregate amount of such Lender’s Loans hereunder, as such commitment may be (a) reduced from time to time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 increased from time to time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and (c) reduced or increased from time to time pursuant to assignments by or to such Lender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The initial amount of each Lender’s Commitment as of the Restatement Effective Date is set forth on </w:t>
      </w:r>
      <w:r>
        <w:rPr>
          <w:rFonts w:ascii="Arial" w:cs="Arial" w:eastAsia="Arial" w:hAnsi="Arial"/>
          <w:sz w:val="17"/>
          <w:szCs w:val="17"/>
          <w:u w:val="single" w:color="auto"/>
          <w:color w:val="auto"/>
        </w:rPr>
        <w:t>Schedule 2.1</w:t>
      </w:r>
      <w:r>
        <w:rPr>
          <w:rFonts w:ascii="Arial" w:cs="Arial" w:eastAsia="Arial" w:hAnsi="Arial"/>
          <w:sz w:val="17"/>
          <w:szCs w:val="17"/>
          <w:color w:val="auto"/>
        </w:rPr>
        <w:t>. The aggregate amount of the Lenders’ Commitments as of the Restatement Effective Date is $500,000,000.</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earliest to occur of (a) the Maturity Date, (b) the date the Commitments are permanently reduced to zero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(c) the date of the termination of the Commitments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par value $0.00001 per share, of the Borrower.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79" w:name="page380"/>
    <w:bookmarkEnd w:id="37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Competitors</w:t>
      </w:r>
      <w:r>
        <w:rPr>
          <w:rFonts w:ascii="Arial" w:cs="Arial" w:eastAsia="Arial" w:hAnsi="Arial"/>
          <w:sz w:val="18"/>
          <w:szCs w:val="18"/>
          <w:color w:val="auto"/>
        </w:rPr>
        <w:t>” has the meaning set forth in the definition of “Disqualified Lender”.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xml:space="preserve">” means, for any period, Consolidated Net Income for such period </w:t>
      </w:r>
      <w:r>
        <w:rPr>
          <w:rFonts w:ascii="Arial" w:cs="Arial" w:eastAsia="Arial" w:hAnsi="Arial"/>
          <w:sz w:val="16"/>
          <w:szCs w:val="16"/>
          <w:i w:val="1"/>
          <w:iCs w:val="1"/>
          <w:color w:val="auto"/>
        </w:rPr>
        <w:t>plus</w:t>
      </w:r>
      <w:r>
        <w:rPr>
          <w:rFonts w:ascii="Arial" w:cs="Arial" w:eastAsia="Arial" w:hAnsi="Arial"/>
          <w:sz w:val="16"/>
          <w:szCs w:val="16"/>
          <w:color w:val="auto"/>
        </w:rPr>
        <w:t>, without duplication and to the extent reflected as a charge in the statement of such Consolidated Net Income for such period (other than clause (n)), the sum of (a) provision for taxes based on income, profits or capital, including federal, foreign and state income, franchise, and similar taxes based on income, profits or capital paid or accrued (including in respect of repatriated funds), (b) interest expense, amortization or write-off of debt discount and debt issuance costs and commissions, discounts and other fees and charges associated with Indebtedness (including the Loans), expenses associated with any loss from the early extinguishment of Indebtedness and expenses associated with the equity component of, and any mark-to-market losses with respect to convertible notes,</w:t>
      </w:r>
    </w:p>
    <w:p>
      <w:pPr>
        <w:spacing w:after="0" w:line="4" w:lineRule="exact"/>
        <w:rPr>
          <w:sz w:val="20"/>
          <w:szCs w:val="20"/>
          <w:color w:val="auto"/>
        </w:rPr>
      </w:pPr>
    </w:p>
    <w:p>
      <w:pPr>
        <w:ind w:left="4" w:hanging="4"/>
        <w:spacing w:after="0" w:line="266" w:lineRule="auto"/>
        <w:tabs>
          <w:tab w:leader="none" w:pos="249"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depreciation and amortization expense, (d) amortization of intangibles (including, but not limited to, goodwill) and organization costs, (e) costs and expenses in connection with any pending or threatened litigation, administrative proceeding or investigation, including any settlement costs in connection therewith, (f) expected cost savings, operating expense reductions and cost saving synergies related to Acquisitions after the Effective Date that are reasonably identifiable and factually supportable and are projected by the Borrower in good faith to result from actions that have been taken or initiated or will be taken (in the good faith determination of the Borrower and evidenced by a certificate of the chief financial officer of the Borrower) within 12 months after such Acquisition is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cost savings, operating expense reductions and cost savings synergies shall not exceed 15% of Consolidated Adjusted EBITDA (before giving effect to such adjustment) for any Measurement Period, (g) transaction costs and expenses incurred or paid in connection with Acquisitions, whether or not completed, (h) any net loss incurred in such period from foreign currency exchanges, conversions, translations and/or contracts, (i) any restructuring charges or other non-recurring or extraordinary charges or losses, in each case determined in accordance with GAAP to the extent GAAP is applicable to such determination, (j) non-cash stock option, restricted stock units and other equity-based compensation expenses, (k) payroll tax expense related to stock option and other equity-based compensation expenses, (l) any other non-cash charges, non-cash expenses or non-cash losses of the Borrower or any Restricted Subsidiaries for such period (including remeasurements of warrant liabilities and excluding any such charge, expense or loss incurred in the ordinary course of business that constitutes an accrual of, or a reserve for, cash charges for any future period), (m) costs, expenses, settlements and charges related to, arising out of or made in connection with legal proceedings, investigations and regulatory matters;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that may be added back pursuant to this clause (m) shall not exceed 7.5% of Consolidated Adjusted EBITDA (before giving effect to such adjustment) for any Measurement Period, (n) adjustments relating to purchase price allocation accounting, and (o) fees and expenses directly related to the Transactions, the incurrence of any Indebtedness permitted hereunder (including Permitted Convertible Indebtedness), any Permitted Call Spread Transaction, the offering of any Equity Interests by the Borrower, any acquisition, investment or disposition transactions and any transfer or license of any Intellectual Property or intellectual property rights by the Borrower or any of its Subsidiaries to any Subsidiary of the Borrower, in each case whether or not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increases in deferred revenue for such period shall be added back to</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380" w:name="page381"/>
    <w:bookmarkEnd w:id="38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Net Income in calculating Consolidated Adjusted EBITDA for such period, (ii) decreases in deferred revenue for such period shall be subtracted from Consolidated Net Income in calculating Consolidated Adjusted EBITDA for such period and (iii) cash payments made in such period or in any future period in respect of non-cash charges, expenses or losses (excluding any such charge, expense or loss incurred in the ordinary course of business that constitutes an accrual of, or a reserve for, cash charges for any future period) shall be subtracted from Consolidated Net Income in calculating Consolidated Adjusted EBITDA in the period when such payments are made, and minus, to the extent included in the statement of such Consolidated Net Income for such period (and without duplication), the sum of (a) interest income, (b) any extraordinary income or gains determined in accordance with GAAP, (c) any income or gain from the early extinguishment of Indebtedness, (d) any net income or gain incurred in such period from foreign currency exchanges, conversions, translations and/or contracts and (e) any other non-cash income (excluding any items that represent the reversal of any accrual of, or cash reserve for, anticipated cash charges in any prior period that are described in the parenthetical to clause (l) above or any such item that is non-cash during such period but the subject of a cash payment in a prior or future period), including for the avoidance of doubt, mark-to market gains in respect of convertible notes, all as determined on a consolidated basis. For all purposes of this Agreement, Consolidated Adjusted EBITDA (and any financial ratio that uses such term) will be determined on a pro forma basis to give effect to any Specified Transaction that has been consummated during the applicable period as if such Specified Transaction had been consummated on and as of the first day of such applicable period.</w:t>
      </w:r>
    </w:p>
    <w:p>
      <w:pPr>
        <w:spacing w:after="0" w:line="184" w:lineRule="exact"/>
        <w:rPr>
          <w:sz w:val="20"/>
          <w:szCs w:val="20"/>
          <w:color w:val="auto"/>
        </w:rPr>
      </w:pPr>
    </w:p>
    <w:p>
      <w:pPr>
        <w:ind w:right="6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means, at any date, the ratio of (a) the excess of (i) Consolidated Total Debt on such date over (ii) an amount equal to the Unrestricted cash and Cash Equivalents of the Borrower and its Restricted Subsidiaries on such date (but not including the net cash proceeds of any Indebtedness that is incurred on such date) to (b) Consolidated Adjusted EBITDA for the four fiscal quarter period ending as of the last day of the most recently ended four fiscal quarter period for which financial statements have been or are required to be delivered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1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the net income or loss of the Borrower and its consolidated Restricted Subsidiaries for such period, determined on a consolidated basis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of any Person that is not a consolidated Restricted Subsidiary except to the extent of the amount of cash dividends or similar cash distributions actually paid by such Person to the Borrower or, subject to clauses (b) and (c) below, any consolidated Restricted Subsidiary during such period, (b) the income of, and any amounts referred to in clause (a) above paid to, any consolidated Restricted Subsidiary of the Borrower to the extent that, on the date of determination, the declaration or payment of cash dividends or similar cash distributions by such Restricted Subsidiary is not permitted without any prior approval of any Governmental Authority that has not been obtained or is not permitted by the operation of the terms of the organizational documents of such Restricted Subsidiary, any agreement or other instrument binding upon such Restricted Subsidiary or any law applicable to such Restricted Subsidiary, unless such restrictions with respect to the payment of cash dividends and other similar cash distributions have been legally and effectively waived, (c) the income or loss of, and any amounts referred to in clause (a) above paid to, any consolidated Restricted Subsidiary that is not wholly owned by the Borrower to the extent such income or loss or such amounts are attributable to the noncontrolling interest in such consolidated Restricted Subsidiary, and (d) effects of adjustments related to the application of purchase accounting.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81" w:name="page382"/>
    <w:bookmarkEnd w:id="381"/>
    <w:p>
      <w:pPr>
        <w:ind w:right="8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xml:space="preserve">” means, at any date of determination, the total amount of assets of the Borrower and its Restricted Subsidiaries, as set forth on the most recent financial statements delivered pursuant to </w:t>
      </w:r>
      <w:r>
        <w:rPr>
          <w:rFonts w:ascii="Arial" w:cs="Arial" w:eastAsia="Arial" w:hAnsi="Arial"/>
          <w:sz w:val="18"/>
          <w:szCs w:val="18"/>
          <w:u w:val="single" w:color="auto"/>
          <w:color w:val="auto"/>
        </w:rPr>
        <w:t>Sections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70"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of the Borrower and its Restricted Subsidiaries, on any date, means all Indebtedness of the Borrower and its Restricted Subsidiaries on such date, as would be required to appear as a liability on a consolidated balance sheet of the Borrower and its Restricted Subsidiaries, prepared as of such date in accordance with GAAP.</w:t>
      </w:r>
    </w:p>
    <w:p>
      <w:pPr>
        <w:spacing w:after="0" w:line="184"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84" w:lineRule="exact"/>
        <w:rPr>
          <w:sz w:val="20"/>
          <w:szCs w:val="20"/>
          <w:color w:val="auto"/>
        </w:rPr>
      </w:pPr>
    </w:p>
    <w:p>
      <w:pPr>
        <w:ind w:right="4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Counterpart Agreement</w:t>
      </w:r>
      <w:r>
        <w:rPr>
          <w:rFonts w:ascii="Arial" w:cs="Arial" w:eastAsia="Arial" w:hAnsi="Arial"/>
          <w:sz w:val="16"/>
          <w:szCs w:val="16"/>
          <w:color w:val="auto"/>
        </w:rPr>
        <w:t xml:space="preserve">” means a Counterpart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delivered by a Loan Party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jc w:val="right"/>
        <w:ind w:right="5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158" w:lineRule="exact"/>
        <w:rPr>
          <w:sz w:val="20"/>
          <w:szCs w:val="20"/>
          <w:color w:val="auto"/>
        </w:rPr>
      </w:pPr>
    </w:p>
    <w:p>
      <w:pPr>
        <w:jc w:val="right"/>
        <w:ind w:right="52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440" w:top="274" w:right="619" w:bottom="1440" w:gutter="0" w:footer="0" w:header="0"/>
        </w:sectPr>
      </w:pPr>
    </w:p>
    <w:bookmarkStart w:id="382" w:name="page383"/>
    <w:bookmarkEnd w:id="382"/>
    <w:p>
      <w:pPr>
        <w:ind w:left="4" w:right="2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2.21(c)</w:t>
      </w:r>
      <w:r>
        <w:rPr>
          <w:rFonts w:ascii="Arial" w:cs="Arial" w:eastAsia="Arial" w:hAnsi="Arial"/>
          <w:sz w:val="16"/>
          <w:szCs w:val="16"/>
          <w:color w:val="auto"/>
        </w:rPr>
        <w:t>, any Lender that (a) has failed to (i) fund all or any portion of its Loans within two Business Days of the date such Loans were required to be funded hereunder, (ii) fund any portion of its participations in Letters of Credit or Swing Line Loans or (iii) pay to the Administrative Agent, any Issuing Bank or any other Lender any other amount required to be paid by it hereunder within three Business Days of the date when due, unless, in the case of clause (i) above, such Lender notifies the Administrative Agent and the Borrower in writing that such failure is the result of such Lender’s good faith determination that one or more conditions precedent to such funding or payment (each of which conditions precedent, together with any applicable Default, shall be specifically identified in such writing) has not been satisfied, (b) has notified the Borrower, any Issuing Bank, Swing Line Lender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any Issuing Bank or the Borrower, to confirm in writing to the Administrative Agent, the Issuing Banks and the Borrower that it will comply with its prospective funding obligations and participations in then outstanding Letters of Credit and Swing Line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w:t>
      </w:r>
    </w:p>
    <w:p>
      <w:pPr>
        <w:spacing w:after="0" w:line="2" w:lineRule="exact"/>
        <w:rPr>
          <w:sz w:val="20"/>
          <w:szCs w:val="20"/>
          <w:color w:val="auto"/>
        </w:rPr>
      </w:pPr>
    </w:p>
    <w:p>
      <w:pPr>
        <w:ind w:left="4" w:right="40" w:hanging="4"/>
        <w:spacing w:after="0" w:line="267" w:lineRule="auto"/>
        <w:tabs>
          <w:tab w:leader="none" w:pos="249"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upon receipt of such written confirmation by the Administrative Agent, the Issuing Banks and the Borrower),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(e) has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2.21(c)</w:t>
      </w:r>
      <w:r>
        <w:rPr>
          <w:rFonts w:ascii="Arial" w:cs="Arial" w:eastAsia="Arial" w:hAnsi="Arial"/>
          <w:sz w:val="17"/>
          <w:szCs w:val="17"/>
          <w:color w:val="auto"/>
        </w:rPr>
        <w:t>) upon delivery of written notice of such determination to the Borrower, each Issuing Bank, the Swing Line Lender and each Lender.</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383" w:name="page384"/>
    <w:bookmarkEnd w:id="383"/>
    <w:p>
      <w:pPr>
        <w:ind w:right="18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Direct Borrower Obligations</w:t>
      </w:r>
      <w:r>
        <w:rPr>
          <w:rFonts w:ascii="Arial" w:cs="Arial" w:eastAsia="Arial" w:hAnsi="Arial"/>
          <w:sz w:val="17"/>
          <w:szCs w:val="17"/>
          <w:color w:val="auto"/>
        </w:rPr>
        <w:t>” shall mean any Obligations of the Borrower in its capacity as the Borrower under this Agreement, or as a counterparty or direct obligor with respect to any Secured Swap Agreement or any Secured Cash Management Services Agreement.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Disclosed Matters</w:t>
      </w:r>
      <w:r>
        <w:rPr>
          <w:rFonts w:ascii="Arial" w:cs="Arial" w:eastAsia="Arial" w:hAnsi="Arial"/>
          <w:sz w:val="16"/>
          <w:szCs w:val="16"/>
          <w:color w:val="auto"/>
        </w:rPr>
        <w:t xml:space="preserve">” means the actions, suits and proceedings and the environmental matters disclosed in </w:t>
      </w:r>
      <w:r>
        <w:rPr>
          <w:rFonts w:ascii="Arial" w:cs="Arial" w:eastAsia="Arial" w:hAnsi="Arial"/>
          <w:sz w:val="16"/>
          <w:szCs w:val="16"/>
          <w:u w:val="single" w:color="auto"/>
          <w:color w:val="auto"/>
        </w:rPr>
        <w:t>Schedule 3.6 to the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w:t>
      </w:r>
      <w:r>
        <w:rPr>
          <w:rFonts w:ascii="Arial" w:cs="Arial" w:eastAsia="Arial" w:hAnsi="Arial"/>
          <w:sz w:val="18"/>
          <w:szCs w:val="18"/>
          <w:color w:val="auto"/>
        </w:rPr>
        <w:t>.</w:t>
      </w:r>
    </w:p>
    <w:p>
      <w:pPr>
        <w:spacing w:after="0" w:line="21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the disclosure letter, dated as of the Restatement Effective Date, as amended or supplemented from time to time by Borrower with the written consent of the Administrative Agent and, unless otherwise expressly permitted by the Loan Documents, the Required Lenders (or as supplemented by Borrower as expressly permitted pursuant to the terms of the Loan Documents), delivered by Borrower to the Administrative Agent for the benefit of the Lenders.</w:t>
      </w:r>
    </w:p>
    <w:p>
      <w:pPr>
        <w:spacing w:after="0" w:line="18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xml:space="preserve">” means any Equity Interest which, by its terms (or by the terms of any security or other Equity Interests into which it is convertible or for which it is exchangeable), or upon the happening of any event or condition (i) matures (excluding any maturity as the result of an optional redemption by the issuer thereof) or is mandatorily redeemable (other than solely for Equity Interests which are not otherwise Disqualified Equity Interests and the payment in cash in lieu of the issuance of fractional shares of such Equity Interests), pursuant to a sinking fund obligation or otherwise, (ii) is redeemable at the option of the holder thereof (other than solely for Equity Interests which are not otherwise Disqualified Equity Interests and the payment in cash in lieu of the issuance of fractional shares of such Equity Interests), in whole or in part, or (iii) is or becomes convertible into or exchangeable (unless at the sole option of the issuer thereof) for Indebtedness or any other Equity Interests that would constitute Disqualified Equity Interests, in each case, prior to the date that is 181 days after the Maturity Date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Equity Interests will not constitute Disqualified Equity Interests solely because of provisions giving holders thereof the right to require repurchase or redemption upon an “asset sale” or “change of control” occurring prior to the date that is 181 days after the latest Maturity Date then in effect if the payment upon such redemption or repurchase is contractually subordinated in right of payment to the Obligations.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has the meaning set forth in the definition of “Disqualified Lender”.</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w:t>
      </w:r>
      <w:r>
        <w:rPr>
          <w:rFonts w:ascii="Arial" w:cs="Arial" w:eastAsia="Arial" w:hAnsi="Arial"/>
          <w:sz w:val="18"/>
          <w:szCs w:val="18"/>
          <w:color w:val="auto"/>
        </w:rPr>
        <w:t>” means, collectively, (a) any Person that is a competitor or potential competitor of the Borrower and its Subsidiaries or any investor in any such competitor or potential competitor, in each case as determined in good faith by the Borrower and to the extent identified by the Borrower to the Administrative Agent and the Lenders (including after the Restatement Effective Date which may be delivered in a form of a list provided to the Administrative Agent) by name in writing from time to time (“</w:t>
      </w:r>
      <w:r>
        <w:rPr>
          <w:rFonts w:ascii="Arial" w:cs="Arial" w:eastAsia="Arial" w:hAnsi="Arial"/>
          <w:sz w:val="18"/>
          <w:szCs w:val="18"/>
          <w:u w:val="single" w:color="auto"/>
          <w:color w:val="auto"/>
        </w:rPr>
        <w:t>Competitors</w:t>
      </w:r>
      <w:r>
        <w:rPr>
          <w:rFonts w:ascii="Arial" w:cs="Arial" w:eastAsia="Arial" w:hAnsi="Arial"/>
          <w:sz w:val="18"/>
          <w:szCs w:val="18"/>
          <w:color w:val="auto"/>
        </w:rPr>
        <w:t>”), (b) those banks, financial institutions and other Persons separately identified by name by Borrower to the Administrative Agent in writing on or before February 4, 2021, (c) any Person (other than (x) any Affiliates of Lenders as of the Restatement Effective Date or (y) any Affiliate of a Lender approved by the Borrower and the Administrative Agent (such approval, in each case, not to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84" w:name="page385"/>
    <w:bookmarkEnd w:id="38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unreasonably withheld, delayed or conditioned)) with a long term unsecured credit rating of less than BBB- by S&amp;P or Fitch (or any successor thereto) or less than Baa3 by Moody’s, (d) any Person (including an Affiliate or Approved Fund of a Lender) whose primary activity is the trading or acquisition of distressed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10.12</w:t>
      </w:r>
      <w:r>
        <w:rPr>
          <w:rFonts w:ascii="Arial" w:cs="Arial" w:eastAsia="Arial" w:hAnsi="Arial"/>
          <w:sz w:val="16"/>
          <w:szCs w:val="16"/>
          <w:color w:val="auto"/>
        </w:rPr>
        <w:t>, senior employees of Lenders or their Affiliates who are required, in accordance with industry regulations or the Lenders’ internal policies and procedures to act in a supervisory capacity and the Lenders’ internal legal, compliance, risk management, credit or investment committee members shall not constitute Disqualified Lenders as a result of this clause (d) (those banks, financial institutions and other Persons under clauses (b) through (d) are collectively referred to as the “</w:t>
      </w:r>
      <w:r>
        <w:rPr>
          <w:rFonts w:ascii="Arial" w:cs="Arial" w:eastAsia="Arial" w:hAnsi="Arial"/>
          <w:sz w:val="16"/>
          <w:szCs w:val="16"/>
          <w:u w:val="single" w:color="auto"/>
          <w:color w:val="auto"/>
        </w:rPr>
        <w:t>Disqualified Institutions</w:t>
      </w:r>
      <w:r>
        <w:rPr>
          <w:rFonts w:ascii="Arial" w:cs="Arial" w:eastAsia="Arial" w:hAnsi="Arial"/>
          <w:sz w:val="16"/>
          <w:szCs w:val="16"/>
          <w:color w:val="auto"/>
        </w:rPr>
        <w:t xml:space="preserve">”) and (e) any Subsidiary of a Competitor or a Disqualified Institution, other than Bona Fide Debt Funds that would not be a Competitor or a Disqualified Institution but for this clause (e), that are (x) identified in writing (by e-mail to JPMDQ_Contact@jpmorgan.com) by the Borrower to the Administrative Agent and the Lenders (including after the Restatement Effective Date which may be delivered in a form of a list provided to the Administrative Agent) by name in writing from time to time or (y) clearly identifiable as affiliates solely on the basis of the similarity of its name (provided that neither the Administrative Agent nor any Lender shall have any obligation to carry out due diligence in order to identify such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clauses (c) and (d) shall be inapplicable during any time that an Event of Default has occurred and is continuing. The identification of any Competitor or Disqualified Institution after the Restatement Effective Date shall become effective three Business Days after delivery to the Administrative Agent and the Lenders (including by delivering a list provided to the Administrative Agent), and shall not apply retroactively to disqualify the assignment, participation or other transfer of an interest in Commitments or Loans that was effective prior to the effective date of such supplement (but such Person shall not be able to increase its Commitments or participations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such Person shall thereafter be considered a Disqualified Lender. The Disqualified Lenders shall be identified to the Lenders by the Administrative Agent (which may be in the form of notice posted to the Platform). For the avoidance of doubt, the Borrower may remove any Person from the DQ List (including by e-mail to JPMDQ_Contact@jpmorgan.com), and such Person shall no longer be considered a Disqualified Lender.</w:t>
      </w:r>
    </w:p>
    <w:p>
      <w:pPr>
        <w:spacing w:after="0" w:line="3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for any amount, on any date of determination, (a) with respect to such amount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with respect to any amount in any other currency, the equivalent in dollars of such amount,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85" w:name="page386"/>
    <w:bookmarkEnd w:id="38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determined by the Administrative Agent using any method of determination it deems appropriate in its sole discretion for such amount on such date. The Dollar Equivalent at any time of the amount of any Letter of Credit or Letter of Credit disbursement denominated in any currency other than dollars shall be the amount most recently determined as provided in Section 1.5(b).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any Domestic Subsidiary that is a Restricted Subsidiary.</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incorporated or organized under the laws of the United States, any State thereof or in the District of Columbia, other than (a) a CFC Holdco or (b) a subsidiary of a CFC Holdco or CFC.</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LIBO Rate, the occurrence of:</w:t>
      </w:r>
    </w:p>
    <w:p>
      <w:pPr>
        <w:spacing w:after="0" w:line="117" w:lineRule="exact"/>
        <w:rPr>
          <w:sz w:val="20"/>
          <w:szCs w:val="20"/>
          <w:color w:val="auto"/>
        </w:rPr>
      </w:pPr>
    </w:p>
    <w:p>
      <w:pPr>
        <w:ind w:left="1380" w:hanging="393"/>
        <w:spacing w:after="0"/>
        <w:tabs>
          <w:tab w:leader="none" w:pos="138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 notification by the Administrative Agent to (or the request by the Borrower to the Administrative Agent to notify) each of the other</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82" w:lineRule="exact"/>
        <w:rPr>
          <w:sz w:val="20"/>
          <w:szCs w:val="20"/>
          <w:color w:val="auto"/>
        </w:rPr>
      </w:pPr>
    </w:p>
    <w:p>
      <w:pPr>
        <w:ind w:right="540" w:firstLine="987"/>
        <w:spacing w:after="0" w:line="277" w:lineRule="auto"/>
        <w:tabs>
          <w:tab w:leader="none" w:pos="138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trigger a fallback from LIBO Rate and the provision by the Administrative Agent of written notice of such election to the Lenders.</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March 20, 2014.</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symbol, sound, or process attached to, or associated with, a contract or other record and adopted by a Person with the intent to sign, authenticate or accept such contract or record.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86" w:name="page387"/>
    <w:bookmarkEnd w:id="38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6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investigation, reclamation or remediation, fines, penalties or indemnities), directly or indirectly resulting from or based upon (a) compliance or noncompliance with any Environmental Law, (b) the generation, use, handling, transportation, storage, treatment or disposal of any Hazardous Materials, (c) exposure to any Hazardous Materials, (d) the presence, release or threatened release of, or exposure to, any Hazardous Materials or (e) any contract, agreement or other consensual arrangement pursuant to which liability is assumed or imposed with respect to any of the foregoing.</w:t>
      </w:r>
    </w:p>
    <w:p>
      <w:pPr>
        <w:spacing w:after="0" w:line="176"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Equity Interests shall not include (i) any debt securities (including any Permitted Convertible Indebtedness) that are convertible into or exchangeable for any combination of Equity Interests and/or cash or (ii) any Permitted Call Spread Transaction.</w:t>
      </w:r>
    </w:p>
    <w:p>
      <w:pPr>
        <w:spacing w:after="0" w:line="188"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 as amended from time to time, and the regulations promulgated and rulings issued thereunder.</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 or Title IV of ERISA or Section 412 of the Code would be deemed at any relevant time to be a single employer or otherwise aggregated with the Borrower or a Subsidiary under Section 414(b), (c), (m) or (o) of the Code or Section 4001 of ERISA.</w:t>
      </w:r>
    </w:p>
    <w:p>
      <w:pPr>
        <w:spacing w:after="0" w:line="18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any one or more of the following: (a) any reportable event, as defined in Section 4043 of ERISA, with respect to a Plan; (b) the termination of any Plan under Section 4041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any Borrower, Subsidiary or any ERISA Affiliate requests a minimum funding waiver or fails to satisfy the minimum funding standard under Section 412 of the Code or Section 302 of ERISA; (f) a determination that any Plan is, or is reasonably expected to be, considered an at-risk plan within the meaning of Section 430 of the Code or Section 303 of ERISA; (g) engaging in a non-exempt prohibited transaction within the meaning of Section 4975 of the Code or Section 406 of ERISA with respect to a Plan; (h) the complete or partial withdrawal of any Borrower, Subsidiary or any ERISA Affiliate from a Multiemployer Plan; or (i) a determination that any Multiemployer Plan is in endangered or critical status under Section 432 of the Code or Section 305 of ERISA or is, or is expected to be, “insolvent” within the meaning of Section 4245 of ERISA).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87" w:name="page388"/>
    <w:bookmarkEnd w:id="387"/>
    <w:p>
      <w:pPr>
        <w:ind w:right="6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member states of the European Union that have adopted a single currency in accordance with applicable law or treaty.</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means, on any day, for purposes of determining the Dollar Equivalent of any currency other than dollars, the rate at which such other currency may be exchanged into dollars, as set forth at approximately 11:00 a.m., New York City time on such day on the applicable Reuters World Currency Page (or, solely in the case of determining the Dollar Equivalent of any drawing honored under a Letter of Credit denominated in an Alternative Currency, as set forth on such page at such other time (if any) on the relevant Disbursement Date (not later, in any event, than 5:00 p.m., London time) notified to the Administrative Agent by the relevant Issuing Bank on such Disbursement Date as being the time it hedged its Alternative Currency exposure in respect of such drawing). In the event that such rate does not appear on the applicable Reuters World Currency Page, the Exchange Rate shall be determined by reference to such other publicly available service for displaying exchange rates as may be agreed upon by the Administrative Agent, the applicable Issuing Bank and the Borrower,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(or as notified to it by the relevant Issuing Bank as provided above) after determining that such rates shall be the basis for determining the Exchange Rate, on such date for the purchase of dollars for delivery two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Leases</w:t>
      </w:r>
      <w:r>
        <w:rPr>
          <w:rFonts w:ascii="Arial" w:cs="Arial" w:eastAsia="Arial" w:hAnsi="Arial"/>
          <w:sz w:val="18"/>
          <w:szCs w:val="18"/>
          <w:color w:val="auto"/>
        </w:rPr>
        <w:t xml:space="preserve">” means the agreements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Disclosure Letter.</w:t>
      </w:r>
    </w:p>
    <w:p>
      <w:pPr>
        <w:spacing w:after="0" w:line="225"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Guaranty by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388" w:name="page389"/>
    <w:bookmarkEnd w:id="388"/>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87" w:lineRule="exact"/>
        <w:rPr>
          <w:sz w:val="20"/>
          <w:szCs w:val="20"/>
          <w:color w:val="auto"/>
        </w:rPr>
      </w:pPr>
    </w:p>
    <w:p>
      <w:pPr>
        <w:jc w:val="both"/>
        <w:ind w:left="4" w:right="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or any other recipient of any payment to be made by or on account of any obligation of the Borrower hereunder, (a) Taxes imposed on (or measured by) its net income or gross profit,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w:t>
      </w:r>
    </w:p>
    <w:p>
      <w:pPr>
        <w:spacing w:after="0" w:line="1" w:lineRule="exact"/>
        <w:rPr>
          <w:sz w:val="20"/>
          <w:szCs w:val="20"/>
          <w:color w:val="auto"/>
        </w:rPr>
      </w:pPr>
    </w:p>
    <w:p>
      <w:pPr>
        <w:ind w:left="4" w:hanging="4"/>
        <w:spacing w:after="0" w:line="292" w:lineRule="auto"/>
        <w:tabs>
          <w:tab w:leader="none" w:pos="259" w:val="left"/>
        </w:tabs>
        <w:numPr>
          <w:ilvl w:val="0"/>
          <w:numId w:val="470"/>
        </w:numPr>
        <w:rPr>
          <w:rFonts w:ascii="Arial" w:cs="Arial" w:eastAsia="Arial" w:hAnsi="Arial"/>
          <w:sz w:val="16"/>
          <w:szCs w:val="16"/>
          <w:color w:val="auto"/>
        </w:rPr>
      </w:pPr>
      <w:r>
        <w:rPr>
          <w:rFonts w:ascii="Arial" w:cs="Arial" w:eastAsia="Arial" w:hAnsi="Arial"/>
          <w:sz w:val="16"/>
          <w:szCs w:val="16"/>
          <w:color w:val="auto"/>
        </w:rPr>
        <w:t xml:space="preserve">in the case of a Foreign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any United States withholding Tax that is imposed on amounts payable to such Foreign Lender at the time such Foreign Lender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6"/>
          <w:szCs w:val="16"/>
          <w:u w:val="single" w:color="auto"/>
          <w:color w:val="auto"/>
        </w:rPr>
        <w:t>Section 2.16(a)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(c) any U.S. withholding Taxes imposed under FATCA and (d) any Taxes attributable to such recipient’s failure to comply with </w:t>
      </w:r>
      <w:r>
        <w:rPr>
          <w:rFonts w:ascii="Arial" w:cs="Arial" w:eastAsia="Arial" w:hAnsi="Arial"/>
          <w:sz w:val="16"/>
          <w:szCs w:val="16"/>
          <w:u w:val="single" w:color="auto"/>
          <w:color w:val="auto"/>
        </w:rPr>
        <w:t>Section 2.16(e)</w:t>
      </w:r>
      <w:r>
        <w:rPr>
          <w:rFonts w:ascii="Arial" w:cs="Arial" w:eastAsia="Arial" w:hAnsi="Arial"/>
          <w:sz w:val="16"/>
          <w:szCs w:val="16"/>
          <w:color w:val="auto"/>
        </w:rPr>
        <w:t>.</w:t>
      </w:r>
    </w:p>
    <w:p>
      <w:pPr>
        <w:spacing w:after="0" w:line="162"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Revolving Credit and Guaranty Agreement dated as of March 20, 2014, as amended and restated as of May 9, 2014 and April 3, 2017, as heretofore amended and in effect, among the Borrower, the guarantors party thereto, the lenders party thereto and JPMCB, as administrative agent and collateral agent.</w:t>
      </w:r>
    </w:p>
    <w:p>
      <w:pPr>
        <w:spacing w:after="0" w:line="184" w:lineRule="exact"/>
        <w:rPr>
          <w:sz w:val="20"/>
          <w:szCs w:val="20"/>
          <w:color w:val="auto"/>
        </w:rPr>
      </w:pPr>
    </w:p>
    <w:p>
      <w:pPr>
        <w:jc w:val="both"/>
        <w:ind w:left="4" w:right="5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each letter of credit set forth on Schedule 1.3 to the Disclosure Letter that was issued prior to the Restatement Effective Date for the account of, or guaranteed by, the Borrower or any of its Restricted Subsidiaries pursuant to the Existing Credit Agreement and that is outstanding on the Restatement Effective Date.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Maturity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Restatement Effective Date (or any amended or successor version that is substantively comparable and not materially more onerous to comply with) and any current or future regulations or official interpretations thereof and any agreements entered into pursuant to Section 1471(b)(1) of the Code or any published intergovernmental agreement entered into in connection with the implementation of such Sections of the Code and any fiscal or regulatory legislation, rules or official practices adopted pursuant to any such intergovernmental agreement..</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(15 U.S.C. §§ 78dd 1, et seq.) as amended.</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89" w:name="page390"/>
    <w:bookmarkEnd w:id="389"/>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shall be set forth on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for any day shall be less than zero, such rate shall be deemed to be zero for all purposes of this Agreement.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fee letter dated February 4, 2021, between the Borrower and JPMCB.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w:t>
      </w:r>
    </w:p>
    <w:p>
      <w:pPr>
        <w:spacing w:after="0" w:line="225"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Parent</w:t>
      </w:r>
      <w:r>
        <w:rPr>
          <w:rFonts w:ascii="Arial" w:cs="Arial" w:eastAsia="Arial" w:hAnsi="Arial"/>
          <w:sz w:val="18"/>
          <w:szCs w:val="18"/>
          <w:color w:val="auto"/>
        </w:rPr>
        <w:t>” means, with respect to any Foreign Subsidiary that is not a direct wholly owned subsidiary of the Loan Parties, each Foreign Subsidiary (a) that owns, directly or indirectly, Equity Interests in such Foreign Subsidiary and (b) any of the Equity Interests in which are directly owned by one or more of the Loan Parties.</w:t>
      </w:r>
    </w:p>
    <w:p>
      <w:pPr>
        <w:spacing w:after="0" w:line="184" w:lineRule="exact"/>
        <w:rPr>
          <w:sz w:val="20"/>
          <w:szCs w:val="20"/>
          <w:color w:val="auto"/>
        </w:rPr>
      </w:pPr>
    </w:p>
    <w:p>
      <w:pPr>
        <w:ind w:right="9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Restatement Effective Date, the modification, amendment or renewal of this Agreement or otherwise) with respect to LIBO Rate.</w:t>
      </w:r>
    </w:p>
    <w:p>
      <w:pPr>
        <w:spacing w:after="0" w:line="170"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Chain Entity</w:t>
      </w:r>
      <w:r>
        <w:rPr>
          <w:rFonts w:ascii="Arial" w:cs="Arial" w:eastAsia="Arial" w:hAnsi="Arial"/>
          <w:sz w:val="18"/>
          <w:szCs w:val="18"/>
          <w:color w:val="auto"/>
        </w:rPr>
        <w:t>” means, with respect to any Foreign Subsidiary that is not a direct wholly owned subsidiary of the Loan Parties, each First Tier Parent of such Foreign Subsidiary and each subsidiary of such First Tier Parent that holds, directly or indirectly, any Equity Interests in such Foreign Subsidiary.</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other than a Domestic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Acts</w:t>
      </w:r>
      <w:r>
        <w:rPr>
          <w:rFonts w:ascii="Arial" w:cs="Arial" w:eastAsia="Arial" w:hAnsi="Arial"/>
          <w:sz w:val="18"/>
          <w:szCs w:val="18"/>
          <w:color w:val="auto"/>
        </w:rPr>
        <w:t>” means any act or omission, whether rightful or wrongful, of any present or future de jure or de facto government or Governmental Authority.</w:t>
      </w:r>
    </w:p>
    <w:p>
      <w:pPr>
        <w:spacing w:after="0" w:line="170"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90" w:name="page391"/>
    <w:bookmarkEnd w:id="39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Grantor</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GSLP</w:t>
      </w:r>
      <w:r>
        <w:rPr>
          <w:rFonts w:ascii="Arial" w:cs="Arial" w:eastAsia="Arial" w:hAnsi="Arial"/>
          <w:sz w:val="18"/>
          <w:szCs w:val="18"/>
          <w:color w:val="auto"/>
        </w:rPr>
        <w:t>” means Goldman Sachs Bank USA.</w:t>
      </w:r>
    </w:p>
    <w:p>
      <w:pPr>
        <w:spacing w:after="0" w:line="225"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each Person that shall have become a party hereto as a “Guarantor” and shall have provided a Guaranty of the Obligations by executing and delivering to the Administrative Agent a signature page hereto or a Counterpart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Foreign Subsidiary shall be a Guarantor and for purposes of Article VII, the term “Guarantors” shall also include the Borrower (except with respect to the Direct Borrower Obligations).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of each Guarantor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it in the definition of “LIBO 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91" w:name="page392"/>
    <w:bookmarkEnd w:id="39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(i) accounts payable and accrued expenses (as defined under GAAP) incurred in the ordinary course of such Person’s business, (ii) purchase price adjustments, earnouts, holdbacks and other similar deferred consideration payable in connection with Acquisitions, and (iii) for the avoidance of doubt, financing, construction or other similar liabilities arising pursuant to of EITF 97-10 (ASC 840) or any successor accounting pronouncement and not reflecting any obligation to any other Person),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Guarantees of such Person in respect of obligations of the kind referred to in clauses (a) through (f) above and (h) all obligations of the kind referred to in clauses (a) through (g)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the foregoing, the obligations of the Borrower pursuant to any Excluded Leases or any Permitted Call Spread Transaction shall not constitute Indebtedness for purposes of this Agreement.</w:t>
      </w:r>
    </w:p>
    <w:p>
      <w:pPr>
        <w:spacing w:after="0" w:line="17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any Loan Party under any Loan Document.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10.12(a)</w:t>
      </w:r>
      <w:r>
        <w:rPr>
          <w:rFonts w:ascii="Arial" w:cs="Arial" w:eastAsia="Arial" w:hAnsi="Arial"/>
          <w:sz w:val="18"/>
          <w:szCs w:val="18"/>
          <w:color w:val="auto"/>
        </w:rPr>
        <w:t>.</w:t>
      </w:r>
    </w:p>
    <w:p>
      <w:pPr>
        <w:spacing w:after="0" w:line="225"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Documents</w:t>
      </w:r>
      <w:r>
        <w:rPr>
          <w:rFonts w:ascii="Arial" w:cs="Arial" w:eastAsia="Arial" w:hAnsi="Arial"/>
          <w:sz w:val="18"/>
          <w:szCs w:val="18"/>
          <w:color w:val="auto"/>
        </w:rPr>
        <w:t>” means at any time any memorandum, lender’s presentation or other written information, in each case as then supplemented or amended and including any documents attached thereto or incorporated by reference therein, prepared by the Borrower and given to any Lender in connection with the Transactions.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has the meaning set forth in the Security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392" w:name="page393"/>
    <w:bookmarkEnd w:id="39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xml:space="preserve">” means a request by the Borrower to convert or continue a Borrowing in accordance with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237"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(other than a Swing Line Loan), the last day of each March, June, September and December and the Maturity Date,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 and (c) with respect to any Swing Line Loan, the day such Loan is required to be repaid.</w:t>
      </w:r>
    </w:p>
    <w:p>
      <w:pPr>
        <w:spacing w:after="0" w:line="176"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Eurodollar Borrowing, the period commencing on the date of such Borrowing and ending on the numerically corresponding day in the calendar month that is one, two, three or six months (or, with the consent of each Lender, twelve months or less than one month) thereafter,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and (b)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means, at any time for any Impacted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applicable LIBO Screen Rate for the longest period for which the LIBO Screen Rate is available that is shorter than the Impacted Interest Period and (b) the applicable LIBO Screen Rate for the shortest period for which that LIBO Screen Rate is available that exceeds the Impacted Interest Period, in each case, at such time.</w:t>
      </w:r>
    </w:p>
    <w:p>
      <w:pPr>
        <w:spacing w:after="0" w:line="17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any loan, advance (other than advances to employees for moving, entertainment and travel expenses, drawing accounts and similar expenditures in the ordinary course of business), extension of credit (by way of Guarantee or otherwise) or capital contributions by the Borrower or any of its Restricted Subsidiaries to any other Person (other than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Investment shall not include any Acquisitions.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93" w:name="page394"/>
    <w:bookmarkEnd w:id="393"/>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ISP 98</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acceptable to the applicable Issuing Bank and in effect at the time of issuance of such Letter of Credit).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Notice</w:t>
      </w:r>
      <w:r>
        <w:rPr>
          <w:rFonts w:ascii="Arial" w:cs="Arial" w:eastAsia="Arial" w:hAnsi="Arial"/>
          <w:sz w:val="18"/>
          <w:szCs w:val="18"/>
          <w:color w:val="auto"/>
        </w:rPr>
        <w:t xml:space="preserve">” means an Issuance Notice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means (a) each of JPMCB, BANA, GSLP and RBC and (b) each Lender that shall have become an Issuing Bank hereunder as provided in </w:t>
      </w:r>
      <w:r>
        <w:rPr>
          <w:rFonts w:ascii="Arial" w:cs="Arial" w:eastAsia="Arial" w:hAnsi="Arial"/>
          <w:sz w:val="17"/>
          <w:szCs w:val="17"/>
          <w:u w:val="single" w:color="auto"/>
          <w:color w:val="auto"/>
        </w:rPr>
        <w:t>Section 2.4(i)</w:t>
      </w:r>
      <w:r>
        <w:rPr>
          <w:rFonts w:ascii="Arial" w:cs="Arial" w:eastAsia="Arial" w:hAnsi="Arial"/>
          <w:sz w:val="17"/>
          <w:szCs w:val="17"/>
          <w:color w:val="auto"/>
        </w:rPr>
        <w:t xml:space="preserve"> (other than any Person that shall have ceased to be an Issuing Bank as provided in </w:t>
      </w:r>
      <w:r>
        <w:rPr>
          <w:rFonts w:ascii="Arial" w:cs="Arial" w:eastAsia="Arial" w:hAnsi="Arial"/>
          <w:sz w:val="17"/>
          <w:szCs w:val="17"/>
          <w:u w:val="single" w:color="auto"/>
          <w:color w:val="auto"/>
        </w:rPr>
        <w:t>Section 2.4(h)</w:t>
      </w:r>
      <w:r>
        <w:rPr>
          <w:rFonts w:ascii="Arial" w:cs="Arial" w:eastAsia="Arial" w:hAnsi="Arial"/>
          <w:sz w:val="17"/>
          <w:szCs w:val="17"/>
          <w:color w:val="auto"/>
        </w:rPr>
        <w:t xml:space="preserve">), each in its capacity as an issuer of Letters of Credit hereunder and together with its permitted successors and assigns in such capacity.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(i) such Issuing Bank shall, or shall cause such Affiliate to, comply with the requirements of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with respect to such Letters of Credit and (ii) for the avoidance of doubt, Existing Letters of Credit may be, or have been, issued by an Affiliate of an Issuing Bank, in which case the term “Issuing Bank” shall include any such Affiliate with respect to such Existing Letters of Credit issued by such Affiliate).</w:t>
      </w:r>
    </w:p>
    <w:p>
      <w:pPr>
        <w:spacing w:after="0" w:line="178"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 Sublimit</w:t>
      </w:r>
      <w:r>
        <w:rPr>
          <w:rFonts w:ascii="Arial" w:cs="Arial" w:eastAsia="Arial" w:hAnsi="Arial"/>
          <w:sz w:val="18"/>
          <w:szCs w:val="18"/>
          <w:color w:val="auto"/>
        </w:rPr>
        <w:t>” means, at any time, (a) with respect to JPMCB in its capacity as Issuing Bank, $25,000,000, (b) with respect to BANA in its capacity as Issuing Bank, $13,333,333.33, (c) with respect to GSLP in its capacity as Issuing Bank, $13,333,333.34, (d) with respect to RBC in its capacity as Issuing Bank, $13,333,333.33 and (e) with respect to any Lender that shall have become an Issuing Bank hereunder as provided in Section 2.4(i), such amount as set forth in the agreement referred to in Section 2.4(i) evidencing the appointment of such Lender (or its designated Affiliate) as an Issuing Bank.</w:t>
      </w:r>
    </w:p>
    <w:p>
      <w:pPr>
        <w:spacing w:after="0" w:line="18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w:t>
      </w:r>
      <w:r>
        <w:rPr>
          <w:rFonts w:ascii="Arial" w:cs="Arial" w:eastAsia="Arial" w:hAnsi="Arial"/>
          <w:sz w:val="18"/>
          <w:szCs w:val="18"/>
          <w:color w:val="auto"/>
        </w:rPr>
        <w:t>” means JPMCB, BofA Securities, Inc., GSLP and RBC Capital Markets, in their capacity as joint bookrunners, and any successor thereto.</w:t>
      </w:r>
    </w:p>
    <w:p>
      <w:pPr>
        <w:spacing w:after="0" w:line="170"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means a joint venture, partnership or other similar arrangement, whether in corporate, partnership or other legal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corporate subsidiary of any Person be considered to be a Joint Venture to which such Person is a party.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set forth in Section 10.19(b).</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means each Lender, each Agent and each of their respective Affiliates that is counterparty to a Swap Agreement or provider of Cash Management Services pursuant to a Cash Management Services Agreement, as applicable, including any Person who is an Agent or a Lender (and any Affiliate thereof) at the time of entry into such Swap Agreement or Cash Management Services Agreement, as applicable, but subsequently ceases to be an Agent or a Lender (or an Affiliate thereof),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94" w:name="page395"/>
    <w:bookmarkEnd w:id="394"/>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and any other Person that shall have become a party hereto pursuant to an Assignment and Assumption or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other than any such Person that ceases to be a party hereto pursuant to an Assignment and Assumption. Unless the context otherwise requires, the term “Lenders” includes the Swing Line Lender.</w:t>
      </w:r>
    </w:p>
    <w:p>
      <w:pPr>
        <w:spacing w:after="0" w:line="184"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standby letter of credit issued or to be issued by an Issuing Bank pursuant to this Agreement in a form and substance approved by such Issuing Bank.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Sublimit</w:t>
      </w:r>
      <w:r>
        <w:rPr>
          <w:rFonts w:ascii="Arial" w:cs="Arial" w:eastAsia="Arial" w:hAnsi="Arial"/>
          <w:sz w:val="16"/>
          <w:szCs w:val="16"/>
          <w:color w:val="auto"/>
        </w:rPr>
        <w:t>” means the lesser of (a) $65,000,000 and (b) the aggregate unused amount of the Commitments then in effect.</w:t>
      </w:r>
    </w:p>
    <w:p>
      <w:pPr>
        <w:spacing w:after="0" w:line="248"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Usage</w:t>
      </w:r>
      <w:r>
        <w:rPr>
          <w:rFonts w:ascii="Arial" w:cs="Arial" w:eastAsia="Arial" w:hAnsi="Arial"/>
          <w:sz w:val="17"/>
          <w:szCs w:val="17"/>
          <w:color w:val="auto"/>
        </w:rPr>
        <w:t xml:space="preserve">” means, as at any date of determination, the sum of (a) the sum of the Dollar Equivalents (based on the applicable Exchange Rates) of the aggregate maximum amounts which are, or at any time thereafter may become, available for drawing under all Letters of Credit then outstanding and (b) the sum of the Dollar Equivalents (based on the applicable Exchange Rates) of the aggregate amounts of all drawings under Letters of Credit honored by the Issuing Banks and not theretofore reimbursed by or on behalf of the Borrower. The Letter of Credit Usage of any Lender at any time shall be its Applicable Percentage of the total Letter of Credit Usage at such time, adjusted to give effect to any reallocation under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of the Letter of Credit Usage of Defaulting Lenders in effect at such time.</w:t>
      </w:r>
    </w:p>
    <w:p>
      <w:pPr>
        <w:spacing w:after="0" w:line="17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xml:space="preserve">” means, with respect to any Eurodollar Borrowing for any Interest Period, the LIBO Screen Rate at approximately 11:00 a.m., London time, two Business Days prior to the commencement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 Screen Rate shall not be available at such time for such Interest Period (an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xml:space="preserve">”) then the LIBO Rate shall be the Interpolated Rate;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LIBO Rate shall be less than zero, such rate shall be deemed to be zero for all purposes of this Agreement.</w:t>
      </w:r>
    </w:p>
    <w:p>
      <w:pPr>
        <w:spacing w:after="0" w:line="17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means, for any day and time, with respect to any Eurodollar Borrowing for any Interest Period, the London interbank offered rate as administered by the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as so determined would be less than zero, the LIBO Screen Rate shall for all purposes of this Agreement be zero.</w:t>
      </w:r>
    </w:p>
    <w:p>
      <w:pPr>
        <w:spacing w:after="0" w:line="195"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95" w:name="page396"/>
    <w:bookmarkEnd w:id="395"/>
    <w:p>
      <w:pPr>
        <w:ind w:left="4"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Limited Information</w:t>
      </w:r>
      <w:r>
        <w:rPr>
          <w:rFonts w:ascii="Arial" w:cs="Arial" w:eastAsia="Arial" w:hAnsi="Arial"/>
          <w:sz w:val="16"/>
          <w:szCs w:val="16"/>
          <w:color w:val="auto"/>
        </w:rPr>
        <w:t xml:space="preserve">” means (a) information regarding the terms of, and the Borrower’s compliance with, this Agreement and the other Loan Documents, (b) information concerning the financial position, results of operations and cash flows of the Borrower and its Subsidiaries, including the Information Documents and the financial statements provided by the Borrower pursuant to </w:t>
      </w:r>
      <w:r>
        <w:rPr>
          <w:rFonts w:ascii="Arial" w:cs="Arial" w:eastAsia="Arial" w:hAnsi="Arial"/>
          <w:sz w:val="16"/>
          <w:szCs w:val="16"/>
          <w:u w:val="single" w:color="auto"/>
          <w:color w:val="auto"/>
        </w:rPr>
        <w:t>Sections 3.4(a)</w:t>
      </w:r>
      <w:r>
        <w:rPr>
          <w:rFonts w:ascii="Arial" w:cs="Arial" w:eastAsia="Arial" w:hAnsi="Arial"/>
          <w:sz w:val="16"/>
          <w:szCs w:val="16"/>
          <w:color w:val="auto"/>
        </w:rPr>
        <w:t xml:space="preserve">, </w:t>
      </w:r>
      <w:r>
        <w:rPr>
          <w:rFonts w:ascii="Arial" w:cs="Arial" w:eastAsia="Arial" w:hAnsi="Arial"/>
          <w:sz w:val="16"/>
          <w:szCs w:val="16"/>
          <w:u w:val="single" w:color="auto"/>
          <w:color w:val="auto"/>
        </w:rPr>
        <w:t>5.1(a)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any information concerning contingent liabilities, commitments and other exposures that would be material to determinations concerning the creditworthiness of the Borrower and its Restricted Subsidiaries, (c) any notice, certificate or other document delivered by the Borrower pursuant to the terms of this Agreement or any other Loan Document, (d) information regarding the Consolidated Leverage Ratio or the corporate debt rating (if any) of the Borrower and</w:t>
      </w:r>
    </w:p>
    <w:p>
      <w:pPr>
        <w:spacing w:after="0" w:line="4" w:lineRule="exact"/>
        <w:rPr>
          <w:sz w:val="20"/>
          <w:szCs w:val="20"/>
          <w:color w:val="auto"/>
        </w:rPr>
      </w:pPr>
    </w:p>
    <w:p>
      <w:pPr>
        <w:ind w:left="4" w:hanging="4"/>
        <w:spacing w:after="0" w:line="255" w:lineRule="auto"/>
        <w:tabs>
          <w:tab w:leader="none" w:pos="249"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information regarding the credit support for the credit facility established hereunder, including the Collateral and Guarantors (it being understood that the term “Limited Information” does not include product designs, software and technology, inventions, trade secrets, know-how or other proprietary information of a like nature).</w:t>
      </w:r>
    </w:p>
    <w:p>
      <w:pPr>
        <w:spacing w:after="0" w:line="190"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at any time, the sum of (a) Unrestricted cash and Cash Equivalents held by the Borrower and its Restricted Subsidiaries </w:t>
      </w:r>
      <w:r>
        <w:rPr>
          <w:rFonts w:ascii="Arial" w:cs="Arial" w:eastAsia="Arial" w:hAnsi="Arial"/>
          <w:sz w:val="18"/>
          <w:szCs w:val="18"/>
          <w:i w:val="1"/>
          <w:iCs w:val="1"/>
          <w:color w:val="auto"/>
        </w:rPr>
        <w:t xml:space="preserve">plus </w:t>
      </w:r>
      <w:r>
        <w:rPr>
          <w:rFonts w:ascii="Arial" w:cs="Arial" w:eastAsia="Arial" w:hAnsi="Arial"/>
          <w:sz w:val="18"/>
          <w:szCs w:val="18"/>
          <w:color w:val="auto"/>
        </w:rPr>
        <w:t>(b) so long as the conditions to borrowing set forth in clauses (b) and (c)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i w:val="1"/>
          <w:iCs w:val="1"/>
          <w:color w:val="auto"/>
        </w:rPr>
        <w:t xml:space="preserve"> </w:t>
      </w:r>
      <w:r>
        <w:rPr>
          <w:rFonts w:ascii="Arial" w:cs="Arial" w:eastAsia="Arial" w:hAnsi="Arial"/>
          <w:sz w:val="18"/>
          <w:szCs w:val="18"/>
          <w:color w:val="auto"/>
        </w:rPr>
        <w:t>are satisfied at such time, the Available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w:t>
      </w:r>
    </w:p>
    <w:p>
      <w:pPr>
        <w:spacing w:after="0" w:line="184" w:lineRule="exact"/>
        <w:rPr>
          <w:sz w:val="20"/>
          <w:szCs w:val="20"/>
          <w:color w:val="auto"/>
        </w:rPr>
      </w:pPr>
    </w:p>
    <w:p>
      <w:pPr>
        <w:ind w:left="4" w:right="3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(including any amendment hereto or waiver hereunder), the Amendment and Restatement Agreement, the Notes (if any), any Counterpart Agreement, the Collateral Documents, the Disclosure Letter and any agreements, documents or certificates executed by the Borrower in favor of any Issuing Bank relating to Letters of Credit and any other agreement entered into in connection herewith by the Borrower or any Loan Party with or in favor of the Administrative Agent, the Collateral Agent or the Lenders and designated by the terms thereof as a “Loan Document”.</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other Guarantors.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 of the Board as in effect from time to time.</w:t>
      </w:r>
    </w:p>
    <w:p>
      <w:pPr>
        <w:spacing w:after="0" w:line="225" w:lineRule="exact"/>
        <w:rPr>
          <w:sz w:val="20"/>
          <w:szCs w:val="20"/>
          <w:color w:val="auto"/>
        </w:rPr>
      </w:pPr>
    </w:p>
    <w:p>
      <w:pPr>
        <w:jc w:val="both"/>
        <w:ind w:left="4" w:right="1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property, financial condition or results of operations of the Borrower and its Restricted Subsidiaries taken as a whole or (b) the rights and remedies of the Lenders, the Issuing Banks or the Administrative Agent under this Agreement or of any Agent, any Issuing Bank, any Lender or any other Secured Party under the Loan Documents.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96" w:name="page397"/>
    <w:bookmarkEnd w:id="396"/>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Material Domestic Subsidiary</w:t>
      </w:r>
      <w:r>
        <w:rPr>
          <w:rFonts w:ascii="Arial" w:cs="Arial" w:eastAsia="Arial" w:hAnsi="Arial"/>
          <w:sz w:val="16"/>
          <w:szCs w:val="16"/>
          <w:color w:val="auto"/>
        </w:rPr>
        <w:t>” means, at any time of determination, (a) each Domestic Subsidiary that is a Material IP Subsidiary and</w:t>
      </w:r>
    </w:p>
    <w:p>
      <w:pPr>
        <w:spacing w:after="0" w:line="46" w:lineRule="exact"/>
        <w:rPr>
          <w:sz w:val="20"/>
          <w:szCs w:val="20"/>
          <w:color w:val="auto"/>
        </w:rPr>
      </w:pPr>
    </w:p>
    <w:p>
      <w:pPr>
        <w:ind w:left="4" w:hanging="4"/>
        <w:spacing w:after="0" w:line="267" w:lineRule="auto"/>
        <w:tabs>
          <w:tab w:leader="none" w:pos="259" w:val="left"/>
        </w:tabs>
        <w:numPr>
          <w:ilvl w:val="0"/>
          <w:numId w:val="472"/>
        </w:numPr>
        <w:rPr>
          <w:rFonts w:ascii="Arial" w:cs="Arial" w:eastAsia="Arial" w:hAnsi="Arial"/>
          <w:sz w:val="17"/>
          <w:szCs w:val="17"/>
          <w:color w:val="auto"/>
        </w:rPr>
      </w:pPr>
      <w:r>
        <w:rPr>
          <w:rFonts w:ascii="Arial" w:cs="Arial" w:eastAsia="Arial" w:hAnsi="Arial"/>
          <w:sz w:val="17"/>
          <w:szCs w:val="17"/>
          <w:color w:val="auto"/>
        </w:rPr>
        <w:t xml:space="preserve">each Domestic Restricted Subsidiary (i) whose consolidated total assets as of the last day of the most recent fiscal quarter in respect of which financial statements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were equal to or greater than 5% of the consolidated total assets of the Borrower and its Restricted Subsidiaries at such date or (ii) whose consolidated gross revenues for the most recent period of four fiscal quarters in respect of which financial statements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were equal to or greater than 5% of the consolidated gross revenues of the Borrower and its Restricted Subsidiaries for such period, in each case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as of the most recent date or period referred to in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the combined consolidated total assets or the combined consolidated gross revenues of all Domestic Restricted Subsidiaries that would not constitute Material Domestic Subsidiaries in accordance with this clause (b) or clause (a) above shall have exceeded 20% of the consolidated total assets of the Borrower and its Restricted Subsidiaries at such date or 20% of consolidated gross revenues of the Borrower and its Restricted Subsidiaries for such period, then one or more of such Domestic Restricted Subsidiaries that would not otherwise be Material Domestic Subsidiaries shall for all purposes of this Agreement be and automatically become Material Domestic Subsidiaries in descending order based on the amounts of their consolidated total assets or consolidated gross revenues, as the case may be, until such excess shall have been eliminated.</w:t>
      </w:r>
    </w:p>
    <w:p>
      <w:pPr>
        <w:spacing w:after="0" w:line="184" w:lineRule="exact"/>
        <w:rPr>
          <w:sz w:val="20"/>
          <w:szCs w:val="20"/>
          <w:color w:val="auto"/>
        </w:rPr>
      </w:pPr>
    </w:p>
    <w:p>
      <w:pPr>
        <w:ind w:left="4" w:right="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any Indebtedness under the Loan Documents), or obligations in respect of one or more Swap Agreements, of any one or more of the Borrower and its Restricted Subsidiaries in a principal amount exceeding $25,000,000. For purposes of determining Material Indebtedness, the “principal amount” of the obligations of the Borrower or any Restricted Subsidiary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76" w:lineRule="exact"/>
        <w:rPr>
          <w:sz w:val="20"/>
          <w:szCs w:val="20"/>
          <w:color w:val="auto"/>
        </w:rPr>
      </w:pPr>
    </w:p>
    <w:p>
      <w:pPr>
        <w:ind w:left="4" w:right="8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IP</w:t>
      </w:r>
      <w:r>
        <w:rPr>
          <w:rFonts w:ascii="Arial" w:cs="Arial" w:eastAsia="Arial" w:hAnsi="Arial"/>
          <w:sz w:val="18"/>
          <w:szCs w:val="18"/>
          <w:color w:val="auto"/>
        </w:rPr>
        <w:t>” means any Intellectual Property that is material to the conduct of the business of the Borrower and its Restricted Subsidiaries, taken as a whole.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IP Subsidiary</w:t>
      </w:r>
      <w:r>
        <w:rPr>
          <w:rFonts w:ascii="Arial" w:cs="Arial" w:eastAsia="Arial" w:hAnsi="Arial"/>
          <w:sz w:val="16"/>
          <w:szCs w:val="16"/>
          <w:color w:val="auto"/>
        </w:rPr>
        <w:t>” means each Subsidiary that owns, directly or indirectly through one or more of its subsidiaries, any Material IP.</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Real Estate Asset</w:t>
      </w:r>
      <w:r>
        <w:rPr>
          <w:rFonts w:ascii="Arial" w:cs="Arial" w:eastAsia="Arial" w:hAnsi="Arial"/>
          <w:sz w:val="17"/>
          <w:szCs w:val="17"/>
          <w:color w:val="auto"/>
        </w:rPr>
        <w:t>” means any domestic fee owned Real Estate Asset having a fair market value in excess of $5,000,000.</w:t>
      </w:r>
    </w:p>
    <w:p>
      <w:pPr>
        <w:spacing w:after="0" w:line="237" w:lineRule="exact"/>
        <w:rPr>
          <w:sz w:val="20"/>
          <w:szCs w:val="20"/>
          <w:color w:val="auto"/>
        </w:rPr>
      </w:pPr>
    </w:p>
    <w:p>
      <w:pPr>
        <w:ind w:left="4" w:right="5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xml:space="preserve">” means (a) February 23, 2026 or (b) with respect to the Commitments of Consenting Lenders, as such date may be extended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date is not a Business Day, the Maturity Date shall be the preceding Business Day.</w:t>
      </w:r>
    </w:p>
    <w:p>
      <w:pPr>
        <w:spacing w:after="0" w:line="124" w:lineRule="exact"/>
        <w:rPr>
          <w:sz w:val="20"/>
          <w:szCs w:val="20"/>
          <w:color w:val="auto"/>
        </w:rPr>
      </w:pPr>
    </w:p>
    <w:p>
      <w:pPr>
        <w:ind w:left="4"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 Extension Request</w:t>
      </w:r>
      <w:r>
        <w:rPr>
          <w:rFonts w:ascii="Arial" w:cs="Arial" w:eastAsia="Arial" w:hAnsi="Arial"/>
          <w:sz w:val="18"/>
          <w:szCs w:val="18"/>
          <w:color w:val="auto"/>
        </w:rPr>
        <w:t xml:space="preserve">” means a request by the Borrower,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or such other form as shall be approved by the Administrative Agent, for the extension of the Maturity Date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70"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consecutive fiscal quarters of the Borrower ended on or prior to such date.</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4" w:right="499" w:bottom="1440" w:gutter="0" w:footer="0" w:header="0"/>
        </w:sectPr>
      </w:pPr>
    </w:p>
    <w:bookmarkStart w:id="397" w:name="page398"/>
    <w:bookmarkEnd w:id="39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multiemployer plan as defined in Section 4001(a)(3) of ERISA, which is contributed to by (or to which there is or could be an obligation to contribute of) the Borrower or a Subsidiary or an ERISA Affiliate, and each such plan for the five- year period immediately following the latest date on which the Borrower, or a Subsidiary or an ERISA Affiliate contributed to or had an obligation to contribute to such plan.</w:t>
      </w:r>
    </w:p>
    <w:p>
      <w:pPr>
        <w:spacing w:after="0" w:line="187"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(b) has been approved by the Required Lenders.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Plan</w:t>
      </w:r>
      <w:r>
        <w:rPr>
          <w:rFonts w:ascii="Arial" w:cs="Arial" w:eastAsia="Arial" w:hAnsi="Arial"/>
          <w:sz w:val="18"/>
          <w:szCs w:val="18"/>
          <w:color w:val="auto"/>
        </w:rPr>
        <w:t>” means any plan, fund (including any superannuation fund) or other similar program established, contributed to (regardless of whether through direct contributions or through employee withholding) or maintained outside the United States by the Borrower or one or more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Loan Note or a Swing Line Note.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shall be less than zero, such rate shall be deemed to be zero for purposes of this Agreement.</w:t>
      </w:r>
    </w:p>
    <w:p>
      <w:pPr>
        <w:spacing w:after="0" w:line="161"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amounts owing by any Loan Party to any Agent, any Issuing Bank, any Lender or any Lender Counterparty pursuant to the terms of this Agreement, any Secured Swap Agreement (including payments for early termination of any Secured Swap Agreements), any Secured Cash Management Services Agreement (but in the case of Business Credit Card Obligations, not to exceed $10,000,000 in the aggregate at any time outstanding) or any other Loan Document (including reimbursement of amounts drawn under Letters of Credit and all interest which accrues after the commencement of any bankruptcy or insolvency proceeding, whether or not allowed or allowable).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98" w:name="page399"/>
    <w:bookmarkEnd w:id="39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United States Treasury Department Office of Foreign Assets Control.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means this Agreement, as in effect immediately prior to the Restatement Effective Date.</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Taxes (other than connections arising solely from such Recipient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this Agreement or any other Loan Document).</w:t>
      </w:r>
    </w:p>
    <w:p>
      <w:pPr>
        <w:spacing w:after="0" w:line="157"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stamp, court or documentary Taxes or any other excise, property,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Borrower’s request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188"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10.4(c)(iii)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“employee pension benefit plan” within the meaning of Section 3(2) of ERISA, other than a Multiemployer Plan, that is subject to Title IV of ERISA, Section 412 of the Code or Section 302 of ERISA and is maintained or contributed to (or obligated to be contributed) in whole or in part by the Borrower, any Subsidiary or any ERISA Affiliate or with respect to which any of the Borrower, any Subsidiary or any ERISA Affiliate has actual or contingent liability or had any such liability for the five-year period immediately following the latest date on which the Borrower, a Subsidiary or an ERISA Affiliate maintained, contributed to or had an obligation to contribute to such plan.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399" w:name="page400"/>
    <w:bookmarkEnd w:id="399"/>
    <w:p>
      <w:pPr>
        <w:ind w:right="2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certificate in form reasonably satisfactory to Collateral Agent that provides information with respect to the Collateral of each Loan Party.</w:t>
      </w:r>
    </w:p>
    <w:p>
      <w:pPr>
        <w:spacing w:after="0" w:line="170"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Call Spread Transaction</w:t>
      </w:r>
      <w:r>
        <w:rPr>
          <w:rFonts w:ascii="Arial" w:cs="Arial" w:eastAsia="Arial" w:hAnsi="Arial"/>
          <w:sz w:val="17"/>
          <w:szCs w:val="17"/>
          <w:color w:val="auto"/>
        </w:rPr>
        <w:t xml:space="preserve">” means (a) any call or capped call option (or substantively equivalent derivative transaction) relating to the Common Stock (or other securities or property following a merger event, reclassification or other change of the Common Stock) purchased by the Borrower in connection with the issuance of any Permitted Convertible Indebtedness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and (b) any call option, warrant or right to purchase (or substantively equivalent derivative transaction) relating to the Common Stock (or other securities or property following a merger event, reclassification or other change of the Common Stock) sold by the Borrower substantially concurrently with any purchase by the Borrower of a Permitted Call Spread Transaction described in clause (a)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conditions and covenants of each such transaction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be such as are customary for transactions of such type (as determined by the Board of Directors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purchase price for any such Permitted Call Spread Transaction described in clause (a), less the proceeds received by the Borrower from the sale of any related Permitted Call Spread Transaction described in clause (b), shall not exceed the net proceeds received by the Borrower from the sale of Permitted Convertible Indebtedness issued in connection with such Permitted Call Spread Transaction.</w:t>
      </w:r>
    </w:p>
    <w:p>
      <w:pPr>
        <w:spacing w:after="0" w:line="18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unsecured Indebtedness of the Borrower permitted under Section 6.1(c) in the form of notes that are convertible into shares of Common Stock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right="680" w:firstLine="987"/>
        <w:spacing w:after="0" w:line="277" w:lineRule="auto"/>
        <w:tabs>
          <w:tab w:leader="none" w:pos="1371"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Liens imposed by law for taxes, assessments or governmental charges or levies that are not yet due or are being contested in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987"/>
        <w:spacing w:after="0" w:line="263" w:lineRule="auto"/>
        <w:tabs>
          <w:tab w:leader="none" w:pos="1381"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carriers’, warehousemen’s, mechanics’, materialmen’s, landlord’s, supplier’s, repairmen’s and other like Liens imposed by law, arising in the ordinary course of business and securing obligations that are not overdue by more than 60 days or are being contested in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00" w:name="page401"/>
    <w:bookmarkEnd w:id="400"/>
    <w:p>
      <w:pPr>
        <w:ind w:left="4" w:right="160" w:firstLine="987"/>
        <w:spacing w:after="0" w:line="308" w:lineRule="auto"/>
        <w:tabs>
          <w:tab w:leader="none" w:pos="1375" w:val="left"/>
        </w:tabs>
        <w:numPr>
          <w:ilvl w:val="0"/>
          <w:numId w:val="4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pledges and deposits made in the ordinary course of business in compliance with workers’ compensation, unemployment insurance and other social security laws or regulations or employment laws or to secure other public, statutory or regulatory obligations;</w:t>
      </w:r>
    </w:p>
    <w:p>
      <w:pPr>
        <w:spacing w:after="0" w:line="146" w:lineRule="exact"/>
        <w:rPr>
          <w:rFonts w:ascii="Arial" w:cs="Arial" w:eastAsia="Arial" w:hAnsi="Arial"/>
          <w:sz w:val="17"/>
          <w:szCs w:val="17"/>
          <w:color w:val="auto"/>
        </w:rPr>
      </w:pPr>
    </w:p>
    <w:p>
      <w:pPr>
        <w:ind w:left="4" w:right="20" w:firstLine="987"/>
        <w:spacing w:after="0" w:line="263" w:lineRule="auto"/>
        <w:tabs>
          <w:tab w:leader="none" w:pos="138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pledges and deposits to secure the performance of bids, trade and commercial contracts (other than for the payment of Indebtedness), leases, statutory obligations, surety and appeal bonds, performance bonds and other obligations of a like nature, in each case incurred in the ordinary course of business;</w:t>
      </w:r>
    </w:p>
    <w:p>
      <w:pPr>
        <w:spacing w:after="0" w:line="183" w:lineRule="exact"/>
        <w:rPr>
          <w:rFonts w:ascii="Arial" w:cs="Arial" w:eastAsia="Arial" w:hAnsi="Arial"/>
          <w:sz w:val="18"/>
          <w:szCs w:val="18"/>
          <w:color w:val="auto"/>
        </w:rPr>
      </w:pPr>
    </w:p>
    <w:p>
      <w:pPr>
        <w:ind w:left="4" w:right="20" w:firstLine="987"/>
        <w:spacing w:after="0" w:line="277" w:lineRule="auto"/>
        <w:tabs>
          <w:tab w:leader="none" w:pos="137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judgment liens and deposits to secure obligations under appeal bonds or letters of credit in respect of judgments that do not constitute an Event of Default under clause (k)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180" w:firstLine="987"/>
        <w:spacing w:after="0" w:line="277" w:lineRule="auto"/>
        <w:tabs>
          <w:tab w:leader="none" w:pos="13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Uniform Commercial Code financing statements filed (or similar filings under applicable law) solely as a precautionary measure in connection with operating leases; and</w:t>
      </w:r>
    </w:p>
    <w:p>
      <w:pPr>
        <w:spacing w:after="0" w:line="170" w:lineRule="exact"/>
        <w:rPr>
          <w:rFonts w:ascii="Arial" w:cs="Arial" w:eastAsia="Arial" w:hAnsi="Arial"/>
          <w:sz w:val="18"/>
          <w:szCs w:val="18"/>
          <w:color w:val="auto"/>
        </w:rPr>
      </w:pPr>
    </w:p>
    <w:p>
      <w:pPr>
        <w:ind w:left="4" w:firstLine="987"/>
        <w:spacing w:after="0" w:line="263" w:lineRule="auto"/>
        <w:tabs>
          <w:tab w:leader="none" w:pos="138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easements, zoning restrictions, rights-of-way, encroachments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84" w:lineRule="exact"/>
        <w:rPr>
          <w:sz w:val="20"/>
          <w:szCs w:val="20"/>
          <w:color w:val="auto"/>
        </w:rPr>
      </w:pPr>
    </w:p>
    <w:p>
      <w:pPr>
        <w:ind w:left="4"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means (a) any Person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to the Disclosure Letter, (b) any Affiliate of any such Person, (c) any trust or partnership created solely for the benefit of any natural person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to the Disclosure Letter and/or members of the family of any natural person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to the Disclosure Letter and (d) any Person where the voting of shares of capital stock of the Borrower is Controlled by any of the foregoing.</w:t>
      </w:r>
    </w:p>
    <w:p>
      <w:pPr>
        <w:spacing w:after="0" w:line="187" w:lineRule="exact"/>
        <w:rPr>
          <w:sz w:val="20"/>
          <w:szCs w:val="20"/>
          <w:color w:val="auto"/>
        </w:rPr>
      </w:pPr>
    </w:p>
    <w:p>
      <w:pPr>
        <w:ind w:left="4" w:right="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IP Transfer</w:t>
      </w:r>
      <w:r>
        <w:rPr>
          <w:rFonts w:ascii="Arial" w:cs="Arial" w:eastAsia="Arial" w:hAnsi="Arial"/>
          <w:sz w:val="16"/>
          <w:szCs w:val="16"/>
          <w:color w:val="auto"/>
        </w:rPr>
        <w:t xml:space="preserve">” means the sale, transfer or other disposition of Intellectual Property by a Loan Party or a Domestic Restricted Subsidiary to a Foreign Subsidiary that is wholly owned by the Borrower, either directly or indirectly through one or more of the Borrower’s wholly owned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Default or Event of Default exists at the time of or would result from such disposition, (b) the Borrower’s Consolidated Leverage Ratio does not exceed 3.50 to 1.00 (to be calculated after giving pro forma effect to such disposition, as of the last day of the most recently ended four fiscal quarter period for which financial statements have been or are required to be delivered pursuant to Section 5.1(a) or (b)),</w:t>
      </w:r>
    </w:p>
    <w:p>
      <w:pPr>
        <w:spacing w:after="0" w:line="2" w:lineRule="exact"/>
        <w:rPr>
          <w:sz w:val="20"/>
          <w:szCs w:val="20"/>
          <w:color w:val="auto"/>
        </w:rPr>
      </w:pPr>
    </w:p>
    <w:p>
      <w:pPr>
        <w:ind w:left="244" w:hanging="244"/>
        <w:spacing w:after="0"/>
        <w:tabs>
          <w:tab w:leader="none" w:pos="244" w:val="left"/>
        </w:tabs>
        <w:numPr>
          <w:ilvl w:val="0"/>
          <w:numId w:val="475"/>
        </w:numPr>
        <w:rPr>
          <w:rFonts w:ascii="Arial" w:cs="Arial" w:eastAsia="Arial" w:hAnsi="Arial"/>
          <w:sz w:val="17"/>
          <w:szCs w:val="17"/>
          <w:color w:val="auto"/>
        </w:rPr>
      </w:pPr>
      <w:r>
        <w:rPr>
          <w:rFonts w:ascii="Arial" w:cs="Arial" w:eastAsia="Arial" w:hAnsi="Arial"/>
          <w:sz w:val="17"/>
          <w:szCs w:val="17"/>
          <w:color w:val="auto"/>
        </w:rPr>
        <w:t>such disposition is for fair market value and on an arm’s length basis (as determined in good faith by a resolution of the Board of Directors,</w:t>
      </w:r>
    </w:p>
    <w:p>
      <w:pPr>
        <w:spacing w:after="0" w:line="20" w:lineRule="exact"/>
        <w:rPr>
          <w:rFonts w:ascii="Arial" w:cs="Arial" w:eastAsia="Arial" w:hAnsi="Arial"/>
          <w:sz w:val="17"/>
          <w:szCs w:val="17"/>
          <w:color w:val="auto"/>
        </w:rPr>
      </w:pPr>
    </w:p>
    <w:p>
      <w:pPr>
        <w:ind w:left="4"/>
        <w:spacing w:after="0" w:line="281" w:lineRule="auto"/>
        <w:rPr>
          <w:rFonts w:ascii="Arial" w:cs="Arial" w:eastAsia="Arial" w:hAnsi="Arial"/>
          <w:sz w:val="17"/>
          <w:szCs w:val="17"/>
          <w:color w:val="auto"/>
        </w:rPr>
      </w:pPr>
      <w:r>
        <w:rPr>
          <w:rFonts w:ascii="Arial" w:cs="Arial" w:eastAsia="Arial" w:hAnsi="Arial"/>
          <w:sz w:val="16"/>
          <w:szCs w:val="16"/>
          <w:color w:val="auto"/>
        </w:rPr>
        <w:t>excluding any directors that have a conflict of interest related to the proposed transaction), (d) if such Foreign Subsidiary is a direct wholly owned subsidiary of any Loan Party, such Loan Party shall have pledged 65% of the voting Equity Interests and 100% of the non-voting Equity Interests of such Foreign Subsidiary as Collateral securing the Obligations, (e) if such Foreign Subsidiary is not a direct wholly owned subsidiary of any Loan Party,</w:t>
      </w:r>
    </w:p>
    <w:p>
      <w:pPr>
        <w:spacing w:after="0" w:line="1" w:lineRule="exact"/>
        <w:rPr>
          <w:rFonts w:ascii="Arial" w:cs="Arial" w:eastAsia="Arial" w:hAnsi="Arial"/>
          <w:sz w:val="17"/>
          <w:szCs w:val="17"/>
          <w:color w:val="auto"/>
        </w:rPr>
      </w:pPr>
    </w:p>
    <w:p>
      <w:pPr>
        <w:jc w:val="both"/>
        <w:ind w:left="4" w:right="100" w:hanging="4"/>
        <w:spacing w:after="0" w:line="255" w:lineRule="auto"/>
        <w:tabs>
          <w:tab w:leader="none" w:pos="21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Loan Parties shall have pledged 65% of the voting Equity Interests and 100% of the non-voting Equity Interests of each First Tier Parent of such Foreign Subsidiary as Collateral securing the Obligations and (ii) no Foreign Chain Entity will engage in any business, have any Indebtedness or other liabilities or own any significant</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401" w:name="page402"/>
    <w:bookmarkEnd w:id="401"/>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assets other than Equity Interests in one or more Foreign Chain Entities or in such Foreign Subsidiary and (f) the Borrower shall have complied with, or substantially concurrently with the consummation of such Permitted IP Transfer shall comply with, all requirements of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relating to any Subsidiary that, directly or indirectly, owns any Equity Interests in such Foreign Subsidiary, without giving effect to any grace periods set forth therein for the taking of the actions required thereby.</w:t>
      </w:r>
    </w:p>
    <w:p>
      <w:pPr>
        <w:spacing w:after="0" w:line="187" w:lineRule="exact"/>
        <w:rPr>
          <w:sz w:val="20"/>
          <w:szCs w:val="20"/>
          <w:color w:val="auto"/>
        </w:rPr>
      </w:pPr>
    </w:p>
    <w:p>
      <w:pPr>
        <w:ind w:left="4"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defined in Section 3(3) of ERISA (other than a Multiemployer Plan).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Interest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2.16(e)(iii)(C)</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 w:hanging="4"/>
        <w:spacing w:after="0" w:line="277" w:lineRule="auto"/>
        <w:tabs>
          <w:tab w:leader="none" w:pos="439" w:val="left"/>
        </w:tabs>
        <w:numPr>
          <w:ilvl w:val="0"/>
          <w:numId w:val="477"/>
        </w:numPr>
        <w:rPr>
          <w:rFonts w:ascii="Arial" w:cs="Arial" w:eastAsia="Arial" w:hAnsi="Arial"/>
          <w:sz w:val="17"/>
          <w:szCs w:val="17"/>
          <w:color w:val="auto"/>
        </w:rPr>
      </w:pPr>
      <w:r>
        <w:rPr>
          <w:rFonts w:ascii="Arial" w:cs="Arial" w:eastAsia="Arial" w:hAnsi="Arial"/>
          <w:sz w:val="17"/>
          <w:szCs w:val="17"/>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3"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any Lender, the percentage obtained by dividing (a) the Revolving Exposure of that Lender by (b) the aggregate Revolving Exposure of all Lenders.</w:t>
      </w:r>
    </w:p>
    <w:p>
      <w:pPr>
        <w:spacing w:after="0" w:line="170"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projections of the Borrower and its Restricted Subsidiaries for the period of fiscal year 2017 through and including fiscal year 2019.</w:t>
      </w:r>
    </w:p>
    <w:p>
      <w:pPr>
        <w:spacing w:after="0" w:line="170"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jc w:val="both"/>
        <w:ind w:left="4"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Guaranty or grant of the relevant security interest becomes effective with respect to such Swap Obligation or such other Loan Party as constitutes an “eligible contract participant” under the Commodity Exchange Act or any regulations promulgated thereunder at such time and can cause another Person to qualify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4" w:right="439" w:bottom="1440" w:gutter="0" w:footer="0" w:header="0"/>
        </w:sectPr>
      </w:pPr>
    </w:p>
    <w:bookmarkStart w:id="402" w:name="page403"/>
    <w:bookmarkEnd w:id="402"/>
    <w:p>
      <w:pPr>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an “eligible contract participant” at such time (including as a result of the agreements in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or any other Guarantee or other support agreement or any other keepwell agreement under Section 1a(18)(A)(v)(II) of the Commodity Exchange Act in respect of the obligations of such Guarantor by another Loan Party, in each case that constitutes an “eligible contract participant”).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other than Disqualified Equity Interests.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RBC</w:t>
      </w:r>
      <w:r>
        <w:rPr>
          <w:rFonts w:ascii="Arial" w:cs="Arial" w:eastAsia="Arial" w:hAnsi="Arial"/>
          <w:sz w:val="18"/>
          <w:szCs w:val="18"/>
          <w:color w:val="auto"/>
        </w:rPr>
        <w:t>” means Royal Bank of Canada.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Asset</w:t>
      </w:r>
      <w:r>
        <w:rPr>
          <w:rFonts w:ascii="Arial" w:cs="Arial" w:eastAsia="Arial" w:hAnsi="Arial"/>
          <w:sz w:val="16"/>
          <w:szCs w:val="16"/>
          <w:color w:val="auto"/>
        </w:rPr>
        <w:t>” means, at any time of determination, any interest (fee, leasehold or otherwise) then owned by any Loan Party in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property.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means the Administrative Agent, any Lender and any Issuing Bank, or any combination thereof (as the context requires).</w:t>
      </w:r>
    </w:p>
    <w:p>
      <w:pPr>
        <w:spacing w:after="0" w:line="237"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2.4(d)</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or the NYFRB, or a committee officially endorsed or convened by the Federal Reserve Board or the NYFRB, or any successor thereto.</w:t>
      </w:r>
    </w:p>
    <w:p>
      <w:pPr>
        <w:spacing w:after="0" w:line="170"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having more than 50% of the aggregate Revolving Exposure and unused Commitments at such time. The Revolving Exposure and Commitment of any Defaulting Lender shall be disregarded in determining Required Lenders at any time.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any of the President and Chief Executive Officer, Senior Vice President and Chief Financial Officer of the applicable Loan Party, or any person designated by any such Loan Party in writing to the Administrative Agent from time to time, acting singly.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 means February 23,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03" w:name="page404"/>
    <w:bookmarkEnd w:id="403"/>
    <w:p>
      <w:pPr>
        <w:ind w:right="1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Restricted</w:t>
      </w:r>
      <w:r>
        <w:rPr>
          <w:rFonts w:ascii="Arial" w:cs="Arial" w:eastAsia="Arial" w:hAnsi="Arial"/>
          <w:sz w:val="18"/>
          <w:szCs w:val="18"/>
          <w:color w:val="auto"/>
        </w:rPr>
        <w:t>” means, when referring to cash or Cash Equivalents of the Borrower and its Restricted Subsidiaries, that such cash or Cash Equivalents (a) appear (or would be required to appear) as “restricted” on the consolidated balance sheet of the Borrower, (b) are subject to any Lien in favor of any Person or (c) are not otherwise generally available for use by such Person or any Restricted Subsidiary of such Person so long as such Restricted Subsidiary is not prohibited by applicable law, contractual obligation or otherwise from transferring such cash or Cash Equivalents to the Borrower.</w:t>
      </w:r>
    </w:p>
    <w:p>
      <w:pPr>
        <w:spacing w:after="0" w:line="188"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in the Borrower or any Subsidiary, or any payment (whether in cash, securities or other property), including any sinking fund, similar deposit or withholding of shares for tax purposes, on account of the purchase, redemption, retirement, acquisition, cancellation or termination of any such Equity Interests in the Borrower or any Subsidiary. For the avoidance of doubt, (i) the conversion of, or payment for (including, without limitation, payments of principal and payments upon redemption or repurchase), or paying any interest with respect to, any debt securities (including Permitted Convertible Indebtedness) that are convertible into or exchangeable for any combination of Equity Interests and/or cash shall not constitute a Restricted Payment and (ii) the settlement or unwinding of any Permitted Call Spread Transaction shall not constitute a Restricted Payment.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other than an Unrestricted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w:t>
      </w:r>
      <w:r>
        <w:rPr>
          <w:rFonts w:ascii="Arial" w:cs="Arial" w:eastAsia="Arial" w:hAnsi="Arial"/>
          <w:sz w:val="18"/>
          <w:szCs w:val="18"/>
          <w:color w:val="auto"/>
        </w:rPr>
        <w:t>” means, as applicable, Thomson Reuters Corp., Refinitiv, or any successor thereto.</w:t>
      </w:r>
    </w:p>
    <w:p>
      <w:pPr>
        <w:spacing w:after="0" w:line="225"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Exposure</w:t>
      </w:r>
      <w:r>
        <w:rPr>
          <w:rFonts w:ascii="Arial" w:cs="Arial" w:eastAsia="Arial" w:hAnsi="Arial"/>
          <w:sz w:val="16"/>
          <w:szCs w:val="16"/>
          <w:color w:val="auto"/>
        </w:rPr>
        <w:t>” means, with respect to any Lender as of any date of determination, the sum of (a) the aggregate outstanding principal amount of the Revolving Loans of that Lender, (b) the Letter of Credit Usage of that Lender and (c) the Swing Line Exposure of that Lender.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by a Lender to the Borrower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Note</w:t>
      </w:r>
      <w:r>
        <w:rPr>
          <w:rFonts w:ascii="Arial" w:cs="Arial" w:eastAsia="Arial" w:hAnsi="Arial"/>
          <w:sz w:val="18"/>
          <w:szCs w:val="18"/>
          <w:color w:val="auto"/>
        </w:rPr>
        <w:t>” means a promissory note in the form of Exhibit D-1, as it may be amended, restated, supplemented or otherwise modified from time to time.</w:t>
      </w:r>
    </w:p>
    <w:p>
      <w:pPr>
        <w:spacing w:after="0" w:line="170"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Standard &amp; Poor’s Financial Services LLC business, and any successor to its rating agency business.</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Sanctions (at the time of this Agreement, Crimea, Cuba, Iran, North Korea, and Syria).</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50% or more or otherwise controlled by any such Person or Persons described in the foregoing clauses (a) or (b) or (d) any Person otherwise the subject of any Sanctions.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04" w:name="page405"/>
    <w:bookmarkEnd w:id="404"/>
    <w:p>
      <w:pPr>
        <w:ind w:right="8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6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Services</w:t>
      </w:r>
      <w:r>
        <w:rPr>
          <w:rFonts w:ascii="Arial" w:cs="Arial" w:eastAsia="Arial" w:hAnsi="Arial"/>
          <w:sz w:val="18"/>
          <w:szCs w:val="18"/>
          <w:color w:val="auto"/>
        </w:rPr>
        <w:t>” means Cash Management Services provided to any Loan Party by any Lender Counterparty pursuant to a Secured Cash Management Services Agreement.</w:t>
      </w:r>
    </w:p>
    <w:p>
      <w:pPr>
        <w:spacing w:after="0" w:line="170"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Services Agreement</w:t>
      </w:r>
      <w:r>
        <w:rPr>
          <w:rFonts w:ascii="Arial" w:cs="Arial" w:eastAsia="Arial" w:hAnsi="Arial"/>
          <w:sz w:val="18"/>
          <w:szCs w:val="18"/>
          <w:color w:val="auto"/>
        </w:rPr>
        <w:t>” means any agreement with respect to the provision of Secured Cash Management Services to any Loan Party by any Lender Counterparty.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Agreement</w:t>
      </w:r>
      <w:r>
        <w:rPr>
          <w:rFonts w:ascii="Arial" w:cs="Arial" w:eastAsia="Arial" w:hAnsi="Arial"/>
          <w:sz w:val="18"/>
          <w:szCs w:val="18"/>
          <w:color w:val="auto"/>
        </w:rPr>
        <w:t>” means a Swap Agreement (excluding any Permitted Call Spread Transaction) among one or more Loan Parties and a Lender Counterparty.</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Pledge and Security Agreement to be executed by each Loan Party substantially in the form of Exhibit E, as it may be amended, restated, supplemented or otherwise modified from time to time.</w:t>
      </w:r>
    </w:p>
    <w:p>
      <w:pPr>
        <w:spacing w:after="0" w:line="170"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means a Solvency Certificate of a Financial Officer of the Borrower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the Borrower and its Restricted Subsidiaries on a particular date, that on such date (a) the fair value of the present assets of the Borrower and its Restricted Subsidiaries, taken as a whole, is greater than the total amount of liabilities, including contingent liabilities, of the Borrower and its Restricted Subsidiaries, taken as a whole, (b)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05" w:name="page406"/>
    <w:bookmarkEnd w:id="405"/>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present fair saleable value of the assets of the Borrower and its Restricted Subsidiaries, taken as a whole, is not less than the amount that will be required to pay the probable liability of the Borrower and its Restricted Subsidiaries, taken as a whole, on their debts as they become absolute and matured,</w:t>
      </w:r>
    </w:p>
    <w:p>
      <w:pPr>
        <w:jc w:val="both"/>
        <w:ind w:left="4" w:right="100" w:hanging="4"/>
        <w:spacing w:after="0" w:line="281" w:lineRule="auto"/>
        <w:tabs>
          <w:tab w:leader="none" w:pos="249"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Borrower and its Restricted Subsidiaries, taken as a whole, do not intend to, and do not believe that they will, incur debts or liabilities (including current obligations and contingent liabilities) beyond their ability to pay such debts and liabilities as they mature in the ordinary course of business and</w:t>
      </w:r>
    </w:p>
    <w:p>
      <w:pPr>
        <w:spacing w:after="0" w:line="1" w:lineRule="exact"/>
        <w:rPr>
          <w:rFonts w:ascii="Arial" w:cs="Arial" w:eastAsia="Arial" w:hAnsi="Arial"/>
          <w:sz w:val="16"/>
          <w:szCs w:val="16"/>
          <w:color w:val="auto"/>
        </w:rPr>
      </w:pPr>
    </w:p>
    <w:p>
      <w:pPr>
        <w:ind w:left="4" w:right="60" w:hanging="4"/>
        <w:spacing w:after="0" w:line="253" w:lineRule="auto"/>
        <w:tabs>
          <w:tab w:leader="none" w:pos="259"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Borrower and its Restricted Subsidiaries, taken as a whole, are not engaged in business or a transaction, and are not about to engage in business or a transaction, in relation to which their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91"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Acquisition, Investment, Asset Sale, incurrence, assumption or repayment of Indebtedness, Restricted Payment or designation of a Restricted Subsidiary as an Unrestricted Subsidiary or of an Unrestricted Subsidiary as a Restricted Subsidiary.</w:t>
      </w:r>
    </w:p>
    <w:p>
      <w:pPr>
        <w:spacing w:after="0" w:line="184"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xml:space="preserve">” means a fraction (expressed as a decimal), the numerator of which is the number one and the denominator of which is the number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406" w:name="page407"/>
    <w:bookmarkEnd w:id="4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any Permitted Call Spread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6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Exposure</w:t>
      </w:r>
      <w:r>
        <w:rPr>
          <w:rFonts w:ascii="Arial" w:cs="Arial" w:eastAsia="Arial" w:hAnsi="Arial"/>
          <w:sz w:val="16"/>
          <w:szCs w:val="16"/>
          <w:color w:val="auto"/>
        </w:rPr>
        <w:t xml:space="preserve">” means, at any time, the aggregate principal amount of all Swing Line Loans outstanding at such time. The Swing Line Exposure of any Lender at any time shall be the sum of (a) its Applicable Percentage of the total Swing Line Exposure at such time (excluding, in the case of any Lender that is a Swing Line Lender, Swing Line Loans made by it that are outstanding at such time to the extent that the other Lenders shall not have funded their participations in such Swing Line Loans), adjusted to give effect to any reallocation under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of the Swing Line Exposure of Defaulting Lenders and (b) in the case of any Lender that is a Swing Line Lender, the aggregate principal amount of all Swing Line Loans made by such Swing Line Lender outstanding at such time, less the amount of participations funded by the other Lenders in such Swing Line Loans.</w:t>
      </w:r>
    </w:p>
    <w:p>
      <w:pPr>
        <w:spacing w:after="0" w:line="16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JPMCB, in its capacity as Swing Line Lender hereunder, together with its permitted successors and assigns in such capacity.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means a Loan made by Swing Line Lender to the Borrower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xml:space="preserve">” means a promissory note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as it may be amended, restated, supplemented or otherwise modified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Sublimit</w:t>
      </w:r>
      <w:r>
        <w:rPr>
          <w:rFonts w:ascii="Arial" w:cs="Arial" w:eastAsia="Arial" w:hAnsi="Arial"/>
          <w:sz w:val="17"/>
          <w:szCs w:val="17"/>
          <w:color w:val="auto"/>
        </w:rPr>
        <w:t>” means the lesser of (i) $15,000,000, and (ii) the aggregate unused amount of Commitments then in effect.</w:t>
      </w:r>
    </w:p>
    <w:p>
      <w:pPr>
        <w:spacing w:after="0" w:line="237" w:lineRule="exact"/>
        <w:rPr>
          <w:sz w:val="20"/>
          <w:szCs w:val="20"/>
          <w:color w:val="auto"/>
        </w:rPr>
      </w:pPr>
    </w:p>
    <w:p>
      <w:pPr>
        <w:ind w:right="7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present or future taxes, levies, imposts, duties, deductions, charges or withholdings (including backup withholding) imposed by any Governmental Authority, including any interest, additions to tax or penalties applicable thereto.</w:t>
      </w:r>
    </w:p>
    <w:p>
      <w:pPr>
        <w:spacing w:after="0" w:line="14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407" w:name="page408"/>
    <w:bookmarkEnd w:id="407"/>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2.13 that is not Term SOFR.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10.4(e)</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Market Cap</w:t>
      </w:r>
      <w:r>
        <w:rPr>
          <w:rFonts w:ascii="Arial" w:cs="Arial" w:eastAsia="Arial" w:hAnsi="Arial"/>
          <w:sz w:val="18"/>
          <w:szCs w:val="18"/>
          <w:color w:val="auto"/>
        </w:rPr>
        <w:t>” means, as at any date of determination, the value of the Borrower’s common shares on the principal national securities exchange on which the Borrower’s common shares are registered and listed for trading at the close of trading on the preceding Business Day multiplied by the aggregate number of common shares outstanding as of the close of trading on such day.</w:t>
      </w:r>
    </w:p>
    <w:p>
      <w:pPr>
        <w:spacing w:after="0" w:line="184"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Utilization of Commitments</w:t>
      </w:r>
      <w:r>
        <w:rPr>
          <w:rFonts w:ascii="Arial" w:cs="Arial" w:eastAsia="Arial" w:hAnsi="Arial"/>
          <w:sz w:val="16"/>
          <w:szCs w:val="16"/>
          <w:color w:val="auto"/>
        </w:rPr>
        <w:t>” means, as at any date of determination, the sum of (a) the aggregate principal amount of all outstanding Revolving Loans, (b) the aggregate principal amount of all outstanding Swing Line Loans, and (c) the aggregate Letter of Credit Usage.</w:t>
      </w:r>
    </w:p>
    <w:p>
      <w:pPr>
        <w:spacing w:after="0" w:line="124"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each Loan Document (including the Amendment and Restatement Agreement on the Restatement Effective Date) to which it is a party, the borrowing of Loans and the use of the proceeds thereof, the issuance of Letters of Credit and the use thereof, and the granting of Liens in the Collateral under the Collateral Documents.</w:t>
      </w:r>
    </w:p>
    <w:p>
      <w:pPr>
        <w:spacing w:after="0" w:line="16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Adjusted LIBO Rate or the Alternate Base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Swing Line Loans, such rate shall be determined by reference to the Alternate Base Rate only.</w:t>
      </w:r>
    </w:p>
    <w:p>
      <w:pPr>
        <w:spacing w:after="0" w:line="184"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Obligations</w:t>
      </w:r>
      <w:r>
        <w:rPr>
          <w:rFonts w:ascii="Arial" w:cs="Arial" w:eastAsia="Arial" w:hAnsi="Arial"/>
          <w:sz w:val="17"/>
          <w:szCs w:val="17"/>
          <w:color w:val="auto"/>
        </w:rPr>
        <w:t xml:space="preserve">” means obligations issued or directly and fully guaranteed or insured by the United States of America or by any agent or instrumentality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full faith and credit of the United States of America is pledged in support thereof.</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means any Subsidiary incorporated or organized under the laws of the United States of America, any State thereof or the District of Columbia.</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08" w:name="page409"/>
    <w:bookmarkEnd w:id="408"/>
    <w:p>
      <w:pPr>
        <w:ind w:right="7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applicable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w:t>
      </w:r>
      <w:r>
        <w:rPr>
          <w:rFonts w:ascii="Arial" w:cs="Arial" w:eastAsia="Arial" w:hAnsi="Arial"/>
          <w:sz w:val="18"/>
          <w:szCs w:val="18"/>
          <w:color w:val="auto"/>
        </w:rPr>
        <w:t>” means, when referring to cash or Cash Equivalents, that such cash or Cash Equivalents are not Restricted.</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that at the time of determination has previously been designated, and continues to be, an Unrestricted Subsidiary in accordance with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70"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46"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 owned</w:t>
      </w:r>
      <w:r>
        <w:rPr>
          <w:rFonts w:ascii="Arial" w:cs="Arial" w:eastAsia="Arial" w:hAnsi="Arial"/>
          <w:sz w:val="17"/>
          <w:szCs w:val="17"/>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 and the Administrative Agent.</w:t>
      </w:r>
    </w:p>
    <w:p>
      <w:pPr>
        <w:spacing w:after="0" w:line="225" w:lineRule="exact"/>
        <w:rPr>
          <w:sz w:val="20"/>
          <w:szCs w:val="20"/>
          <w:color w:val="auto"/>
        </w:rPr>
      </w:pPr>
    </w:p>
    <w:p>
      <w:pPr>
        <w:ind w:right="16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For purposes of this Agreement, Loans may be classified and referred to by Type (</w:t>
      </w:r>
      <w:r>
        <w:rPr>
          <w:rFonts w:ascii="Arial" w:cs="Arial" w:eastAsia="Arial" w:hAnsi="Arial"/>
          <w:sz w:val="17"/>
          <w:szCs w:val="17"/>
          <w:u w:val="single" w:color="auto"/>
          <w:color w:val="auto"/>
        </w:rPr>
        <w:t>e.g.</w:t>
      </w:r>
      <w:r>
        <w:rPr>
          <w:rFonts w:ascii="Arial" w:cs="Arial" w:eastAsia="Arial" w:hAnsi="Arial"/>
          <w:sz w:val="17"/>
          <w:szCs w:val="17"/>
          <w:color w:val="auto"/>
        </w:rPr>
        <w:t>, a “Eurodollar Loan” or an “ABR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Borrowings also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Borrowing” or an “ABR Borrowing”).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409" w:name="page410"/>
    <w:bookmarkEnd w:id="40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Terms Generally</w:t>
      </w:r>
      <w:r>
        <w:rPr>
          <w:rFonts w:ascii="Arial" w:cs="Arial" w:eastAsia="Arial" w:hAnsi="Arial"/>
          <w:sz w:val="18"/>
          <w:szCs w:val="18"/>
          <w:color w:val="auto"/>
        </w:rPr>
        <w:t>.</w:t>
      </w:r>
    </w:p>
    <w:p>
      <w:pPr>
        <w:spacing w:after="0" w:line="117"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amendments and restatements, supplements or modifications set forth herein),</w:t>
      </w:r>
    </w:p>
    <w:p>
      <w:pPr>
        <w:spacing w:after="0" w:line="4" w:lineRule="exact"/>
        <w:rPr>
          <w:sz w:val="20"/>
          <w:szCs w:val="20"/>
          <w:color w:val="auto"/>
        </w:rPr>
      </w:pPr>
    </w:p>
    <w:p>
      <w:pPr>
        <w:ind w:left="4" w:hanging="4"/>
        <w:spacing w:after="0" w:line="269" w:lineRule="auto"/>
        <w:tabs>
          <w:tab w:leader="none" w:pos="259"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117" w:lineRule="exact"/>
        <w:rPr>
          <w:sz w:val="20"/>
          <w:szCs w:val="20"/>
          <w:color w:val="auto"/>
        </w:rPr>
      </w:pPr>
    </w:p>
    <w:p>
      <w:pPr>
        <w:ind w:left="4" w:right="20" w:firstLine="991"/>
        <w:spacing w:after="0" w:line="269" w:lineRule="auto"/>
        <w:rPr>
          <w:sz w:val="20"/>
          <w:szCs w:val="20"/>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has been amended in accordance herewith. Notwithstanding the foregoing, all financial statements delivered hereunder shall be prepared, and all financial covenants contained herein shall be calculated, without giving effect to any election under the Statement of Financial Accounting Standards No. 159 (ASC 825) (or any similar accounting principle) permitting or requiring a Person to value its financial liabilities or Indebtedness at the fair value thereof.</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4"/>
          </w:cols>
          <w:pgMar w:left="436" w:top="274" w:right="479" w:bottom="1440" w:gutter="0" w:footer="0" w:header="0"/>
        </w:sectPr>
      </w:pPr>
    </w:p>
    <w:bookmarkStart w:id="410" w:name="page411"/>
    <w:bookmarkEnd w:id="410"/>
    <w:p>
      <w:pPr>
        <w:ind w:right="3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1.5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xml:space="preserve">. (a) Unless otherwise specified herein, the amount of any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80" w:lineRule="exact"/>
        <w:rPr>
          <w:sz w:val="20"/>
          <w:szCs w:val="20"/>
          <w:color w:val="auto"/>
        </w:rPr>
      </w:pPr>
    </w:p>
    <w:p>
      <w:pPr>
        <w:ind w:right="60" w:firstLine="987"/>
        <w:spacing w:after="0" w:line="291" w:lineRule="auto"/>
        <w:tabs>
          <w:tab w:leader="none" w:pos="1246"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The Administrative Agent shall determine the Dollar Equivalent of any Letter of Credit denominated in an Alternative Currency as of the date such Letter of Credit is issued, amended to increase its face amount or extended, on the first Business Day of each calendar month on which such Letter of Credit is outstanding and as of such other dates as the Administrative Agent shall in its discretion determine, in each case using the Exchange Rate in effect on the date of determination, and each such amount shall be the Dollar Equivalent of such Letter of Credit until the next calculation thereof pursuant to this Section. The Administrative Agent shall determine the Dollar Equivalent of any drawing honored under a Letter of Credit denominated in an Alternative Currency as of the Disbursement Date applicable thereto. The Administrative Agent shall notify the Borrower, the Lenders and the applicable Issuing Bank of each determination of the Dollar Equivalent of each Letter of Credit and Letter of Credit disbursement.</w:t>
      </w:r>
    </w:p>
    <w:p>
      <w:pPr>
        <w:spacing w:after="0" w:line="166"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Electronic Execution of Documents</w:t>
      </w:r>
      <w:r>
        <w:rPr>
          <w:rFonts w:ascii="Arial" w:cs="Arial" w:eastAsia="Arial" w:hAnsi="Arial"/>
          <w:sz w:val="16"/>
          <w:szCs w:val="16"/>
          <w:color w:val="auto"/>
        </w:rPr>
        <w:t>. The words “execution,” “signed,” “signature,” and words of like import in any Loan Document or any agreement entered into in connection therewith, including any Assignment and Assumption, or any notice, certificate or other instrument delivered in connection therewith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Interest Rate; LIBOR Notification</w:t>
      </w:r>
      <w:r>
        <w:rPr>
          <w:rFonts w:ascii="Arial" w:cs="Arial" w:eastAsia="Arial" w:hAnsi="Arial"/>
          <w:sz w:val="18"/>
          <w:szCs w:val="18"/>
          <w:color w:val="auto"/>
        </w:rPr>
        <w:t>.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411" w:name="page412"/>
    <w:bookmarkEnd w:id="411"/>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Administrator, the “</w:t>
      </w:r>
      <w:r>
        <w:rPr>
          <w:rFonts w:ascii="Arial" w:cs="Arial" w:eastAsia="Arial" w:hAnsi="Arial"/>
          <w:sz w:val="16"/>
          <w:szCs w:val="16"/>
          <w:u w:val="single" w:color="auto"/>
          <w:color w:val="auto"/>
        </w:rPr>
        <w:t>IBA</w:t>
      </w:r>
      <w:r>
        <w:rPr>
          <w:rFonts w:ascii="Arial" w:cs="Arial" w:eastAsia="Arial" w:hAnsi="Arial"/>
          <w:sz w:val="16"/>
          <w:szCs w:val="16"/>
          <w:color w:val="auto"/>
        </w:rPr>
        <w:t xml:space="preserve">”)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or an Early Opt-in Election, </w:t>
      </w:r>
      <w:r>
        <w:rPr>
          <w:rFonts w:ascii="Arial" w:cs="Arial" w:eastAsia="Arial" w:hAnsi="Arial"/>
          <w:sz w:val="16"/>
          <w:szCs w:val="16"/>
          <w:u w:val="single" w:color="auto"/>
          <w:color w:val="auto"/>
        </w:rPr>
        <w:t>Sections 2.13(b)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provide the mechanism for determining an alternative rate of interest. The Administrative Agent will promptly notify the Borrower, pursuant to </w:t>
      </w:r>
      <w:r>
        <w:rPr>
          <w:rFonts w:ascii="Arial" w:cs="Arial" w:eastAsia="Arial" w:hAnsi="Arial"/>
          <w:sz w:val="16"/>
          <w:szCs w:val="16"/>
          <w:u w:val="single" w:color="auto"/>
          <w:color w:val="auto"/>
        </w:rPr>
        <w:t>Section 2.13(e)</w:t>
      </w:r>
      <w:r>
        <w:rPr>
          <w:rFonts w:ascii="Arial" w:cs="Arial" w:eastAsia="Arial" w:hAnsi="Arial"/>
          <w:sz w:val="16"/>
          <w:szCs w:val="16"/>
          <w:color w:val="auto"/>
        </w:rPr>
        <w:t xml:space="preserve">,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whether upon the occurrence of a Benchmark Transition Event, a Term SOFR Transition Event or an Early Opt-in Election, and (ii) the implementation of any Benchmark Replacement Conforming Changes pursuant to</w:t>
      </w:r>
    </w:p>
    <w:p>
      <w:pPr>
        <w:spacing w:after="0" w:line="4"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u w:val="single" w:color="auto"/>
          <w:color w:val="auto"/>
        </w:rPr>
        <w:t>Section 2.13(d)</w:t>
      </w:r>
      <w:r>
        <w:rPr>
          <w:rFonts w:ascii="Arial" w:cs="Arial" w:eastAsia="Arial" w:hAnsi="Arial"/>
          <w:sz w:val="18"/>
          <w:szCs w:val="18"/>
          <w:color w:val="auto"/>
        </w:rPr>
        <w:t>),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Commitments</w:t>
      </w:r>
      <w:r>
        <w:rPr>
          <w:rFonts w:ascii="Arial" w:cs="Arial" w:eastAsia="Arial" w:hAnsi="Arial"/>
          <w:sz w:val="17"/>
          <w:szCs w:val="17"/>
          <w:color w:val="auto"/>
        </w:rPr>
        <w:t>. Subject to the terms and conditions set forth herein, each Lender severally agrees to make Revolving Loans in dollars to the Borrower from time to time during the Availability Period in an aggregate principal amount that will not result in (a) the aggregate outstanding principal amount of such Lender’s Revolving Exposure exceeding such Lender’s Commitment or (b) the Total Utilization of Commitments exceeding the total Commitments. Within the foregoing limits and subject to the terms and conditions set forth herein, the Borrower may borrow, prepay and reborrow Revolving Loans. Each Lender’s Commitment shall expire on the Commitment Termination Date and all Revolving Loans and all other amounts owed hereunder with respect to the Revolving Exposure shall be paid in full no later than such date.</w:t>
      </w:r>
    </w:p>
    <w:p>
      <w:pPr>
        <w:spacing w:after="0" w:line="17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Revolving Loans and Borrowings</w:t>
      </w:r>
      <w:r>
        <w:rPr>
          <w:rFonts w:ascii="Arial" w:cs="Arial" w:eastAsia="Arial" w:hAnsi="Arial"/>
          <w:sz w:val="18"/>
          <w:szCs w:val="18"/>
          <w:color w:val="auto"/>
        </w:rPr>
        <w:t xml:space="preserve">. (a) Each Revolving Loan shall be made as part of a Borrowing consisting of Revolving Loans made by the Lenders in accordance with their respective Applicable Percentages. The failure of any Lender to make any Revolving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Revolving Loans as required.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412" w:name="page413"/>
    <w:bookmarkEnd w:id="412"/>
    <w:p>
      <w:pPr>
        <w:jc w:val="both"/>
        <w:ind w:right="20" w:firstLine="987"/>
        <w:spacing w:after="0" w:line="259" w:lineRule="auto"/>
        <w:tabs>
          <w:tab w:leader="none" w:pos="1381" w:val="left"/>
        </w:tabs>
        <w:numPr>
          <w:ilvl w:val="0"/>
          <w:numId w:val="4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each Borrowing of Revolving Loans shall be comprised entirely of ABR Loans or Eurodollar Loans as the Borrower may request in accordance herewith. Each Lender at its option may make any Eurodollar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78" w:lineRule="exact"/>
        <w:rPr>
          <w:rFonts w:ascii="Arial" w:cs="Arial" w:eastAsia="Arial" w:hAnsi="Arial"/>
          <w:sz w:val="18"/>
          <w:szCs w:val="18"/>
          <w:color w:val="auto"/>
        </w:rPr>
      </w:pPr>
    </w:p>
    <w:p>
      <w:pPr>
        <w:ind w:firstLine="987"/>
        <w:spacing w:after="0" w:line="293" w:lineRule="auto"/>
        <w:tabs>
          <w:tab w:leader="none" w:pos="1361"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Eurodollar Borrowing, such Borrowing shall be in an aggregate amount that is an integral multiple of $1,000,000 and not less than $5,000,000. At the time that each ABR Borrowing is made, such Borrowing shall be in an aggregate amount that is an integral multiple of $1,000,000 and not less than $5,000,000;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Borrowing may be in an aggregate amount that is equal to the entire unused balance of the total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 ABR Borrowing may be in an aggregate amount that is required to finance the reimbursement of a Letter of Credit drawing as contemplated by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Borrowings of more than one Type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not at any time be more than a total of ten Eurodollar Borrowings outstanding.</w:t>
      </w:r>
    </w:p>
    <w:p>
      <w:pPr>
        <w:spacing w:after="0" w:line="56" w:lineRule="exact"/>
        <w:rPr>
          <w:rFonts w:ascii="Arial" w:cs="Arial" w:eastAsia="Arial" w:hAnsi="Arial"/>
          <w:sz w:val="16"/>
          <w:szCs w:val="16"/>
          <w:color w:val="auto"/>
        </w:rPr>
      </w:pPr>
    </w:p>
    <w:p>
      <w:pPr>
        <w:ind w:right="580" w:firstLine="987"/>
        <w:spacing w:after="0" w:line="277" w:lineRule="auto"/>
        <w:tabs>
          <w:tab w:leader="none" w:pos="1381" w:val="left"/>
        </w:tabs>
        <w:numPr>
          <w:ilvl w:val="0"/>
          <w:numId w:val="48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(a) During the Availability Period, subject to the terms and conditions hereof, Swing Line Lender agrees to make Swing Line Loans to the Borrower in the aggregate amount up to but not exceeding the Swing Line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any Swing Line Loan, in no event shall (i) the Total Utilization of Commitments exceed the Commitments then in effect or (ii) unless otherwise agreed to in writing by the Swing Line Lender, the aggregate amount of Swing Line Loans, Revolving Loans and Letters of Credit issued by the Swing Line Lender exceed the Swing Line Lender’s Commitments hereunder. Amounts borrowed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may be repaid and reborrowed during the Availability Period. The Swing Line Lender’s Commitment shall expire on the Commitment Termination Date and all Swing Line Loans and all other amounts owed hereunder with respect to the Swing Line Loans and the Commitments shall be paid in full no later than such date.</w:t>
      </w:r>
    </w:p>
    <w:p>
      <w:pPr>
        <w:spacing w:after="0" w:line="84" w:lineRule="exact"/>
        <w:rPr>
          <w:sz w:val="20"/>
          <w:szCs w:val="20"/>
          <w:color w:val="auto"/>
        </w:rPr>
      </w:pPr>
    </w:p>
    <w:p>
      <w:pPr>
        <w:jc w:val="both"/>
        <w:ind w:right="100" w:firstLine="987"/>
        <w:spacing w:after="0" w:line="263" w:lineRule="auto"/>
        <w:tabs>
          <w:tab w:leader="none" w:pos="1381"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Swing Line Loans shall be made in an aggregate minimum amount of $500,000 and integral multiples of $100,000 in excess of that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Swing Line Loan may be in an aggregate amount that is required to finance the reimbursement of a Letter of Credit drawing as contemplated by </w:t>
      </w:r>
      <w:r>
        <w:rPr>
          <w:rFonts w:ascii="Arial" w:cs="Arial" w:eastAsia="Arial" w:hAnsi="Arial"/>
          <w:sz w:val="18"/>
          <w:szCs w:val="18"/>
          <w:u w:val="single" w:color="auto"/>
          <w:color w:val="auto"/>
        </w:rPr>
        <w:t>Section 2.4(d)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20" w:firstLine="987"/>
        <w:spacing w:after="0" w:line="273" w:lineRule="auto"/>
        <w:tabs>
          <w:tab w:leader="none" w:pos="1368"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Swing Line Lender may by written notice given to the Administrative Agent not later than 10:00 a.m., New York City time, on any Business Day require the Lenders to acquire participations on such Business Day in all or a portion of the Swing Line Loans outstanding. Such notice shall specify the aggregate amount of the Swing Line Loans in which the Lenders will be required to participate. Promptly upon receipt of such notice, the Administrative Agent will give notice thereof to each Lender, specifying in such notice such Lender’s Applicable Percentage of such Swing Line Loan or Loans. Each Lender hereby absolutely and unconditionally agrees to pay, upon receipt of notice as provided above, to the Administrative Agent, for the account of the Swing Line Lender, such Lender’s Applicable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413" w:name="page414"/>
    <w:bookmarkEnd w:id="41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Percentage of such Swing Line Loan or Loans. Each Lender acknowledges and agrees that, in making any Swing Line Loan, the Swing Line Lender shall be entitled to rely, and shall not incur any liability for relying, upon the representation and warranty of the Borrower deemed made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unless, at least one Business Day prior to the time such Swing Line Loan was made, the Required Lenders or the Borrower shall have notified the Swing Line Lender (with a copy to the Administrative Agent) in writing that, as a result of one or more events or circumstances described in such notice, one or more of the conditions precedent set forth in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would not be satisfied if such Swing Line Loan were then made (it being understood and agreed that, in the event the Swing Line Lender shall have received any such notice, it shall have no obligation to make any Swing Line Loan until and unless it shall be satisfied that the events and circumstances described in such notice shall have been cured or otherwise shall have ceased to exist). Each Lender further acknowledges and agrees that its obligation to acquire participations in Swing Line Loans pursuant to this paragraph is absolute and unconditional and shall not be affected by any circumstance whatsoever, including the occurrence and continuance of a Default or any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payment obligations of the Lenders pursuant to this paragraph), and the Administrative Agent shall promptly remit to the Swing Line Lender the amounts so received by it from the Lenders. The Administrative Agent shall notify the Borrower of any participations in any Swing Line Loan acquired pursuant to this paragraph, and thereafter payments in respect of such Swing Line Loan shall be made to the Administrative Agent and not to the Swing Line Lender. Any amounts received by the Swing Line Lender from the Borrower (or other Person on behalf of the Borrower) in respect of a Swing Line Loan after receipt by the Swing 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 Line Lender, as their interests may appear;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payment so remitted shall be repaid to the Swing Line Lender or to the Administrative Agent, as applicable, if and to the extent such payment is required to be refunded to the Borrower for any reason. The purchase of participations in a Swing Line Loan pursuant to this paragraph shall not constitute a Loan and shall not relieve the Borrower of its obligation to repay such Swing Line Loan.</w:t>
      </w:r>
    </w:p>
    <w:p>
      <w:pPr>
        <w:spacing w:after="0" w:line="288" w:lineRule="exact"/>
        <w:rPr>
          <w:sz w:val="20"/>
          <w:szCs w:val="20"/>
          <w:color w:val="auto"/>
        </w:rPr>
      </w:pPr>
    </w:p>
    <w:p>
      <w:pPr>
        <w:ind w:right="20" w:firstLine="987"/>
        <w:spacing w:after="0" w:line="291" w:lineRule="auto"/>
        <w:tabs>
          <w:tab w:leader="none" w:pos="1378" w:val="left"/>
        </w:tabs>
        <w:numPr>
          <w:ilvl w:val="0"/>
          <w:numId w:val="483"/>
        </w:numPr>
        <w:rPr>
          <w:rFonts w:ascii="Arial" w:cs="Arial" w:eastAsia="Arial" w:hAnsi="Arial"/>
          <w:sz w:val="16"/>
          <w:szCs w:val="16"/>
          <w:color w:val="auto"/>
        </w:rPr>
      </w:pPr>
      <w:r>
        <w:rPr>
          <w:rFonts w:ascii="Arial" w:cs="Arial" w:eastAsia="Arial" w:hAnsi="Arial"/>
          <w:sz w:val="16"/>
          <w:szCs w:val="16"/>
          <w:color w:val="auto"/>
        </w:rPr>
        <w:t>The Swing Line Lender may resign as Swing Line Lender upon 30 days prior written notice to the Administrative Agent, the Lenders and the Borrower. The Swing Line Lender may be replaced at any time by written agreement among the Borrower, the Administrative Agent and the successor Swing Line Lender. The Administrative Agent shall notify the Lenders of any such replacement of the Swing Line Lender. At the time any such replacement or resignation shall become effective, (i) the Borrower shall prepay any outstanding Swing Line Loans made by the resigning or removed Swing Line Lender, (ii) upon such prepayment, the resigning or removed Swing Line Lender shall surrender any Swing Line Note held by it to the Borrower for cancellation, and (iii) the Borrower shall issue, if so requested by the successor Swing Line Loan Lender, a new Swing Line Note to the successor Swing Line Lender, in the principal amount of the Swing Line Sublimit then in effect and with other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414" w:name="page415"/>
    <w:bookmarkEnd w:id="4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appropriate insertions. From and after the effective date of any such replacement or resignation, (x) any successor Swing Line Lender shall have all the rights and obligations of a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w:t>
      </w:r>
    </w:p>
    <w:p>
      <w:pPr>
        <w:spacing w:after="0" w:line="187" w:lineRule="exact"/>
        <w:rPr>
          <w:sz w:val="20"/>
          <w:szCs w:val="20"/>
          <w:color w:val="auto"/>
        </w:rPr>
      </w:pPr>
    </w:p>
    <w:p>
      <w:pPr>
        <w:ind w:right="40" w:firstLine="991"/>
        <w:spacing w:after="0" w:line="284"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Issuance of Letters of Credit and Purchase of Participations Therein</w:t>
      </w:r>
      <w:r>
        <w:rPr>
          <w:rFonts w:ascii="Arial" w:cs="Arial" w:eastAsia="Arial" w:hAnsi="Arial"/>
          <w:sz w:val="16"/>
          <w:szCs w:val="16"/>
          <w:color w:val="auto"/>
        </w:rPr>
        <w:t xml:space="preserve">. (a) During the Availability Period, subject to the terms and conditions hereof, each Issuing Bank agrees to issue Letters of Credit (or amend, extend or increase any outstanding Letter of Credit) at the request and for the account of the Borrower (including for the purpose of supporting obligations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Letter of Credit shall be denominated in dollars or any Alternative Currency; (ii) the stated amount of each Letter of Credit shall not be less than the Dollar Equivalent of $250,000 or such lesser amount as is acceptable to the applicable Issuing Bank; (iii) after giving effect to such issuance, amendment, extension or increase, in no event shall the Total Utilization of Commitments exceed the Commitments then in effect; (iv) after giving effect to such issuance, amendment, extension or increase, in no event shall the aggregate Letter of Credit Usage exceed the Letter of Credit Sublimit then in effect, (v) after giving effect to such issuance, amendment, extension or increase, in no event shall the Letter of Credit Usage attributable to Letters of Credit issued by any Issuing Bank exceed the Issuing Bank Sublimit of such Issuing Bank, unless otherwise agreed to in writing by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Existing Letters of Credit issued by JPMCB and GSLP (and/or any Affiliate thereof) may remain outstanding (and, with the consent of JPMCB or GSLP, as applicable, may be amended, renewed or extended) notwithstanding that such amount may exceed the Issuing Bank Sublimit of JPMCB or GSLP, as applicable, (vi) after giving effect to such issuance, amendment, extension or increase, in no event shall the aggregate amount of Revolving Loans (and Swing Line Loans, in the case of the Swing Line Lender) and Letters of Credit issued by such Issuing Bank exceed such Issuing Bank’s Commitments hereunder, unless otherwise agreed to in writing by such Issuing Bank, and (vii) in no event shall any Letter of Credit have an expiration date later than the earlier of (1) five days prior to the Maturity Date and (2) the date which is one year from the date of issuance of such Letter of Credit, in each case unless otherwise agreed to in writing by the applicable Issuing Bank in its sole discretion (and, in the sole discretion of the applicable Issuing Bank, subject to cash collateralization, backstop or other arrangements acceptable to the applicable Issuing Bank). If the Borrower so requests in the Application for any Letter of Credit, the applicable Issuing Bank may, in its sole discretion, agree to issue a Letter of Credit that has automatic extension provisions (each such Letter of Credit,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in each such twelve-month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Lenders shall be deemed to have authorized (but may not require) the Issuing Bank to permit the extension of such Letter of Credit at any time to an expiration date not later than the date five days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applicable Issuing Bank shall not permit any such extension if (A) such Issuing Bank has determined that it would not be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415" w:name="page416"/>
    <w:bookmarkEnd w:id="415"/>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permitted, or would have no obligation, at such time to issue such Letter of Credit in its revised form (as extended) under the terms hereof, or (B) it has received notice from the Required Lenders or the Borrower in accordance with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that one or more of the conditions in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or</w:t>
      </w:r>
    </w:p>
    <w:p>
      <w:pPr>
        <w:ind w:left="4" w:right="60" w:hanging="4"/>
        <w:spacing w:after="0" w:line="252" w:lineRule="auto"/>
        <w:tabs>
          <w:tab w:leader="none" w:pos="249" w:val="left"/>
        </w:tabs>
        <w:numPr>
          <w:ilvl w:val="0"/>
          <w:numId w:val="484"/>
        </w:numPr>
        <w:rPr>
          <w:rFonts w:ascii="Arial" w:cs="Arial" w:eastAsia="Arial" w:hAnsi="Arial"/>
          <w:sz w:val="18"/>
          <w:szCs w:val="18"/>
          <w:u w:val="single" w:color="auto"/>
          <w:color w:val="auto"/>
        </w:rPr>
      </w:pPr>
      <w:r>
        <w:rPr>
          <w:rFonts w:ascii="Arial" w:cs="Arial" w:eastAsia="Arial" w:hAnsi="Arial"/>
          <w:sz w:val="18"/>
          <w:szCs w:val="18"/>
          <w:color w:val="auto"/>
        </w:rPr>
        <w:t>would not be satisfied if such Letter of Credit were so extended. If any Lender is a Defaulting Lender, an Issuing Bank shall not be required to issue, amend, extend or increase any Letter of Credit unless such Issuing Bank has entered into arrangements satisfactory to it and the Borrower to eliminate such Issuing Bank’s risk with respect to the participation in Letters of Credit of such Defaulting Lender, including by cash collateralizing such Defaulting Lender’s Pro Rata Share of the Letter of Credit Usage at such time on terms satisfactory to such Issuing Bank. Each request by the Borrower for the issuance, amendment, extension or increase of any Letter of Credit shall be deemed to be a representation and warranty that the conditions set forth in clauses (iii), (iv) and (v) above have been met.</w:t>
      </w:r>
    </w:p>
    <w:p>
      <w:pPr>
        <w:spacing w:after="0" w:line="85" w:lineRule="exact"/>
        <w:rPr>
          <w:rFonts w:ascii="Arial" w:cs="Arial" w:eastAsia="Arial" w:hAnsi="Arial"/>
          <w:sz w:val="18"/>
          <w:szCs w:val="18"/>
          <w:u w:val="single" w:color="auto"/>
          <w:color w:val="auto"/>
        </w:rPr>
      </w:pPr>
    </w:p>
    <w:p>
      <w:pPr>
        <w:ind w:left="4" w:firstLine="987"/>
        <w:spacing w:after="0" w:line="284" w:lineRule="auto"/>
        <w:tabs>
          <w:tab w:leader="none" w:pos="1382" w:val="left"/>
        </w:tabs>
        <w:numPr>
          <w:ilvl w:val="1"/>
          <w:numId w:val="484"/>
        </w:numPr>
        <w:rPr>
          <w:rFonts w:ascii="Arial" w:cs="Arial" w:eastAsia="Arial" w:hAnsi="Arial"/>
          <w:sz w:val="16"/>
          <w:szCs w:val="16"/>
          <w:color w:val="auto"/>
        </w:rPr>
      </w:pPr>
      <w:r>
        <w:rPr>
          <w:rFonts w:ascii="Arial" w:cs="Arial" w:eastAsia="Arial" w:hAnsi="Arial"/>
          <w:sz w:val="16"/>
          <w:szCs w:val="16"/>
          <w:color w:val="auto"/>
        </w:rPr>
        <w:t xml:space="preserve">Whenever the Borrower desires the issuance, amendment, extension or increase of a Letter of Credit, it shall deliver to the Administrative Agent and the applicable Issuing Bank (i) in the case of a request for the issuance of a Letter of Credit, an Issuance Notice and Application no later than 1:00 p.m. (New York City time) at least five Business Days in advance of the proposed date of issuance and (ii) in the case of a request for the amendment, extension or increase of a Letter of Credit, a notice and/or letter of credit application, in such form as specified by the applicable Issuing Bank, identifying the Letter of Credit to be amended, extended or increased and specifying the requested date of amendment, extension or increase (which shall be a Business Day), the date on which such Letter of Credit is to expire (which shall comply with paragraph (a) of this Section), the amount and currency (which shall be dollars or an Alternative Currency) of such Letter of Credit and such other information as shall be necessary to enable the applicable Issuing Bank to amend, extend or increase such Letter of Credit, no later than 1:00 p.m. (New York City time) at least five Business Days in advance of the proposed date of such amendment, extension or increase (or such shorter period as the applicable Issuing Bank may agree to in its sole discretion). Each notice or letter of credit application delivered pursuant to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be accompanied by documentary and other evidence of the proposed beneficiary’s identity as may reasonably be requested by the applicable Issuing Bank to enable such Issuing Bank to verify the beneficiary’s identity or to comply with any applicable laws or regulations, including the USA Patriot Act. Upon satisfaction or waiver of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the applicable Issuing Bank shall issue or amend, extend or increase the requested Letter of Credit only in accordance with such Issuing Bank’s standard operating procedures as in effect from time to time. Notwithstanding any other provision of this Agreement or any other Loan Document to the contrary, no Issuing Bank shall be required to issue, amend, extend or increase any Letter of Credit if such Letter of Credit would violate one or more provisions of any applicable law, rule or regulation or such Issuing Bank’s standard policies and procedures regarding the issuance of letters of credit as in effect from time to time (to the extent not in conflict with the requirements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as otherwise accepted by the Borrower). Notwithstanding anything contained in any Application furnished to any Issuing Bank in connection with the issuance of any Letter of Credit or any notice or letter of credit application furnished to any Issuing Bank in connection with the amendment, extension or increase of any Letter of Credit, (i) all provisions of any such Application or notice or letter of credit application purporting to grant Liens in favor of such Issuing Bank to secure obligations in respect of such Letter of Credit shall be disregarded, it being agreed that such obligations shall</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416" w:name="page417"/>
    <w:bookmarkEnd w:id="416"/>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 secured solely to the extent provided in this Agreement and in the Collateral Documents, and (ii) in the event of any conflict between the terms and conditions of such Application or notice or letter of credit application, on the one hand, and the terms and conditions of this Agreement, on the other hand, the terms and conditions of this Agreement shall control. Upon the issuance of any Letter of Credit or amendment, extension or increase thereof, the applicable Issuing Bank shall promptly notify the Administrative Agent, and the Administrative Agent shall promptly notify each Lender of the Dollar Equivalent thereof and the currency in which such Letter of Credit is denominated, which notice from the Administrative Agent shall be accompanied by a copy of such Letter of Credit or amendment, extension or increase thereof and the Dollar Equivalent of such Lender’s respective participation in such Letter of Credit pursuant to </w:t>
      </w:r>
      <w:r>
        <w:rPr>
          <w:rFonts w:ascii="Arial" w:cs="Arial" w:eastAsia="Arial" w:hAnsi="Arial"/>
          <w:sz w:val="17"/>
          <w:szCs w:val="17"/>
          <w:u w:val="single" w:color="auto"/>
          <w:color w:val="auto"/>
        </w:rPr>
        <w:t>Section 2.4(e)</w:t>
      </w:r>
      <w:r>
        <w:rPr>
          <w:rFonts w:ascii="Arial" w:cs="Arial" w:eastAsia="Arial" w:hAnsi="Arial"/>
          <w:sz w:val="17"/>
          <w:szCs w:val="17"/>
          <w:color w:val="auto"/>
        </w:rPr>
        <w:t>.</w:t>
      </w:r>
    </w:p>
    <w:p>
      <w:pPr>
        <w:spacing w:after="0" w:line="69" w:lineRule="exact"/>
        <w:rPr>
          <w:sz w:val="20"/>
          <w:szCs w:val="20"/>
          <w:color w:val="auto"/>
        </w:rPr>
      </w:pPr>
    </w:p>
    <w:p>
      <w:pPr>
        <w:ind w:firstLine="987"/>
        <w:spacing w:after="0" w:line="284" w:lineRule="auto"/>
        <w:tabs>
          <w:tab w:leader="none" w:pos="1371" w:val="left"/>
        </w:tabs>
        <w:numPr>
          <w:ilvl w:val="0"/>
          <w:numId w:val="485"/>
        </w:numPr>
        <w:rPr>
          <w:rFonts w:ascii="Arial" w:cs="Arial" w:eastAsia="Arial" w:hAnsi="Arial"/>
          <w:sz w:val="16"/>
          <w:szCs w:val="16"/>
          <w:color w:val="auto"/>
        </w:rPr>
      </w:pPr>
      <w:r>
        <w:rPr>
          <w:rFonts w:ascii="Arial" w:cs="Arial" w:eastAsia="Arial" w:hAnsi="Arial"/>
          <w:sz w:val="16"/>
          <w:szCs w:val="16"/>
          <w:color w:val="auto"/>
        </w:rPr>
        <w:t xml:space="preserve">In determining whether to honor any drawing under any Letter of Credit by the beneficiary(ies)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As between the Borrower and an Issuing Bank, the Borrower assumes all risks of the acts and omissions of, or misuse of the Letters of Credit issued by such Issuing Bank, by the respective beneficiaries of such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assumption of risk by the Borrower shall not affect any rights that the Borrower may have against any such beneficiary. In furtherance and not in limitation of the foregoing, an Issuing Bank shall not be responsible or have any liability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any beneficiary of any such Letter of Credit of the proceeds of any drawing under such Letter of Credit; (viii) any other action or inaction taken or suffered by such Issuing Bank under or in connection with any such Letter of Credit, if required under, or expressly authorized under the circumstances by, any applicable domestic or foreign law or letter of credit practice or (ix) any consequences arising from causes beyond the control of such Issuing Bank, including any Governmental Acts; none of the above shall affect or impair, or prevent the vesting of, any of such Issuing Bank’s rights or powers hereunder or place such Issuing Bank under any liability to the Borrower. Without limiting the foregoing and in furtherance thereof, any action taken or omitted by any Issuing Bank under or in connection with any Letter of Credit issued by it or any documents and certificates delivered thereunder, if taken or omitted in “good faith” (as such term is defined in Article 5 of the New York Uniform Commercial Code),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417" w:name="page418"/>
    <w:bookmarkEnd w:id="4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not give rise to any liability on the part of such Issuing Bank to the Borrower. Notwithstanding anything to the contrary contained in this</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Section 2.4(c)</w:t>
      </w:r>
      <w:r>
        <w:rPr>
          <w:rFonts w:ascii="Arial" w:cs="Arial" w:eastAsia="Arial" w:hAnsi="Arial"/>
          <w:sz w:val="17"/>
          <w:szCs w:val="17"/>
          <w:color w:val="auto"/>
        </w:rPr>
        <w:t>, the applicable Issuing Bank shall not be excused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determined by a final, non-appealable judgment of a court of competent jurisdiction), such Issuing Bank shall be deemed to have exercised care in each such determination.</w:t>
      </w:r>
    </w:p>
    <w:p>
      <w:pPr>
        <w:spacing w:after="0" w:line="70" w:lineRule="exact"/>
        <w:rPr>
          <w:sz w:val="20"/>
          <w:szCs w:val="20"/>
          <w:color w:val="auto"/>
        </w:rPr>
      </w:pPr>
    </w:p>
    <w:p>
      <w:pPr>
        <w:ind w:firstLine="987"/>
        <w:spacing w:after="0" w:line="284" w:lineRule="auto"/>
        <w:tabs>
          <w:tab w:leader="none" w:pos="1381"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In the event any Issuing Bank has honored a drawing under a Letter of Credit on any date (a “</w:t>
      </w:r>
      <w:r>
        <w:rPr>
          <w:rFonts w:ascii="Arial" w:cs="Arial" w:eastAsia="Arial" w:hAnsi="Arial"/>
          <w:sz w:val="16"/>
          <w:szCs w:val="16"/>
          <w:u w:val="single" w:color="auto"/>
          <w:color w:val="auto"/>
        </w:rPr>
        <w:t>Disbursement Date</w:t>
      </w:r>
      <w:r>
        <w:rPr>
          <w:rFonts w:ascii="Arial" w:cs="Arial" w:eastAsia="Arial" w:hAnsi="Arial"/>
          <w:sz w:val="16"/>
          <w:szCs w:val="16"/>
          <w:color w:val="auto"/>
        </w:rPr>
        <w:t>”), it shall promptly notify the Borrower and the Administrative Agent of the amount of such drawing in the currency in which such Letter of Credit is denominated and of the applicable Disbursement Date. In the case of any such drawing in an Alternative Currency, the Borrower’s obligation to reimburse the amount of such drawing will, on the applicable Disbursement Date, automatically be converted into an obligation to reimburse the Dollar Equivalent (determined as of such Disbursement Date) of the amount of such Alternative Currency drawing. The Borrower shall reimburse such Issuing Bank on or before the Business Day immediately following the date on which such drawing is honored (the “</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in an amount in same day funds equal to the dollar amount or Dollar Equivalent, as applicable, of such honored drawing, together in each case with accrued and unpaid interest as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dollar amount or Dollar Equivalent, as applicable, of such honored drawing is $500,000 or more, the Borrower may, subject to the conditions to borrowing set forth herein, request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that such payment be financed with a Swing Line Loan or an ABR Borrowing and, to the extent so financed, the Borrower’s obligation to make such payment shall be discharged and replaced by the resulting Swing Line Loan or ABR Borrowing. If the Borrower fails to reimburse any honored drawing under any Letter of Credit on or before the Reimbursement Date, the Administrative Agent shall notify each Lender of such failure, the payment then due from the Borrower in respect of such honored drawing, and such Lender’s Applicable Percentage thereof. Promptly following receipt of such notice, each Lender shall pay to the Administrative Agent, in dollars, its Applicable Percentage of the amount then due from the Borrower, in the same manner as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honored drawing under a Letter of Credit (other than the funding of a Swing Line Loan or an ABR Borrowing as contemplated above) shall not constitute a Loan and shall not relieve the Borrower of its obligation to reimburse such drawing. If any Lender fails to make available to the Administrative Agent for the account of the relevant Issuing Bank any amount required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418" w:name="page419"/>
    <w:bookmarkEnd w:id="418"/>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paid by such Lender pursuant to the foregoing provisions of this Section 2.4(d) by the time specified herein,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NYFRB Rate and a rate determined by the Administrative Agent in accordance with banking industry rules on interbank compensation from time to time in effect.</w:t>
      </w:r>
    </w:p>
    <w:p>
      <w:pPr>
        <w:spacing w:after="0" w:line="80" w:lineRule="exact"/>
        <w:rPr>
          <w:sz w:val="20"/>
          <w:szCs w:val="20"/>
          <w:color w:val="auto"/>
        </w:rPr>
      </w:pPr>
    </w:p>
    <w:p>
      <w:pPr>
        <w:ind w:firstLine="987"/>
        <w:spacing w:after="0" w:line="284" w:lineRule="auto"/>
        <w:tabs>
          <w:tab w:leader="none" w:pos="1371" w:val="left"/>
        </w:tabs>
        <w:numPr>
          <w:ilvl w:val="0"/>
          <w:numId w:val="487"/>
        </w:numPr>
        <w:rPr>
          <w:rFonts w:ascii="Arial" w:cs="Arial" w:eastAsia="Arial" w:hAnsi="Arial"/>
          <w:sz w:val="16"/>
          <w:szCs w:val="16"/>
          <w:color w:val="auto"/>
        </w:rPr>
      </w:pPr>
      <w:r>
        <w:rPr>
          <w:rFonts w:ascii="Arial" w:cs="Arial" w:eastAsia="Arial" w:hAnsi="Arial"/>
          <w:sz w:val="16"/>
          <w:szCs w:val="16"/>
          <w:color w:val="auto"/>
        </w:rPr>
        <w:t xml:space="preserve">Immediately upon the issuance, extension or increase of each Letter of Credit, without any further action by any Person, the applicable Issuing Bank shall be deemed to have sold to each Lender and each Lender shall have been deemed to have purchased from such Issuing Bank a participation in such Letter of Credit and any drawings honored thereunder in an amount equal to such Lender’s Applicable Percentage of the maximum amount which is or at any time may become available to be drawn thereunder. In consideration and in furtherance of the foregoing, each Lender hereby irrevocably, absolutely and unconditionally agrees to pay to the Administrative Agent, for the account of such Issuing Bank, such Lender’s Applicable Percentage of each drawing (or, in the case of a Letter of Credit denominated in an Alternative Currency, of the Dollar Equivalent of each drawing) honored by such Issuing Bank under such Letter of Credit and not reimbursed by the Borrower on or prior to the applicable Reimbursement Date, or of any reimbursement payment required to be refunded to the Borrower or otherwise returned for any reason. Each Lender acknowledges and agrees that its obligation to fund participations pursuant to this paragraph in respect of Letters of Credit is irrevocable, absolute and unconditional and shall not be affected by any circumstance whatsoever, including any amendment, extension or increase of any Letter of Credit, the occurrence and continuance of a Default, any reduction or termination of the Commitments or any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or other event that under any rule of law or uniform practices to which any Letter of Credit is subject (including Rules 3.13 and 3.14 of ISP 98) permits a drawing to be made under such Letter of Credit after the expiration thereof or after the expiration or termination of the Commitments or any other circumstance or happening whatsoever, whether or not similar to any of the foregoing, including those set forth in the following paragraph (f), and that each such payment shall be made without any defense, offset, abatement, withholding or reduction whatsoever and in the currency of such honored drawing. Each Lender further acknowledges and agrees that, in issuing, amending, extending or increasing any Letter of Credit, the applicable Issuing Bank shall be entitled to rely, and shall not incur any liability for relying, upon the representations and warranties of the Borrower deemed made pursuant to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4.2, unless, at least one Business Day prior to the time such Letter of Credit is issued, amended, extended or increased (or, in the case of an automatic extension permitted pursuant to paragraph (a) of this Section, at least one Business Day prior to the time by which the election not to extend must be made by the applicable Issuing Bank), the Required Lenders or the Borrower shall have notified the applicable Issuing Bank (with a copy to the Administrative Agent) in writing that, as a result of one or more events or circumstances described in such notice, one or more of the conditions precedent set forth in </w:t>
      </w:r>
      <w:r>
        <w:rPr>
          <w:rFonts w:ascii="Arial" w:cs="Arial" w:eastAsia="Arial" w:hAnsi="Arial"/>
          <w:sz w:val="16"/>
          <w:szCs w:val="16"/>
          <w:u w:val="single" w:color="auto"/>
          <w:color w:val="auto"/>
        </w:rPr>
        <w:t>Section 2.4(a)(iii)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2.4(a)(iv)</w:t>
      </w:r>
      <w:r>
        <w:rPr>
          <w:rFonts w:ascii="Arial" w:cs="Arial" w:eastAsia="Arial" w:hAnsi="Arial"/>
          <w:sz w:val="16"/>
          <w:szCs w:val="16"/>
          <w:color w:val="auto"/>
        </w:rPr>
        <w:t xml:space="preserve">, </w:t>
      </w:r>
      <w:r>
        <w:rPr>
          <w:rFonts w:ascii="Arial" w:cs="Arial" w:eastAsia="Arial" w:hAnsi="Arial"/>
          <w:sz w:val="16"/>
          <w:szCs w:val="16"/>
          <w:u w:val="single" w:color="auto"/>
          <w:color w:val="auto"/>
        </w:rPr>
        <w:t>2.4(a)(v)</w:t>
      </w:r>
      <w:r>
        <w:rPr>
          <w:rFonts w:ascii="Arial" w:cs="Arial" w:eastAsia="Arial" w:hAnsi="Arial"/>
          <w:sz w:val="16"/>
          <w:szCs w:val="16"/>
          <w:color w:val="auto"/>
        </w:rPr>
        <w:t xml:space="preserve">, </w:t>
      </w:r>
      <w:r>
        <w:rPr>
          <w:rFonts w:ascii="Arial" w:cs="Arial" w:eastAsia="Arial" w:hAnsi="Arial"/>
          <w:sz w:val="16"/>
          <w:szCs w:val="16"/>
          <w:u w:val="single" w:color="auto"/>
          <w:color w:val="auto"/>
        </w:rPr>
        <w:t>4.2(b)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4.2(c)</w:t>
      </w:r>
      <w:r>
        <w:rPr>
          <w:rFonts w:ascii="Arial" w:cs="Arial" w:eastAsia="Arial" w:hAnsi="Arial"/>
          <w:sz w:val="16"/>
          <w:szCs w:val="16"/>
          <w:color w:val="auto"/>
        </w:rPr>
        <w:t xml:space="preserve"> would not be satisfied if such Letter of Credit were then issued, amended, extended or increased (it being understood and agreed that, in the event any Issuing Bank shall have received any such notice, no Issuing Bank shall have any obligation to issue, amend, extend or increase any Letter of Credit until and unless it shall be satisfied that the events and circumstances described in such notice shall have been cured or otherwise shall have ceased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6546215</wp:posOffset>
            </wp:positionH>
            <wp:positionV relativeFrom="paragraph">
              <wp:posOffset>-1140460</wp:posOffset>
            </wp:positionV>
            <wp:extent cx="17145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80"/>
          </w:cols>
          <w:pgMar w:left="440" w:top="274" w:right="579" w:bottom="1440" w:gutter="0" w:footer="0" w:header="0"/>
        </w:sectPr>
      </w:pPr>
    </w:p>
    <w:bookmarkStart w:id="419" w:name="page420"/>
    <w:bookmarkEnd w:id="419"/>
    <w:p>
      <w:pPr>
        <w:ind w:firstLine="987"/>
        <w:spacing w:after="0" w:line="268" w:lineRule="auto"/>
        <w:tabs>
          <w:tab w:leader="none" w:pos="1348" w:val="left"/>
        </w:tabs>
        <w:numPr>
          <w:ilvl w:val="0"/>
          <w:numId w:val="4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obligation of the Borrower to reimburse each Issuing Bank for drawings honored under the Letters of Credit issued by it shall be absolute, unconditional and irrevocable and shall be paid strictly in accordance with the terms hereof under all circumstances including any of the following circumstances: (i) any lack of validity or enforceability of any Letter of Credit; (ii) the existence of any claim, set off, defense or other right which the Borrower may have at any time against a beneficiary or any transferee of any Letter of Credit (or any Persons for whom any such transferee may be acting), any Issuing Bank, Lender or any other Person, whether in connection herewith, the transactions contemplated herein or any unrelated transaction (including any underlying transaction between the Borrower or one of its Restricted Subsidiaries and the beneficiary(ies) for which any Letter of Credit was procured); (iii) any draft or other document presented under any Letter of Credit proving to be forged, fraudulent, invalid or insufficient in any respect or any statement therein being untrue or inaccurate in any respect; (iv) payment by such Issuing Bank under any Letter of Credit against presentation of a draft or other document which does not substantially comply with the terms of such Letter of Credit; (v) any adverse change in the business, operations, properties, assets, condition (financial or otherwise) or prospects of the Borrower or any of its Restricted Subsidiaries or any other Person; (vi) any breach hereof by any party hereto or any other Loan Document by any party thereto; (vii) any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or other event that under any rule of law or uniform practices to which any Letter of Credit is subject (including Rules 3.13 and 3.14 of ISP 98) permits a drawing to be made under such Letter of Credit after the expiration thereof or after the expiration or termination of the Commitments; (viii) any other circumstance or happening whatsoever, whether or not similar to any of the foregoing; or (ix) the fact that an Event of Default or a Default shall have occurred and be continuing.</w:t>
      </w:r>
    </w:p>
    <w:p>
      <w:pPr>
        <w:spacing w:after="0" w:line="73" w:lineRule="exact"/>
        <w:rPr>
          <w:rFonts w:ascii="Arial" w:cs="Arial" w:eastAsia="Arial" w:hAnsi="Arial"/>
          <w:sz w:val="17"/>
          <w:szCs w:val="17"/>
          <w:color w:val="auto"/>
        </w:rPr>
      </w:pPr>
    </w:p>
    <w:p>
      <w:pPr>
        <w:ind w:right="20" w:firstLine="987"/>
        <w:spacing w:after="0" w:line="269" w:lineRule="auto"/>
        <w:tabs>
          <w:tab w:leader="none" w:pos="1378" w:val="left"/>
        </w:tabs>
        <w:numPr>
          <w:ilvl w:val="0"/>
          <w:numId w:val="488"/>
        </w:numPr>
        <w:rPr>
          <w:rFonts w:ascii="Arial" w:cs="Arial" w:eastAsia="Arial" w:hAnsi="Arial"/>
          <w:sz w:val="17"/>
          <w:szCs w:val="17"/>
          <w:color w:val="auto"/>
        </w:rPr>
      </w:pPr>
      <w:r>
        <w:rPr>
          <w:rFonts w:ascii="Arial" w:cs="Arial" w:eastAsia="Arial" w:hAnsi="Arial"/>
          <w:sz w:val="17"/>
          <w:szCs w:val="17"/>
          <w:color w:val="auto"/>
        </w:rPr>
        <w:t xml:space="preserve">Without duplication of any obligation of the Borrower under </w:t>
      </w:r>
      <w:r>
        <w:rPr>
          <w:rFonts w:ascii="Arial" w:cs="Arial" w:eastAsia="Arial" w:hAnsi="Arial"/>
          <w:sz w:val="17"/>
          <w:szCs w:val="17"/>
          <w:u w:val="single" w:color="auto"/>
          <w:color w:val="auto"/>
        </w:rPr>
        <w:t>Section 10.3</w:t>
      </w:r>
      <w:r>
        <w:rPr>
          <w:rFonts w:ascii="Arial" w:cs="Arial" w:eastAsia="Arial" w:hAnsi="Arial"/>
          <w:sz w:val="17"/>
          <w:szCs w:val="17"/>
          <w:color w:val="auto"/>
        </w:rPr>
        <w:t>, in addition to amounts payable as provided herein, the Borrower hereby agrees to protect, indemnify, pay and save and hold harmless each Issuing Bank from and against any and all claims, demands, liabilities, damages and losses, and all reasonable and documented costs, charges and out-of-pocket expenses (including reasonable fees, out-of-pocket expenses and disbursements of one primary counsel (with exceptions for conflicts of interest) and one local counsel in each relevant jurisdiction), which such Issuing Bank may incur or be subject to as a consequence, direct or indirect, of (i) the issuance, amendment, extension or increase of any Letter of Credit by such Issuing Bank, any demand for payment thereunder, any payment or other action taken or omitted to be taken in connection with such Letter of Credit or this Agreement, or any transaction(s) supported by such Letter of Credit, other than as a result of (1) the gross negligence or willful misconduct of such Issuing Bank as determined by a final, non-appealable judgment of a court of competent jurisdiction or (2) the wrongful dishonor by such Issuing Bank of a presentation under any Letter of Credit which strictly complies with the terms and conditions of such Letter of Credit, or (ii) the failure of such Issuing Bank to honor a drawing under any such Letter of Credit as a result of any Governmental Act. The Borrower will pay all amounts owing under this Section promptly after written demand therefor.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420" w:name="page421"/>
    <w:bookmarkEnd w:id="420"/>
    <w:p>
      <w:pPr>
        <w:ind w:firstLine="987"/>
        <w:spacing w:after="0" w:line="287" w:lineRule="auto"/>
        <w:tabs>
          <w:tab w:leader="none" w:pos="1371" w:val="left"/>
        </w:tabs>
        <w:numPr>
          <w:ilvl w:val="0"/>
          <w:numId w:val="4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Issuing Bank may resign as an Issuing Bank by providing at least 30 days prior written notice to the Administrative Agent, the Lenders and the Borrower. An Issuing Bank may be replaced at any time by written agreement among the Borrower, the Administrative Agent, the replaced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will be required if the replaced Issuing Bank has no Letters of Credit or reimbursement obligations with respect thereto outstanding) and the successor Issuing Bank. The Administrative Agent shall notify the Lenders of any such resignation or replacement of such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At the time any such resignation or replacement shall become effective, (A) the Borrower shall pay all unpaid fees accrued for the account of the resigning or replaced Issuing Bank pursuant to </w:t>
      </w:r>
      <w:r>
        <w:rPr>
          <w:rFonts w:ascii="Arial" w:cs="Arial" w:eastAsia="Arial" w:hAnsi="Arial"/>
          <w:sz w:val="16"/>
          <w:szCs w:val="16"/>
          <w:u w:val="single" w:color="auto"/>
          <w:color w:val="auto"/>
        </w:rPr>
        <w:t>Sections 2.11(c)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(B) the resigning or replaced Issuing Bank shall remain a party hereto to the extent that Letters of Credit issued by it remain outstanding and shall continue to have all the rights and obligations of an Issuing Bank under this Agreement with respect to Letters of Credit issued by it prior to such resignation or replacement. After the replacement or resignation of an Issuing Bank hereunder, the resigning or replaced Issuing Bank shall not be required to issue, amend, extend or increase any Letters of Credit.</w:t>
      </w:r>
    </w:p>
    <w:p>
      <w:pPr>
        <w:spacing w:after="0" w:line="59" w:lineRule="exact"/>
        <w:rPr>
          <w:rFonts w:ascii="Arial" w:cs="Arial" w:eastAsia="Arial" w:hAnsi="Arial"/>
          <w:sz w:val="16"/>
          <w:szCs w:val="16"/>
          <w:color w:val="auto"/>
        </w:rPr>
      </w:pPr>
    </w:p>
    <w:p>
      <w:pPr>
        <w:ind w:right="180" w:firstLine="987"/>
        <w:spacing w:after="0" w:line="293" w:lineRule="auto"/>
        <w:tabs>
          <w:tab w:leader="none" w:pos="133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with the consent of the Administrative Agent (which consent shall not be unreasonably withheld), designate as additional Issuing Banks one or more Lenders that agree to serve in such capacity as provided below. The acceptance by a Lender of an appointment as an Issuing Bank hereunder shall be evidenced by a written agreement, which shall be in form and substance reasonably satisfactory to the Administrative Agent, executed by the Borrower, the Administrative Agent and such designated Lender and, from and after the effective date of such agreement, (i) such Lender shall have all the rights and obligations of an Issuing Bank under this Agreement and (ii) references herein to the term “Issuing Bank” shall be deemed to include such Lender in its capacity as an issuer of Letters of Credit hereunder.</w:t>
      </w:r>
    </w:p>
    <w:p>
      <w:pPr>
        <w:spacing w:after="0" w:line="56" w:lineRule="exact"/>
        <w:rPr>
          <w:rFonts w:ascii="Arial" w:cs="Arial" w:eastAsia="Arial" w:hAnsi="Arial"/>
          <w:sz w:val="16"/>
          <w:szCs w:val="16"/>
          <w:color w:val="auto"/>
        </w:rPr>
      </w:pPr>
    </w:p>
    <w:p>
      <w:pPr>
        <w:ind w:firstLine="987"/>
        <w:spacing w:after="0" w:line="287" w:lineRule="auto"/>
        <w:tabs>
          <w:tab w:leader="none" w:pos="1341" w:val="left"/>
        </w:tabs>
        <w:numPr>
          <w:ilvl w:val="0"/>
          <w:numId w:val="489"/>
        </w:numPr>
        <w:rPr>
          <w:rFonts w:ascii="Arial" w:cs="Arial" w:eastAsia="Arial" w:hAnsi="Arial"/>
          <w:sz w:val="16"/>
          <w:szCs w:val="16"/>
          <w:color w:val="auto"/>
        </w:rPr>
      </w:pPr>
      <w:r>
        <w:rPr>
          <w:rFonts w:ascii="Arial" w:cs="Arial" w:eastAsia="Arial" w:hAnsi="Arial"/>
          <w:sz w:val="16"/>
          <w:szCs w:val="16"/>
          <w:color w:val="auto"/>
        </w:rPr>
        <w:t>If any Event of Default shall occur and be continuing, on the Business Day that the Borrower receives notice from the Administrative Agent or the Required Lenders demanding the deposit of cash collateral pursuant to this paragraph, the Borrower shall deposit in an account with the Administrative Agent, in the name of the Administrative Agent and for the benefit of the Lenders and the Issuing Banks, an amount in cash equal to 103% of Letter of Credit Usage attributable to all outstanding Letter of Credits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Letter of Credit Usage increases at any time following such deposit, the Borrower shall, at the request of the Administrative Agent, deposit additional amounts in cash in dollars so that such deposit account holds at least 103% of the amount of Letter of Credit Usage at any time) plus any accrued and unpaid interest thereon, in each case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cash collateral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Article VIII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Such cash collateral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421" w:name="page422"/>
    <w:bookmarkEnd w:id="42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of such cash collateral, which investments shall be made at the option and sole discretion of the Administrative Agent and at the Borrower’s risk and expense, such cash collateral shall not bear interest. Interest or profits, if any, on such investments shall accumulate in such account. Moneys in such account shall be applied by the Administrative Agent to reimburse the Issuing Banks for any disbursements under Letters of Credit for which they have not been reimbursed and, to the extent not so applied, shall be held as cash collateral for the satisfaction of the reimbursement obligations of the Borrower for the Letter of Credit Usage at such time, and after such cash collateralization and/or payment in full of all Letter of Credit Usage, may be applied to satisfy other obligations of the Borrower under this Agreement. If the Borrower is required to provide amounts of cash collateral hereunder as a result of the occurrence of an Event of Default, such amounts (to the extent not applied as aforesaid) shall be returned to the Borrower (or as otherwise ordered by a court of competent jurisdiction) within five Business Days after all Events of Default have been cured or waived.</w:t>
      </w:r>
    </w:p>
    <w:p>
      <w:pPr>
        <w:spacing w:after="0" w:line="57" w:lineRule="exact"/>
        <w:rPr>
          <w:sz w:val="20"/>
          <w:szCs w:val="20"/>
          <w:color w:val="auto"/>
        </w:rPr>
      </w:pPr>
    </w:p>
    <w:p>
      <w:pPr>
        <w:ind w:firstLine="987"/>
        <w:spacing w:after="0" w:line="290" w:lineRule="auto"/>
        <w:tabs>
          <w:tab w:leader="none" w:pos="1381" w:val="left"/>
        </w:tabs>
        <w:numPr>
          <w:ilvl w:val="0"/>
          <w:numId w:val="490"/>
        </w:numPr>
        <w:rPr>
          <w:rFonts w:ascii="Arial" w:cs="Arial" w:eastAsia="Arial" w:hAnsi="Arial"/>
          <w:sz w:val="16"/>
          <w:szCs w:val="16"/>
          <w:color w:val="auto"/>
        </w:rPr>
      </w:pPr>
      <w:r>
        <w:rPr>
          <w:rFonts w:ascii="Arial" w:cs="Arial" w:eastAsia="Arial" w:hAnsi="Arial"/>
          <w:sz w:val="16"/>
          <w:szCs w:val="16"/>
          <w:color w:val="auto"/>
        </w:rPr>
        <w:t>Unless otherwise expressly agreed by the applicable Issuing Bank and the Borrower when a Letter of Credit is issued, the rules of the ISP 98 (including those relating to payment of fees of correspondent banks in the case of Letters of Credit denominated in Alternative Currencies) shall apply to each Letter of Credit. Notwithstanding the foregoing, no Issuing Bank shall be responsible to the Borrower for, and each Issuing Bank’s rights and remedies against the Borrower shall not be impaired by, any action or inaction of such Issuing Bank required under, or expressly authorized under the circumstances by, any applicable law, order, or practice that is required to be applied to any Letter of Credit or this Agreement, including the law or any order of a jurisdiction where such Issuing Bank or the beneficiary of any Letter of Credit is located, the practice stated in the ISP 98,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To request a Borrowing, the Borrower shall deliver to the Administrative Agent a written Borrowing Request in substantially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attached hereto and signed by the Borrower (a) in the case of a Eurodollar Borrowing, not later than 11:00 a.m., New York City time, three Business Days before the date of the proposed Borrowing, (b) in the case of an ABR Borrowing, not later than 12:00 noon, New York City time, one Business Day prior to the date of the proposed Borrowing or (c) in the case of a Borrowing of a Swing Line Loan, not later than 12:00 noon, New York City time, on the date of the proposed Borrowing. Each such Borrowing Request shall be irrevocable and shall be by hand delivery or telecopy (or facsimile or other electronic transmission (e.g., .pdf via e-mail)) to the Administrative Agent. Each such Borrowing Request shall specify the following information in compliance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69" w:lineRule="exact"/>
        <w:rPr>
          <w:sz w:val="20"/>
          <w:szCs w:val="20"/>
          <w:color w:val="auto"/>
        </w:rPr>
      </w:pPr>
    </w:p>
    <w:p>
      <w:pPr>
        <w:ind w:left="1200" w:hanging="341"/>
        <w:spacing w:after="0"/>
        <w:tabs>
          <w:tab w:leader="none" w:pos="12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aggregate amount of the requested Borrowing;</w:t>
      </w:r>
    </w:p>
    <w:p>
      <w:pPr>
        <w:spacing w:after="0" w:line="117" w:lineRule="exact"/>
        <w:rPr>
          <w:rFonts w:ascii="Arial" w:cs="Arial" w:eastAsia="Arial" w:hAnsi="Arial"/>
          <w:sz w:val="18"/>
          <w:szCs w:val="18"/>
          <w:color w:val="auto"/>
        </w:rPr>
      </w:pPr>
    </w:p>
    <w:p>
      <w:pPr>
        <w:jc w:val="right"/>
        <w:ind w:left="5420" w:right="5380" w:hanging="4561"/>
        <w:spacing w:after="0" w:line="535" w:lineRule="auto"/>
        <w:tabs>
          <w:tab w:leader="none" w:pos="126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date of such Borrowing, which shall be a Business Day; 55</w:t>
      </w:r>
    </w:p>
    <w:p>
      <w:pPr>
        <w:sectPr>
          <w:pgSz w:w="11900" w:h="16838" w:orient="portrait"/>
          <w:cols w:equalWidth="0" w:num="1">
            <w:col w:w="10980"/>
          </w:cols>
          <w:pgMar w:left="440" w:top="274" w:right="479" w:bottom="1440" w:gutter="0" w:footer="0" w:header="0"/>
        </w:sectPr>
      </w:pPr>
    </w:p>
    <w:bookmarkStart w:id="422" w:name="page423"/>
    <w:bookmarkEnd w:id="422"/>
    <w:p>
      <w:pPr>
        <w:ind w:left="1180" w:hanging="321"/>
        <w:spacing w:after="0"/>
        <w:tabs>
          <w:tab w:leader="none" w:pos="11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whether such Borrowing is to be an ABR Borrowing or a Eurodollar Borrowing;</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6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the location and number of the account or accounts to which funds are to be disbursed, which shall comply with the requirements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in the case of any Loan requested to finance the reimbursement of drawing under a Letter of Credit as provided in </w:t>
      </w:r>
      <w:r>
        <w:rPr>
          <w:rFonts w:ascii="Arial" w:cs="Arial" w:eastAsia="Arial" w:hAnsi="Arial"/>
          <w:sz w:val="18"/>
          <w:szCs w:val="18"/>
          <w:u w:val="single" w:color="auto"/>
          <w:color w:val="auto"/>
        </w:rPr>
        <w:t>Section 2.4(d)</w:t>
      </w:r>
      <w:r>
        <w:rPr>
          <w:rFonts w:ascii="Arial" w:cs="Arial" w:eastAsia="Arial" w:hAnsi="Arial"/>
          <w:sz w:val="18"/>
          <w:szCs w:val="18"/>
          <w:color w:val="auto"/>
        </w:rPr>
        <w:t>, the identity of the Issuing Bank that has honored such drawing.</w:t>
      </w:r>
    </w:p>
    <w:p>
      <w:pPr>
        <w:spacing w:after="0" w:line="184"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If no election as to the Type of Borrowing is specified with respect to Revolving Loans,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5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 Line Loans shall be made by the Swing Line Lender to the Borrower by means of a wire transfer to the account specified in such Borrowing Request or to the applicable Issuing Bank, as the case may be, by 3:00 p.m., New York City time, on the requested date of such Swing Line Loan. Except as otherwise specified in the immediately preceding sentence, the Administrative Agent will make such Loans available to the Borrower by promptly crediting the amounts so received, in like funds, to an account or accounts designated by the Borrower in the applicable Borrowing Request.</w:t>
      </w:r>
    </w:p>
    <w:p>
      <w:pPr>
        <w:spacing w:after="0" w:line="69" w:lineRule="exact"/>
        <w:rPr>
          <w:sz w:val="20"/>
          <w:szCs w:val="20"/>
          <w:color w:val="auto"/>
        </w:rPr>
      </w:pPr>
    </w:p>
    <w:p>
      <w:pPr>
        <w:ind w:firstLine="987"/>
        <w:spacing w:after="0" w:line="269" w:lineRule="auto"/>
        <w:tabs>
          <w:tab w:leader="none" w:pos="1246" w:val="left"/>
        </w:tabs>
        <w:numPr>
          <w:ilvl w:val="0"/>
          <w:numId w:val="493"/>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Borrower a corresponding amount. In such event, if a Lender has not in fact made its Applicable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423" w:name="page424"/>
    <w:bookmarkEnd w:id="423"/>
    <w:p>
      <w:pPr>
        <w:ind w:right="4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2.7 </w:t>
      </w:r>
      <w:r>
        <w:rPr>
          <w:rFonts w:ascii="Arial" w:cs="Arial" w:eastAsia="Arial" w:hAnsi="Arial"/>
          <w:sz w:val="17"/>
          <w:szCs w:val="17"/>
          <w:u w:val="single" w:color="auto"/>
          <w:color w:val="auto"/>
        </w:rPr>
        <w:t>Interest Elections</w:t>
      </w:r>
      <w:r>
        <w:rPr>
          <w:rFonts w:ascii="Arial" w:cs="Arial" w:eastAsia="Arial" w:hAnsi="Arial"/>
          <w:sz w:val="17"/>
          <w:szCs w:val="17"/>
          <w:color w:val="auto"/>
        </w:rPr>
        <w:t xml:space="preserve">. (a) Each Borrowing initially shall be of the Type specified in the applicable Borrowing Request and, in the case of a Eurodollar Borrowing, shall have an initial Interest Period as specified in such Borrowing Request or as otherwise provided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 Line Loans shall be made and maintained as ABR Borrowings only.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in accordance with their respective Applicable Percentages, and the Loans comprising each such portion shall be considered a separate Borrowing. This Section shall not apply to Swing Line Loans, which may not be converted or continued.</w:t>
      </w:r>
    </w:p>
    <w:p>
      <w:pPr>
        <w:spacing w:after="0" w:line="70" w:lineRule="exact"/>
        <w:rPr>
          <w:sz w:val="20"/>
          <w:szCs w:val="20"/>
          <w:color w:val="auto"/>
        </w:rPr>
      </w:pPr>
    </w:p>
    <w:p>
      <w:pPr>
        <w:ind w:right="180" w:firstLine="987"/>
        <w:spacing w:after="0" w:line="257" w:lineRule="auto"/>
        <w:tabs>
          <w:tab w:leader="none" w:pos="1246" w:val="left"/>
        </w:tabs>
        <w:numPr>
          <w:ilvl w:val="2"/>
          <w:numId w:val="494"/>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deliver to the Administrative Agent a written request (an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 Request</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signed by the Borrower by the time that a Borrowing Request would be required under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if the Borrower were requesting a Borrowing of the Type resulting from such election to be made on the effective date of such election. Each such request shall be irrevocable and shall be by hand delivery or telecopy (or facsimile or other electronic transmission (e.g., .pdf via e-mail)) to the Administrative Agent.</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2"/>
          <w:numId w:val="494"/>
        </w:numPr>
        <w:rPr>
          <w:rFonts w:ascii="Arial" w:cs="Arial" w:eastAsia="Arial" w:hAnsi="Arial"/>
          <w:sz w:val="18"/>
          <w:szCs w:val="18"/>
          <w:color w:val="auto"/>
        </w:rPr>
      </w:pPr>
      <w:r>
        <w:rPr>
          <w:rFonts w:ascii="Arial" w:cs="Arial" w:eastAsia="Arial" w:hAnsi="Arial"/>
          <w:sz w:val="18"/>
          <w:szCs w:val="18"/>
          <w:color w:val="auto"/>
        </w:rPr>
        <w:t xml:space="preserve">Each Interest Election Request shall specify the following information in compliance with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firstLine="419"/>
        <w:spacing w:after="0" w:line="291" w:lineRule="auto"/>
        <w:tabs>
          <w:tab w:leader="none" w:pos="1078"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740" w:hanging="304"/>
        <w:spacing w:after="0"/>
        <w:tabs>
          <w:tab w:leader="none" w:pos="7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below shall be specified for each resulting Borrowing);</w:t>
      </w:r>
    </w:p>
    <w:p>
      <w:pPr>
        <w:spacing w:after="0" w:line="102" w:lineRule="exact"/>
        <w:rPr>
          <w:rFonts w:ascii="Arial" w:cs="Arial" w:eastAsia="Arial" w:hAnsi="Arial"/>
          <w:sz w:val="18"/>
          <w:szCs w:val="18"/>
          <w:color w:val="auto"/>
        </w:rPr>
      </w:pPr>
    </w:p>
    <w:p>
      <w:pPr>
        <w:ind w:left="1120" w:hanging="261"/>
        <w:spacing w:after="0"/>
        <w:tabs>
          <w:tab w:leader="none" w:pos="112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117" w:lineRule="exact"/>
        <w:rPr>
          <w:rFonts w:ascii="Arial" w:cs="Arial" w:eastAsia="Arial" w:hAnsi="Arial"/>
          <w:sz w:val="18"/>
          <w:szCs w:val="18"/>
          <w:color w:val="auto"/>
        </w:rPr>
      </w:pPr>
    </w:p>
    <w:p>
      <w:pPr>
        <w:ind w:left="440" w:right="320" w:firstLine="419"/>
        <w:spacing w:after="0" w:line="277" w:lineRule="auto"/>
        <w:tabs>
          <w:tab w:leader="none" w:pos="1168" w:val="left"/>
        </w:tabs>
        <w:numPr>
          <w:ilvl w:val="1"/>
          <w:numId w:val="496"/>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424" w:name="page425"/>
    <w:bookmarkEnd w:id="424"/>
    <w:p>
      <w:pPr>
        <w:ind w:right="260" w:firstLine="987"/>
        <w:spacing w:after="0" w:line="277" w:lineRule="auto"/>
        <w:tabs>
          <w:tab w:leader="none" w:pos="1246" w:val="left"/>
        </w:tabs>
        <w:numPr>
          <w:ilvl w:val="0"/>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following receipt of an Interest Election Request, the Administrative Agent shall advise each Lender of the details thereof and of such Lender’s portion of each resulting Borrowing.</w:t>
      </w:r>
    </w:p>
    <w:p>
      <w:pPr>
        <w:spacing w:after="0" w:line="62" w:lineRule="exact"/>
        <w:rPr>
          <w:rFonts w:ascii="Arial" w:cs="Arial" w:eastAsia="Arial" w:hAnsi="Arial"/>
          <w:sz w:val="18"/>
          <w:szCs w:val="18"/>
          <w:color w:val="auto"/>
        </w:rPr>
      </w:pPr>
    </w:p>
    <w:p>
      <w:pPr>
        <w:ind w:firstLine="987"/>
        <w:spacing w:after="0" w:line="275" w:lineRule="auto"/>
        <w:tabs>
          <w:tab w:leader="none" w:pos="123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continued as a Eurodollar Borrowing with an Interest Period of one month’s duration. Notwithstanding any contrary provision hereof, if an Event of Default has occurred and is continuing, (i) no outstanding Borrowing may be converted to or continued as a Eurodollar Borrowing and (ii) unless repaid, each Eurodollar Borrowing shall be converted to an ABR Borrowing at the end of the Interest Period applicable thereto.</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Unless previously terminated, the Commitments shall terminate on the Commitment Termination Date.</w:t>
      </w:r>
    </w:p>
    <w:p>
      <w:pPr>
        <w:spacing w:after="0" w:line="117"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 and not less than $5,000,000 and (ii) the Borrower shall not terminate or reduce the Commitments if, after giving effect to any concurrent prepayment of the Loans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the Total Utilization of Commitments would exceed the total Commitments.</w:t>
      </w:r>
    </w:p>
    <w:p>
      <w:pPr>
        <w:spacing w:after="0" w:line="78" w:lineRule="exact"/>
        <w:rPr>
          <w:rFonts w:ascii="Arial" w:cs="Arial" w:eastAsia="Arial" w:hAnsi="Arial"/>
          <w:sz w:val="18"/>
          <w:szCs w:val="18"/>
          <w:color w:val="auto"/>
        </w:rPr>
      </w:pPr>
    </w:p>
    <w:p>
      <w:pPr>
        <w:ind w:right="60" w:firstLine="987"/>
        <w:spacing w:after="0" w:line="271" w:lineRule="auto"/>
        <w:tabs>
          <w:tab w:leader="none" w:pos="1236" w:val="left"/>
        </w:tabs>
        <w:numPr>
          <w:ilvl w:val="0"/>
          <w:numId w:val="498"/>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or reduction of the Commitments delivered by the Borrower may state that such notice is conditioned upon the effectiveness of other credit facilities or another transaction,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applied to the Lenders in accordance with their respective Applicable Percentages.</w:t>
      </w:r>
    </w:p>
    <w:p>
      <w:pPr>
        <w:spacing w:after="0" w:line="70" w:lineRule="exact"/>
        <w:rPr>
          <w:rFonts w:ascii="Arial" w:cs="Arial" w:eastAsia="Arial" w:hAnsi="Arial"/>
          <w:sz w:val="17"/>
          <w:szCs w:val="17"/>
          <w:color w:val="auto"/>
        </w:rPr>
      </w:pPr>
    </w:p>
    <w:p>
      <w:pPr>
        <w:ind w:right="640" w:firstLine="987"/>
        <w:spacing w:after="0" w:line="308" w:lineRule="auto"/>
        <w:tabs>
          <w:tab w:leader="none" w:pos="1246" w:val="left"/>
        </w:tabs>
        <w:numPr>
          <w:ilvl w:val="0"/>
          <w:numId w:val="498"/>
        </w:numPr>
        <w:rPr>
          <w:rFonts w:ascii="Arial" w:cs="Arial" w:eastAsia="Arial" w:hAnsi="Arial"/>
          <w:sz w:val="17"/>
          <w:szCs w:val="17"/>
          <w:color w:val="auto"/>
        </w:rPr>
      </w:pPr>
      <w:r>
        <w:rPr>
          <w:rFonts w:ascii="Arial" w:cs="Arial" w:eastAsia="Arial" w:hAnsi="Arial"/>
          <w:sz w:val="17"/>
          <w:szCs w:val="17"/>
          <w:color w:val="auto"/>
        </w:rPr>
        <w:t>If, after giving effect to any reduction of the Revolving Commitments, the Letter of Credit Sublimit exceeds the amount of the Revolving Commitments, such Letter of Credit Sublimit shall be automatically reduced by the amount of such excess.</w:t>
      </w:r>
    </w:p>
    <w:p>
      <w:pPr>
        <w:spacing w:after="0" w:line="146"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xml:space="preserve">. (a) The Borrower hereby unconditionally promises to pay (i) to the Administrative Agent for the account of each Lender the then unpaid principal amount of each Revolving Loan on the Maturity Date and (ii) to the Swing Line Lender the then unpaid principal amount of each Swing Line Loan on the earlier of the Maturity Date and the first date after such Swing Line Loan is made that is the 15th or last day of a calendar month and is at least two Business Days after such Swing 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Borrowing consisting of Revolving Loans is made, the Borrower shall repay all Swing Line Loans that were outstanding on the date such Borrowing was requested.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425" w:name="page426"/>
    <w:bookmarkEnd w:id="425"/>
    <w:p>
      <w:pPr>
        <w:ind w:right="180" w:firstLine="987"/>
        <w:spacing w:after="0" w:line="263" w:lineRule="auto"/>
        <w:tabs>
          <w:tab w:leader="none" w:pos="1246" w:val="left"/>
        </w:tabs>
        <w:numPr>
          <w:ilvl w:val="0"/>
          <w:numId w:val="4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75" w:lineRule="exact"/>
        <w:rPr>
          <w:rFonts w:ascii="Arial" w:cs="Arial" w:eastAsia="Arial" w:hAnsi="Arial"/>
          <w:sz w:val="18"/>
          <w:szCs w:val="18"/>
          <w:color w:val="auto"/>
        </w:rPr>
      </w:pPr>
    </w:p>
    <w:p>
      <w:pPr>
        <w:ind w:right="100" w:firstLine="987"/>
        <w:spacing w:after="0" w:line="259" w:lineRule="auto"/>
        <w:tabs>
          <w:tab w:leader="none" w:pos="123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78"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78" w:lineRule="exact"/>
        <w:rPr>
          <w:rFonts w:ascii="Arial" w:cs="Arial" w:eastAsia="Arial" w:hAnsi="Arial"/>
          <w:sz w:val="18"/>
          <w:szCs w:val="18"/>
          <w:color w:val="auto"/>
        </w:rPr>
      </w:pPr>
    </w:p>
    <w:p>
      <w:pPr>
        <w:ind w:right="40" w:firstLine="987"/>
        <w:spacing w:after="0" w:line="279" w:lineRule="auto"/>
        <w:tabs>
          <w:tab w:leader="none" w:pos="1236" w:val="left"/>
        </w:tabs>
        <w:numPr>
          <w:ilvl w:val="0"/>
          <w:numId w:val="499"/>
        </w:numPr>
        <w:rPr>
          <w:rFonts w:ascii="Arial" w:cs="Arial" w:eastAsia="Arial" w:hAnsi="Arial"/>
          <w:sz w:val="17"/>
          <w:szCs w:val="17"/>
          <w:color w:val="auto"/>
        </w:rPr>
      </w:pPr>
      <w:r>
        <w:rPr>
          <w:rFonts w:ascii="Arial" w:cs="Arial" w:eastAsia="Arial" w:hAnsi="Arial"/>
          <w:sz w:val="17"/>
          <w:szCs w:val="17"/>
          <w:color w:val="auto"/>
        </w:rPr>
        <w:t xml:space="preserve">Any Lender may request that Loans made by it be evidenced by a Note. In such event, the Borrower shall prepare, execute and deliver to such Lender a Note payable to such Lender (or, if requested by such Lender, to such Lender and its registered assigns). Thereafter, the Loans evidenced by such Note and interest thereon shall at all times (including after assignment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be represented by one or more Notes in such form payable to the payee named therein (or, if such Note is a registered note, to such payee and its registered assigns).</w:t>
      </w:r>
    </w:p>
    <w:p>
      <w:pPr>
        <w:spacing w:after="0" w:line="17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Prepayment of Loans</w:t>
      </w:r>
      <w:r>
        <w:rPr>
          <w:rFonts w:ascii="Arial" w:cs="Arial" w:eastAsia="Arial" w:hAnsi="Arial"/>
          <w:sz w:val="16"/>
          <w:szCs w:val="16"/>
          <w:color w:val="auto"/>
        </w:rPr>
        <w:t xml:space="preserve">. (a) The Borrower shall have the right at any time and from time to time to prepay any Borrowing in whole or in part, without premium or penalty (subject to the requirements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subject to prior notice in accordance with this Section. The Borrower shall notify the Administrative Agent (and, in the case of prepayment of a Swing Line Loan, the Swing Line Lender) in writing (by telecopy or facsimile or other electronic transmission) or hand delivery of written notice) of any prepayment hereunder (i) in the case of prepayment of a Eurodollar Borrowing, not later than 11:00 a.m., New York City time, three Business Days before the date of prepayment, (ii) in the case of prepayment of an ABR Borrowing, not later than 12:00 noon, New York City time, one Business Day before the date of prepayment and (iii) in the case of prepayment of a Swing 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reduction or termination of the Commitments as contemplated by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such notice of prepayment may be revoked if such notice of reduction or termination is revoked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426" w:name="page427"/>
    <w:bookmarkEnd w:id="426"/>
    <w:p>
      <w:pPr>
        <w:ind w:right="140" w:firstLine="987"/>
        <w:spacing w:after="0" w:line="277" w:lineRule="auto"/>
        <w:tabs>
          <w:tab w:leader="none" w:pos="1246" w:val="left"/>
        </w:tabs>
        <w:numPr>
          <w:ilvl w:val="0"/>
          <w:numId w:val="5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shall from time to time prepay </w:t>
      </w:r>
      <w:r>
        <w:rPr>
          <w:rFonts w:ascii="Arial" w:cs="Arial" w:eastAsia="Arial" w:hAnsi="Arial"/>
          <w:sz w:val="18"/>
          <w:szCs w:val="18"/>
          <w:i w:val="1"/>
          <w:iCs w:val="1"/>
          <w:color w:val="auto"/>
        </w:rPr>
        <w:t>first</w:t>
      </w:r>
      <w:r>
        <w:rPr>
          <w:rFonts w:ascii="Arial" w:cs="Arial" w:eastAsia="Arial" w:hAnsi="Arial"/>
          <w:sz w:val="18"/>
          <w:szCs w:val="18"/>
          <w:color w:val="auto"/>
        </w:rPr>
        <w:t xml:space="preserve">, the Swing Line Loans, and </w:t>
      </w:r>
      <w:r>
        <w:rPr>
          <w:rFonts w:ascii="Arial" w:cs="Arial" w:eastAsia="Arial" w:hAnsi="Arial"/>
          <w:sz w:val="18"/>
          <w:szCs w:val="18"/>
          <w:i w:val="1"/>
          <w:iCs w:val="1"/>
          <w:color w:val="auto"/>
        </w:rPr>
        <w:t>second</w:t>
      </w:r>
      <w:r>
        <w:rPr>
          <w:rFonts w:ascii="Arial" w:cs="Arial" w:eastAsia="Arial" w:hAnsi="Arial"/>
          <w:sz w:val="18"/>
          <w:szCs w:val="18"/>
          <w:color w:val="auto"/>
        </w:rPr>
        <w:t>, the Revolving Loans to the extent necessary so that the Total Utilization of Commitments shall not at any time exceed the Commitments then in effect.</w:t>
      </w:r>
    </w:p>
    <w:p>
      <w:pPr>
        <w:spacing w:after="0" w:line="62" w:lineRule="exact"/>
        <w:rPr>
          <w:rFonts w:ascii="Arial" w:cs="Arial" w:eastAsia="Arial" w:hAnsi="Arial"/>
          <w:sz w:val="18"/>
          <w:szCs w:val="18"/>
          <w:color w:val="auto"/>
        </w:rPr>
      </w:pPr>
    </w:p>
    <w:p>
      <w:pPr>
        <w:jc w:val="both"/>
        <w:ind w:right="240" w:firstLine="987"/>
        <w:spacing w:after="0" w:line="263" w:lineRule="auto"/>
        <w:tabs>
          <w:tab w:leader="none" w:pos="123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Each prepayment of a Borrowing shall be applied ratably to the Loans of the Lenders in accordance with their respective Applicable Percentages. Prepayments shall be accompanied by accrued interest to the extent required by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any costs incurred as contemplated by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84"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Fees</w:t>
      </w:r>
      <w:r>
        <w:rPr>
          <w:rFonts w:ascii="Arial" w:cs="Arial" w:eastAsia="Arial" w:hAnsi="Arial"/>
          <w:sz w:val="17"/>
          <w:szCs w:val="17"/>
          <w:color w:val="auto"/>
        </w:rPr>
        <w:t>. (a) The Borrower agrees to pay to the Administrative Agent for the account of each Lender (other than any Defaulting Lender) a commitment fee, which shall accrue at a rate of 0.20% per annum on the daily amount of the unused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Revolving Loans and Letter of Credit Usage of such Lender (and the Swing Line Exposure of such Lender shall be disregarded for such purpose).</w:t>
      </w:r>
    </w:p>
    <w:p>
      <w:pPr>
        <w:spacing w:after="0" w:line="70" w:lineRule="exact"/>
        <w:rPr>
          <w:sz w:val="20"/>
          <w:szCs w:val="20"/>
          <w:color w:val="auto"/>
        </w:rPr>
      </w:pPr>
    </w:p>
    <w:p>
      <w:pPr>
        <w:jc w:val="both"/>
        <w:ind w:right="240" w:firstLine="987"/>
        <w:spacing w:after="0" w:line="263" w:lineRule="auto"/>
        <w:tabs>
          <w:tab w:leader="none" w:pos="1246" w:val="left"/>
        </w:tabs>
        <w:numPr>
          <w:ilvl w:val="0"/>
          <w:numId w:val="501"/>
        </w:numPr>
        <w:rPr>
          <w:rFonts w:ascii="Arial" w:cs="Arial" w:eastAsia="Arial" w:hAnsi="Arial"/>
          <w:sz w:val="18"/>
          <w:szCs w:val="18"/>
          <w:color w:val="auto"/>
        </w:rPr>
      </w:pPr>
      <w:r>
        <w:rPr>
          <w:rFonts w:ascii="Arial" w:cs="Arial" w:eastAsia="Arial" w:hAnsi="Arial"/>
          <w:sz w:val="18"/>
          <w:szCs w:val="18"/>
          <w:color w:val="auto"/>
        </w:rPr>
        <w:t>On the Restatement Effective Date, the Borrower agrees to pay to the Administrative Agent for the account of each Lender as of the Restatement Effective Date, an upfront fee equal to 0.125% multiplied by each such Lender’s Commitments as in effect on the Restatement Effective Date.</w:t>
      </w:r>
    </w:p>
    <w:p>
      <w:pPr>
        <w:spacing w:after="0" w:line="75" w:lineRule="exact"/>
        <w:rPr>
          <w:rFonts w:ascii="Arial" w:cs="Arial" w:eastAsia="Arial" w:hAnsi="Arial"/>
          <w:sz w:val="18"/>
          <w:szCs w:val="18"/>
          <w:color w:val="auto"/>
        </w:rPr>
      </w:pPr>
    </w:p>
    <w:p>
      <w:pPr>
        <w:ind w:firstLine="987"/>
        <w:spacing w:after="0" w:line="270" w:lineRule="auto"/>
        <w:tabs>
          <w:tab w:leader="none" w:pos="1236"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the account of each Lender (other than any Defaulting Lender) letter of credit fees equal to (i) the Applicable Rate for Revolving Loans that are Eurodollar Loans, multiplied by (ii) the average aggregate daily maximum Dollar Equivalent available to be drawn under all such Letters of Credit (determined as of the close of business on any date of determination) (regardless of whether any conditions for drawing could then be met and determined as of the close of business on any date of determination) during the period from and including the Effective Date to but excluding the later of the date on which such Lender’s Commitment terminates and the date on which such Lender ceases to have any Letter of Credit Usage. Such letter of credit fees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any Letter of Credit, on the Commitment Termination Date and thereafter on demand.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427" w:name="page428"/>
    <w:bookmarkEnd w:id="427"/>
    <w:p>
      <w:pPr>
        <w:ind w:left="1244" w:hanging="253"/>
        <w:spacing w:after="0"/>
        <w:tabs>
          <w:tab w:leader="none" w:pos="1244" w:val="left"/>
        </w:tabs>
        <w:numPr>
          <w:ilvl w:val="1"/>
          <w:numId w:val="5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agrees to pay directly to each Issuing Bank, for its own account, the following fees:</w:t>
      </w:r>
    </w:p>
    <w:p>
      <w:pPr>
        <w:spacing w:after="0" w:line="117" w:lineRule="exact"/>
        <w:rPr>
          <w:rFonts w:ascii="Arial" w:cs="Arial" w:eastAsia="Arial" w:hAnsi="Arial"/>
          <w:sz w:val="18"/>
          <w:szCs w:val="18"/>
          <w:color w:val="auto"/>
        </w:rPr>
      </w:pPr>
    </w:p>
    <w:p>
      <w:pPr>
        <w:ind w:left="444" w:firstLine="419"/>
        <w:spacing w:after="0" w:line="275" w:lineRule="auto"/>
        <w:tabs>
          <w:tab w:leader="none" w:pos="1082" w:val="left"/>
        </w:tabs>
        <w:numPr>
          <w:ilvl w:val="0"/>
          <w:numId w:val="503"/>
        </w:numPr>
        <w:rPr>
          <w:rFonts w:ascii="Arial" w:cs="Arial" w:eastAsia="Arial" w:hAnsi="Arial"/>
          <w:sz w:val="17"/>
          <w:szCs w:val="17"/>
          <w:color w:val="auto"/>
        </w:rPr>
      </w:pPr>
      <w:r>
        <w:rPr>
          <w:rFonts w:ascii="Arial" w:cs="Arial" w:eastAsia="Arial" w:hAnsi="Arial"/>
          <w:sz w:val="17"/>
          <w:szCs w:val="17"/>
          <w:color w:val="auto"/>
        </w:rPr>
        <w:t>a fronting fee equal to 0.125% per annum, multiplied by the average aggregate daily maximum Dollar Equivalent available to be drawn under all Letters of Credit issued by such Issuing Bank (determined as of the close of business on any date of determination) (regardless of whether any conditions for drawing could then be met and determined as of the close of business on any date of determination) from and including the Effective Date to but excluding the later of the date of termination of the Commitments and the date on which there ceases to be any Letter of Credit Usage attributable to Letters of Credit issued by such Issuing Bank; and</w:t>
      </w:r>
    </w:p>
    <w:p>
      <w:pPr>
        <w:spacing w:after="0" w:line="68" w:lineRule="exact"/>
        <w:rPr>
          <w:rFonts w:ascii="Arial" w:cs="Arial" w:eastAsia="Arial" w:hAnsi="Arial"/>
          <w:sz w:val="17"/>
          <w:szCs w:val="17"/>
          <w:color w:val="auto"/>
        </w:rPr>
      </w:pPr>
    </w:p>
    <w:p>
      <w:pPr>
        <w:ind w:left="444" w:right="140" w:firstLine="419"/>
        <w:spacing w:after="0" w:line="263" w:lineRule="auto"/>
        <w:tabs>
          <w:tab w:leader="none" w:pos="113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such administrative, documentary and processing charges for any issuance, amendment, transfer or payment of a Letter of Credit as are in accordance with such Issuing Bank’s standard schedule for such charges and as in effect at the time of such issuance, amendment, transfer or payment, as the case may be.</w:t>
      </w:r>
    </w:p>
    <w:p>
      <w:pPr>
        <w:spacing w:after="0" w:line="184"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Such fronting fee shall be paid on a quarterly basis in arrears and shall be due and payable on the tenth Business Day after the end of each March, June, September and December in respect of the most recently ended quarterly period (or portion thereof, in the case of the first payment), commencing with the first such date to occur after the issuance of such Letter of Credit, on the Commitment Termination Date and thereafter on demand. Such documentary and processing charges are due and payable on demand.</w:t>
      </w:r>
    </w:p>
    <w:p>
      <w:pPr>
        <w:spacing w:after="0" w:line="79" w:lineRule="exact"/>
        <w:rPr>
          <w:sz w:val="20"/>
          <w:szCs w:val="20"/>
          <w:color w:val="auto"/>
        </w:rPr>
      </w:pPr>
    </w:p>
    <w:p>
      <w:pPr>
        <w:ind w:left="4" w:right="180" w:firstLine="987"/>
        <w:spacing w:after="0" w:line="277" w:lineRule="auto"/>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62" w:lineRule="exact"/>
        <w:rPr>
          <w:rFonts w:ascii="Arial" w:cs="Arial" w:eastAsia="Arial" w:hAnsi="Arial"/>
          <w:sz w:val="18"/>
          <w:szCs w:val="18"/>
          <w:color w:val="auto"/>
        </w:rPr>
      </w:pPr>
    </w:p>
    <w:p>
      <w:pPr>
        <w:ind w:left="4" w:firstLine="987"/>
        <w:spacing w:after="0" w:line="277" w:lineRule="auto"/>
        <w:tabs>
          <w:tab w:leader="none" w:pos="12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parties specified herein. Fees paid shall not be refundable under any circumstances.</w:t>
      </w:r>
    </w:p>
    <w:p>
      <w:pPr>
        <w:spacing w:after="0" w:line="170"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each ABR Borrowing (including each Swing Line Loan) shall bear interest at the Alternate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62" w:lineRule="exact"/>
        <w:rPr>
          <w:sz w:val="20"/>
          <w:szCs w:val="20"/>
          <w:color w:val="auto"/>
        </w:rPr>
      </w:pPr>
    </w:p>
    <w:p>
      <w:pPr>
        <w:ind w:left="4" w:right="320" w:firstLine="987"/>
        <w:spacing w:after="0" w:line="277" w:lineRule="auto"/>
        <w:tabs>
          <w:tab w:leader="none" w:pos="125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The Loans comprising each Eurodollar Borrowing shall bear interest at the Adjusted LIBO Rate for the Interest Period in effect for such Borrowing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62" w:lineRule="exact"/>
        <w:rPr>
          <w:rFonts w:ascii="Arial" w:cs="Arial" w:eastAsia="Arial" w:hAnsi="Arial"/>
          <w:sz w:val="18"/>
          <w:szCs w:val="18"/>
          <w:color w:val="auto"/>
        </w:rPr>
      </w:pPr>
    </w:p>
    <w:p>
      <w:pPr>
        <w:ind w:left="4" w:firstLine="987"/>
        <w:spacing w:after="0" w:line="291" w:lineRule="auto"/>
        <w:tabs>
          <w:tab w:leader="none" w:pos="1240" w:val="left"/>
        </w:tabs>
        <w:numPr>
          <w:ilvl w:val="1"/>
          <w:numId w:val="505"/>
        </w:numPr>
        <w:rPr>
          <w:rFonts w:ascii="Arial" w:cs="Arial" w:eastAsia="Arial" w:hAnsi="Arial"/>
          <w:sz w:val="16"/>
          <w:szCs w:val="16"/>
          <w:color w:val="auto"/>
        </w:rPr>
      </w:pPr>
      <w:r>
        <w:rPr>
          <w:rFonts w:ascii="Arial" w:cs="Arial" w:eastAsia="Arial" w:hAnsi="Arial"/>
          <w:sz w:val="16"/>
          <w:szCs w:val="16"/>
          <w:color w:val="auto"/>
        </w:rPr>
        <w:t xml:space="preserve">Notwithstanding the foregoing, at all times when an Event of Default listed in paragraph (a), (b), (h) or (i)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has occurred hereunder and is continuing, all overdue amounts outstanding hereunder shall bear interest, after as well as before judgment, at a rate per annum equal to</w:t>
      </w:r>
    </w:p>
    <w:p>
      <w:pPr>
        <w:ind w:left="224" w:hanging="224"/>
        <w:spacing w:after="0"/>
        <w:tabs>
          <w:tab w:leader="none" w:pos="224"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in the case of overdue principal of any Loan, 2%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rate otherwise applicable thereto as provided in the preceding paragraphs of this Section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in the case of any other overdue amount, 2%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rate applicable to ABR Loans as provided in paragraph (a) of this Section.</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428" w:name="page429"/>
    <w:bookmarkEnd w:id="428"/>
    <w:p>
      <w:pPr>
        <w:ind w:right="40" w:firstLine="987"/>
        <w:spacing w:after="0" w:line="296" w:lineRule="auto"/>
        <w:tabs>
          <w:tab w:leader="none" w:pos="1246" w:val="left"/>
        </w:tabs>
        <w:numPr>
          <w:ilvl w:val="0"/>
          <w:numId w:val="5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53" w:lineRule="exact"/>
        <w:rPr>
          <w:rFonts w:ascii="Arial" w:cs="Arial" w:eastAsia="Arial" w:hAnsi="Arial"/>
          <w:sz w:val="16"/>
          <w:szCs w:val="16"/>
          <w:color w:val="auto"/>
        </w:rPr>
      </w:pPr>
    </w:p>
    <w:p>
      <w:pPr>
        <w:ind w:right="20" w:firstLine="987"/>
        <w:spacing w:after="0" w:line="291" w:lineRule="auto"/>
        <w:tabs>
          <w:tab w:leader="none" w:pos="1236"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2.12(g)</w:t>
      </w:r>
      <w:r>
        <w:rPr>
          <w:rFonts w:ascii="Arial" w:cs="Arial" w:eastAsia="Arial" w:hAnsi="Arial"/>
          <w:sz w:val="16"/>
          <w:szCs w:val="16"/>
          <w:color w:val="auto"/>
        </w:rPr>
        <w:t>, all interest hereunder shall be computed on the basis of a year of 360 days, except that interest computed by reference to the Alternate Base Rate at times when the Alternate Base Rate is based on the Prime Rate shall be computed on the basis of a year of</w:t>
      </w: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81" w:lineRule="exact"/>
        <w:rPr>
          <w:rFonts w:ascii="Arial" w:cs="Arial" w:eastAsia="Arial" w:hAnsi="Arial"/>
          <w:sz w:val="16"/>
          <w:szCs w:val="16"/>
          <w:color w:val="auto"/>
        </w:rPr>
      </w:pPr>
    </w:p>
    <w:p>
      <w:pPr>
        <w:ind w:firstLine="987"/>
        <w:spacing w:after="0" w:line="255" w:lineRule="auto"/>
        <w:tabs>
          <w:tab w:leader="none" w:pos="121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Borrower agrees to pay to each Issuing Bank, with respect to drawings honored under any Letter of Credit issued by such Issuing Bank, interest on the Dollar Equivalent paid by such Issuing Bank in respect of each such honored drawing from the date such drawing is honored to but excluding the date such amount is reimbursed by or on behalf of the Borrower at a rate equal to (i) for the period from the applicable Disbursement Date to but excluding the applicable Reimbursement Date, the rate of interest otherwise payable hereunder with respect to Revolving Loans that are ABR Loans, and (ii) thereafter, a rate which is 2% per annum in excess of the rate of interest otherwise payable hereunder with respect to Revolving Loans that are ABR Loans.</w:t>
      </w:r>
    </w:p>
    <w:p>
      <w:pPr>
        <w:spacing w:after="0" w:line="84" w:lineRule="exact"/>
        <w:rPr>
          <w:rFonts w:ascii="Arial" w:cs="Arial" w:eastAsia="Arial" w:hAnsi="Arial"/>
          <w:sz w:val="18"/>
          <w:szCs w:val="18"/>
          <w:color w:val="auto"/>
        </w:rPr>
      </w:pPr>
    </w:p>
    <w:p>
      <w:pPr>
        <w:ind w:right="20" w:firstLine="987"/>
        <w:spacing w:after="0" w:line="272" w:lineRule="auto"/>
        <w:tabs>
          <w:tab w:leader="none" w:pos="1246" w:val="left"/>
        </w:tabs>
        <w:numPr>
          <w:ilvl w:val="0"/>
          <w:numId w:val="507"/>
        </w:numPr>
        <w:rPr>
          <w:rFonts w:ascii="Arial" w:cs="Arial" w:eastAsia="Arial" w:hAnsi="Arial"/>
          <w:sz w:val="17"/>
          <w:szCs w:val="17"/>
          <w:color w:val="auto"/>
        </w:rPr>
      </w:pPr>
      <w:r>
        <w:rPr>
          <w:rFonts w:ascii="Arial" w:cs="Arial" w:eastAsia="Arial" w:hAnsi="Arial"/>
          <w:sz w:val="17"/>
          <w:szCs w:val="17"/>
          <w:color w:val="auto"/>
        </w:rPr>
        <w:t xml:space="preserve">Interest payable pursuant to </w:t>
      </w:r>
      <w:r>
        <w:rPr>
          <w:rFonts w:ascii="Arial" w:cs="Arial" w:eastAsia="Arial" w:hAnsi="Arial"/>
          <w:sz w:val="17"/>
          <w:szCs w:val="17"/>
          <w:u w:val="single" w:color="auto"/>
          <w:color w:val="auto"/>
        </w:rPr>
        <w:t>Section 2.12(f)</w:t>
      </w:r>
      <w:r>
        <w:rPr>
          <w:rFonts w:ascii="Arial" w:cs="Arial" w:eastAsia="Arial" w:hAnsi="Arial"/>
          <w:sz w:val="17"/>
          <w:szCs w:val="17"/>
          <w:color w:val="auto"/>
        </w:rPr>
        <w:t xml:space="preserve"> shall be computed on the basis of a 365/366 day year for the actual number of days elapsed in the period during which it accrues, and shall be payable on demand or, if no demand is made, on the date on which the related drawing under a Letter of Credit is reimbursed in full. In the event any Issuing Bank shall have been reimbursed by Lenders for all or any portion of any honored drawing, such Issuing Bank shall distribute to the Administrative Agent, for the account of each Lender which has paid all amounts payable by it under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 with respect to such honored drawing, such Lender’s Applicable Percentage of any interest received by such Issuing Bank in respect of that portion of such honored drawing so reimbursed by such Lender for the period from the date on which such Issuing Bank was so reimbursed by such Lender to but excluding the date on which such portion of such honored drawing is reimbursed by the Borrower.</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(a) Subject to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if prior to the commencement of any Interest Period for a Eurodollar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429" w:name="page430"/>
    <w:bookmarkEnd w:id="429"/>
    <w:p>
      <w:pPr>
        <w:jc w:val="both"/>
        <w:ind w:left="440" w:right="20" w:firstLine="419"/>
        <w:spacing w:after="0" w:line="311" w:lineRule="auto"/>
        <w:tabs>
          <w:tab w:leader="none" w:pos="1078" w:val="left"/>
        </w:tabs>
        <w:numPr>
          <w:ilvl w:val="0"/>
          <w:numId w:val="5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Administrative Agent determines (which determination shall be conclusive absent manifest error) that adequate and reasonable means do not exist for ascertaining the Adjusted LIBO Rate or the LIBO Rate, as applicable (including because the LIBO Screen Rate is not available or published on a current basis), for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Benchmark Transition Event shall have occurred at such time; or</w:t>
      </w:r>
    </w:p>
    <w:p>
      <w:pPr>
        <w:spacing w:after="0" w:line="40" w:lineRule="exact"/>
        <w:rPr>
          <w:rFonts w:ascii="Arial" w:cs="Arial" w:eastAsia="Arial" w:hAnsi="Arial"/>
          <w:sz w:val="16"/>
          <w:szCs w:val="16"/>
          <w:color w:val="auto"/>
        </w:rPr>
      </w:pPr>
    </w:p>
    <w:p>
      <w:pPr>
        <w:ind w:left="440" w:right="360" w:firstLine="419"/>
        <w:spacing w:after="0" w:line="263" w:lineRule="auto"/>
        <w:tabs>
          <w:tab w:leader="none" w:pos="1128"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then the Administrative Agent shall give notice thereof to the Borrower and the Lenders in writing (by telecopy or facsimile or other electronic transmission) as promptly as practicable thereafter and, until the Administrative Agent notifies the Borrower and the Lenders that the circumstances giving rise to such notice no longer exist, (x) any Interest Election Request that requests the conversion of any Borrowing to, or continuation of any Borrowing as, a Eurodollar Borrowing shall be ineffective and such Borrowing shall be continued as an ABR Borrowing, and (y) if any Borrowing Request requests a Eurodollar Borrowing, such Borrowing shall be made as an ABR Borrowing.</w:t>
      </w:r>
    </w:p>
    <w:p>
      <w:pPr>
        <w:spacing w:after="0" w:line="68" w:lineRule="exact"/>
        <w:rPr>
          <w:sz w:val="20"/>
          <w:szCs w:val="20"/>
          <w:color w:val="auto"/>
        </w:rPr>
      </w:pPr>
    </w:p>
    <w:p>
      <w:pPr>
        <w:ind w:right="20" w:firstLine="987"/>
        <w:spacing w:after="0" w:line="269" w:lineRule="auto"/>
        <w:tabs>
          <w:tab w:leader="none" w:pos="1246" w:val="left"/>
        </w:tabs>
        <w:numPr>
          <w:ilvl w:val="0"/>
          <w:numId w:val="50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or in any other Loan Document (and any Swap Agreement shall be deemed not to be a “Loan Document”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70" w:lineRule="exact"/>
        <w:rPr>
          <w:rFonts w:ascii="Arial" w:cs="Arial" w:eastAsia="Arial" w:hAnsi="Arial"/>
          <w:sz w:val="17"/>
          <w:szCs w:val="17"/>
          <w:color w:val="auto"/>
        </w:rPr>
      </w:pPr>
    </w:p>
    <w:p>
      <w:pPr>
        <w:ind w:firstLine="987"/>
        <w:spacing w:after="0" w:line="291" w:lineRule="auto"/>
        <w:tabs>
          <w:tab w:leader="none" w:pos="1236" w:val="left"/>
        </w:tabs>
        <w:numPr>
          <w:ilvl w:val="0"/>
          <w:numId w:val="50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and subject to the proviso below in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430" w:name="page431"/>
    <w:bookmarkEnd w:id="430"/>
    <w:p>
      <w:pPr>
        <w:ind w:left="-20" w:firstLine="987"/>
        <w:spacing w:after="0" w:line="259" w:lineRule="auto"/>
        <w:tabs>
          <w:tab w:leader="none" w:pos="1226" w:val="left"/>
        </w:tabs>
        <w:numPr>
          <w:ilvl w:val="0"/>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78" w:lineRule="exact"/>
        <w:rPr>
          <w:rFonts w:ascii="Arial" w:cs="Arial" w:eastAsia="Arial" w:hAnsi="Arial"/>
          <w:sz w:val="18"/>
          <w:szCs w:val="18"/>
          <w:color w:val="auto"/>
        </w:rPr>
      </w:pPr>
    </w:p>
    <w:p>
      <w:pPr>
        <w:ind w:left="-20" w:right="20" w:firstLine="987"/>
        <w:spacing w:after="0" w:line="270" w:lineRule="auto"/>
        <w:tabs>
          <w:tab w:leader="none" w:pos="1213" w:val="left"/>
        </w:tabs>
        <w:numPr>
          <w:ilvl w:val="0"/>
          <w:numId w:val="510"/>
        </w:numPr>
        <w:rPr>
          <w:rFonts w:ascii="Arial" w:cs="Arial" w:eastAsia="Arial" w:hAnsi="Arial"/>
          <w:sz w:val="17"/>
          <w:szCs w:val="17"/>
          <w:color w:val="auto"/>
        </w:rPr>
      </w:pPr>
      <w:r>
        <w:rPr>
          <w:rFonts w:ascii="Arial" w:cs="Arial" w:eastAsia="Arial" w:hAnsi="Arial"/>
          <w:sz w:val="17"/>
          <w:szCs w:val="17"/>
          <w:color w:val="auto"/>
        </w:rPr>
        <w:t xml:space="preserve">The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below and (v) the commencement or conclusion of any Benchmark Unavailability Period. Any determination, decision or election that may be made by the Administrative Agent, the Borrower or, if applicable, any Lender (or group of Lenders) pursuant to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7"/>
          <w:szCs w:val="17"/>
          <w:u w:val="single" w:color="auto"/>
          <w:color w:val="auto"/>
        </w:rPr>
        <w:t>Section 2.13</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20" w:right="20" w:firstLine="987"/>
        <w:spacing w:after="0" w:line="269" w:lineRule="auto"/>
        <w:tabs>
          <w:tab w:leader="none" w:pos="1196" w:val="left"/>
        </w:tabs>
        <w:numPr>
          <w:ilvl w:val="0"/>
          <w:numId w:val="51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or in any other Loan Document, at any time (including in connection with the implementation of a Benchmark Replacement), (i) if the then-current Benchmark is a term rate (including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77" w:lineRule="exact"/>
        <w:rPr>
          <w:rFonts w:ascii="Arial" w:cs="Arial" w:eastAsia="Arial" w:hAnsi="Arial"/>
          <w:sz w:val="17"/>
          <w:szCs w:val="17"/>
          <w:color w:val="auto"/>
        </w:rPr>
      </w:pPr>
    </w:p>
    <w:p>
      <w:pPr>
        <w:ind w:left="-20" w:right="80" w:firstLine="987"/>
        <w:spacing w:after="0" w:line="255" w:lineRule="auto"/>
        <w:tabs>
          <w:tab w:leader="none" w:pos="122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60" w:top="274" w:right="459" w:bottom="1440" w:gutter="0" w:footer="0" w:header="0"/>
        </w:sectPr>
      </w:pPr>
    </w:p>
    <w:bookmarkStart w:id="431" w:name="page432"/>
    <w:bookmarkEnd w:id="43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7" w:lineRule="exact"/>
        <w:rPr>
          <w:sz w:val="20"/>
          <w:szCs w:val="20"/>
          <w:color w:val="auto"/>
        </w:rPr>
      </w:pPr>
    </w:p>
    <w:p>
      <w:pPr>
        <w:ind w:left="440" w:right="320" w:firstLine="419"/>
        <w:spacing w:after="0" w:line="263" w:lineRule="auto"/>
        <w:tabs>
          <w:tab w:leader="none" w:pos="107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compulsory loan, insurance charge or similar requirement against assets of, deposits with or for the account of, or credit extended by or participated in, any Lender (except any such reserve requirement reflected in the Adjusted LIBO Rate) or Issuing Bank; or</w:t>
      </w:r>
    </w:p>
    <w:p>
      <w:pPr>
        <w:spacing w:after="0" w:line="75" w:lineRule="exact"/>
        <w:rPr>
          <w:rFonts w:ascii="Arial" w:cs="Arial" w:eastAsia="Arial" w:hAnsi="Arial"/>
          <w:sz w:val="18"/>
          <w:szCs w:val="18"/>
          <w:color w:val="auto"/>
        </w:rPr>
      </w:pPr>
    </w:p>
    <w:p>
      <w:pPr>
        <w:ind w:left="440" w:right="80" w:firstLine="419"/>
        <w:spacing w:after="0" w:line="277" w:lineRule="auto"/>
        <w:tabs>
          <w:tab w:leader="none" w:pos="112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impose on any Lender or Issuing Bank or the London interbank market any other condition, cost or expense (other than Taxes) affecting this Agreement or Eurodollar Loans made by such Lender or any Letter of Credit or participation therein; or</w:t>
      </w:r>
    </w:p>
    <w:p>
      <w:pPr>
        <w:spacing w:after="0" w:line="62" w:lineRule="exact"/>
        <w:rPr>
          <w:rFonts w:ascii="Arial" w:cs="Arial" w:eastAsia="Arial" w:hAnsi="Arial"/>
          <w:sz w:val="18"/>
          <w:szCs w:val="18"/>
          <w:color w:val="auto"/>
        </w:rPr>
      </w:pPr>
    </w:p>
    <w:p>
      <w:pPr>
        <w:ind w:left="440" w:right="480" w:firstLine="419"/>
        <w:spacing w:after="0" w:line="263" w:lineRule="auto"/>
        <w:tabs>
          <w:tab w:leader="none" w:pos="117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impose on any Recipient any Taxes (other than Indemnified Taxes or Tax described in clauses (b) through (d) of the definition of Excluded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and the result of any of the foregoing shall be to increase the cost to such Lender or other Recipient of making, converting to, continuing or maintaining any Eurodollar Loan (or of maintaining its obligation to make any such Loan) or to increase the cost to such Lender or other Recipient of participating in, issuing, amending, extending, increasing or maintaining any Letter of Credit (or of maintaining its obligation to participate in or issue any Letter of Credit) or to reduce the amount of any sum received or receivable by such Lender or other Recipient hereunder (whether of principal, interest or otherwise), then the Borrower will pay to such Lender or other Recipient, as the case may be, such additional amount or amounts as will compensate such Lender or other Recipient, as the case may be, for such additional costs incurred or reduction suffered.</w:t>
      </w:r>
    </w:p>
    <w:p>
      <w:pPr>
        <w:spacing w:after="0" w:line="56" w:lineRule="exact"/>
        <w:rPr>
          <w:sz w:val="20"/>
          <w:szCs w:val="20"/>
          <w:color w:val="auto"/>
        </w:rPr>
      </w:pPr>
    </w:p>
    <w:p>
      <w:pPr>
        <w:ind w:firstLine="987"/>
        <w:spacing w:after="0" w:line="290" w:lineRule="auto"/>
        <w:tabs>
          <w:tab w:leader="none" w:pos="1246" w:val="left"/>
        </w:tabs>
        <w:numPr>
          <w:ilvl w:val="0"/>
          <w:numId w:val="512"/>
        </w:numPr>
        <w:rPr>
          <w:rFonts w:ascii="Arial" w:cs="Arial" w:eastAsia="Arial" w:hAnsi="Arial"/>
          <w:sz w:val="16"/>
          <w:szCs w:val="16"/>
          <w:color w:val="auto"/>
        </w:rPr>
      </w:pPr>
      <w:r>
        <w:rPr>
          <w:rFonts w:ascii="Arial" w:cs="Arial" w:eastAsia="Arial" w:hAnsi="Arial"/>
          <w:sz w:val="16"/>
          <w:szCs w:val="16"/>
          <w:color w:val="auto"/>
        </w:rPr>
        <w:t>If any Lender or Issuing Bank determines that any Change in Law regarding capital or liquidity requirements has or would have the effect of reducing the rate of return on such Lender’s or Issuing Bank’s capital or on the capital or liquidity of such Lender’s or Issuing Bank’s holding company, if any, as a consequence of this Agreement, the Commitments hereunder, the Loans made by such Lender or participations in Letters of Credit held by such Lender, or the Letters of Credit issued by the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suffered.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432" w:name="page433"/>
    <w:bookmarkEnd w:id="432"/>
    <w:p>
      <w:pPr>
        <w:ind w:firstLine="987"/>
        <w:spacing w:after="0" w:line="259" w:lineRule="auto"/>
        <w:tabs>
          <w:tab w:leader="none" w:pos="1236" w:val="left"/>
        </w:tabs>
        <w:numPr>
          <w:ilvl w:val="0"/>
          <w:numId w:val="5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certificate of a Lender or Issuing Bank setting forth in reasonable detail the amount or amounts necessary to compensate such Lender or Issuing Bank or its respective holding company, as the case may be, as specified in paragraph (a) or (b) of this Section shall be delivered to the Borrower and shall be conclusive absent manifest error. The Borrower shall pay such Lender or Issuing Bank the amount shown as due on any such certificate within 10 days after receipt thereof.</w:t>
      </w:r>
    </w:p>
    <w:p>
      <w:pPr>
        <w:spacing w:after="0" w:line="78" w:lineRule="exact"/>
        <w:rPr>
          <w:rFonts w:ascii="Arial" w:cs="Arial" w:eastAsia="Arial" w:hAnsi="Arial"/>
          <w:sz w:val="18"/>
          <w:szCs w:val="18"/>
          <w:color w:val="auto"/>
        </w:rPr>
      </w:pPr>
    </w:p>
    <w:p>
      <w:pPr>
        <w:ind w:right="20" w:firstLine="987"/>
        <w:spacing w:after="0" w:line="293" w:lineRule="auto"/>
        <w:tabs>
          <w:tab w:leader="none" w:pos="1246"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Issuing Bank pursuant to this Section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16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or prepayment of any principal of any Eurodollar Loan other than on the last day of an Interest Period applicable thereto (whether voluntary, mandatory, automatic, by reason of acceleration, or otherwise),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is revoked in accordance therewith), or (d) the assignment of any Eurodollar Loan other than on the last day of the Interest Period applicable thereto as a result of a request by the Borrower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6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 (a) Any and all payments by or on account of any obligation of the Borrower hereunder shall be made free and clear of and without deduction or withholding for any Taxes, except as required by law. If any applicable law (as determined in the good faith discretion of an applicable Withholding Agent) requires the deduction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433" w:name="page434"/>
    <w:bookmarkEnd w:id="433"/>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of any Tax from any such payment by a Withholding Agent, then the applicable Withholding Agent shall be entitled to make such deduction or withholding and timely pay the full amount deducted or withheld to the relevant Governmental Authority in accordance with applicable law and, if such Tax is an Indemnified Tax or Other Tax, then the sum payable by the Borrower shall be increased as necessary so that after making such deduction or withholding (including such deductions and withholdings applicable to additional sums payable under this Section) the Administrative Agent or Lender (as the case may be) receives an amount equal to the sum it would have received had no such deduction or withholding been made.</w:t>
      </w:r>
    </w:p>
    <w:p>
      <w:pPr>
        <w:spacing w:after="0" w:line="53" w:lineRule="exact"/>
        <w:rPr>
          <w:sz w:val="20"/>
          <w:szCs w:val="20"/>
          <w:color w:val="auto"/>
        </w:rPr>
      </w:pPr>
    </w:p>
    <w:p>
      <w:pPr>
        <w:ind w:left="1244" w:hanging="253"/>
        <w:spacing w:after="0"/>
        <w:tabs>
          <w:tab w:leader="none" w:pos="1244" w:val="left"/>
        </w:tabs>
        <w:numPr>
          <w:ilvl w:val="1"/>
          <w:numId w:val="514"/>
        </w:numPr>
        <w:rPr>
          <w:rFonts w:ascii="Arial" w:cs="Arial" w:eastAsia="Arial" w:hAnsi="Arial"/>
          <w:sz w:val="16"/>
          <w:szCs w:val="16"/>
          <w:color w:val="auto"/>
        </w:rPr>
      </w:pPr>
      <w:r>
        <w:rPr>
          <w:rFonts w:ascii="Arial" w:cs="Arial" w:eastAsia="Arial" w:hAnsi="Arial"/>
          <w:sz w:val="16"/>
          <w:szCs w:val="16"/>
          <w:color w:val="auto"/>
        </w:rPr>
        <w:t>In addition, the Borrower shall (i) pay any Other Taxes to the relevant Governmental Authority in accordance with applicable law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at the option of the Administrative Agent, shall timely reimburse the Administrative Agent for any payment of such Other Taxes.</w:t>
      </w:r>
    </w:p>
    <w:p>
      <w:pPr>
        <w:spacing w:after="0" w:line="102" w:lineRule="exact"/>
        <w:rPr>
          <w:rFonts w:ascii="Arial" w:cs="Arial" w:eastAsia="Arial" w:hAnsi="Arial"/>
          <w:sz w:val="18"/>
          <w:szCs w:val="18"/>
          <w:color w:val="auto"/>
        </w:rPr>
      </w:pPr>
    </w:p>
    <w:p>
      <w:pPr>
        <w:ind w:left="4" w:right="40" w:firstLine="987"/>
        <w:spacing w:after="0" w:line="271" w:lineRule="auto"/>
        <w:tabs>
          <w:tab w:leader="none" w:pos="1240" w:val="left"/>
        </w:tabs>
        <w:numPr>
          <w:ilvl w:val="1"/>
          <w:numId w:val="515"/>
        </w:numPr>
        <w:rPr>
          <w:rFonts w:ascii="Arial" w:cs="Arial" w:eastAsia="Arial" w:hAnsi="Arial"/>
          <w:sz w:val="17"/>
          <w:szCs w:val="17"/>
          <w:color w:val="auto"/>
        </w:rPr>
      </w:pPr>
      <w:r>
        <w:rPr>
          <w:rFonts w:ascii="Arial" w:cs="Arial" w:eastAsia="Arial" w:hAnsi="Arial"/>
          <w:sz w:val="17"/>
          <w:szCs w:val="17"/>
          <w:color w:val="auto"/>
        </w:rPr>
        <w:t xml:space="preserve">The Borrower shall indemnify the Administrative Agent and each Lender, within 10 days after demand therefor, for the full amount of any Indemnified Taxes or Other Taxes paid by the Administrative Agent or such Lender,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Borrower shall not be required to pay any amount under this </w:t>
      </w:r>
      <w:r>
        <w:rPr>
          <w:rFonts w:ascii="Arial" w:cs="Arial" w:eastAsia="Arial" w:hAnsi="Arial"/>
          <w:sz w:val="17"/>
          <w:szCs w:val="17"/>
          <w:u w:val="single" w:color="auto"/>
          <w:color w:val="auto"/>
        </w:rPr>
        <w:t>Section 2.16(c)</w:t>
      </w:r>
      <w:r>
        <w:rPr>
          <w:rFonts w:ascii="Arial" w:cs="Arial" w:eastAsia="Arial" w:hAnsi="Arial"/>
          <w:sz w:val="17"/>
          <w:szCs w:val="17"/>
          <w:color w:val="auto"/>
        </w:rPr>
        <w:t xml:space="preserve"> with respect to Other Taxes paid or reimbursed by the Borrower pursuant to </w:t>
      </w:r>
      <w:r>
        <w:rPr>
          <w:rFonts w:ascii="Arial" w:cs="Arial" w:eastAsia="Arial" w:hAnsi="Arial"/>
          <w:sz w:val="17"/>
          <w:szCs w:val="17"/>
          <w:u w:val="single" w:color="auto"/>
          <w:color w:val="auto"/>
        </w:rPr>
        <w:t>Section 2.16(b)</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 w:right="140" w:firstLine="987"/>
        <w:spacing w:after="0" w:line="311" w:lineRule="auto"/>
        <w:tabs>
          <w:tab w:leader="none" w:pos="1250" w:val="left"/>
        </w:tabs>
        <w:numPr>
          <w:ilvl w:val="1"/>
          <w:numId w:val="515"/>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40" w:lineRule="exact"/>
        <w:rPr>
          <w:rFonts w:ascii="Arial" w:cs="Arial" w:eastAsia="Arial" w:hAnsi="Arial"/>
          <w:sz w:val="16"/>
          <w:szCs w:val="16"/>
          <w:color w:val="auto"/>
        </w:rPr>
      </w:pPr>
    </w:p>
    <w:p>
      <w:pPr>
        <w:ind w:left="4" w:right="120" w:firstLine="987"/>
        <w:spacing w:after="0" w:line="288" w:lineRule="auto"/>
        <w:tabs>
          <w:tab w:leader="none" w:pos="1240" w:val="left"/>
        </w:tabs>
        <w:numPr>
          <w:ilvl w:val="1"/>
          <w:numId w:val="515"/>
        </w:numPr>
        <w:rPr>
          <w:rFonts w:ascii="Arial" w:cs="Arial" w:eastAsia="Arial" w:hAnsi="Arial"/>
          <w:sz w:val="16"/>
          <w:szCs w:val="16"/>
          <w:color w:val="auto"/>
        </w:rPr>
      </w:pPr>
      <w:r>
        <w:rPr>
          <w:rFonts w:ascii="Arial" w:cs="Arial" w:eastAsia="Arial" w:hAnsi="Arial"/>
          <w:sz w:val="16"/>
          <w:szCs w:val="16"/>
          <w:color w:val="auto"/>
        </w:rPr>
        <w:t xml:space="preserve">(i) Any Lender that is entitled to an exemption from, or reduction of, withholding Tax with respect to payments made under this Agreement or any other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w:t>
      </w:r>
      <w:r>
        <w:rPr>
          <w:rFonts w:ascii="Arial" w:cs="Arial" w:eastAsia="Arial" w:hAnsi="Arial"/>
          <w:sz w:val="16"/>
          <w:szCs w:val="16"/>
          <w:u w:val="single" w:color="auto"/>
          <w:color w:val="auto"/>
        </w:rPr>
        <w:t>in Section 2.16(e)(ii)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2.16(e)(iii)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2.16(e)(v)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2.16(e)(vi)</w:t>
      </w:r>
      <w:r>
        <w:rPr>
          <w:rFonts w:ascii="Arial" w:cs="Arial" w:eastAsia="Arial" w:hAnsi="Arial"/>
          <w:sz w:val="16"/>
          <w:szCs w:val="16"/>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4"/>
          </w:cols>
          <w:pgMar w:left="436" w:top="274" w:right="439" w:bottom="1440" w:gutter="0" w:footer="0" w:header="0"/>
        </w:sectPr>
      </w:pPr>
    </w:p>
    <w:bookmarkStart w:id="434" w:name="page435"/>
    <w:bookmarkEnd w:id="434"/>
    <w:p>
      <w:pPr>
        <w:ind w:left="4" w:right="480" w:firstLine="419"/>
        <w:spacing w:after="0" w:line="311" w:lineRule="auto"/>
        <w:tabs>
          <w:tab w:leader="none" w:pos="691" w:val="left"/>
        </w:tabs>
        <w:numPr>
          <w:ilvl w:val="0"/>
          <w:numId w:val="5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40" w:lineRule="exact"/>
        <w:rPr>
          <w:rFonts w:ascii="Arial" w:cs="Arial" w:eastAsia="Arial" w:hAnsi="Arial"/>
          <w:sz w:val="16"/>
          <w:szCs w:val="16"/>
          <w:color w:val="auto"/>
        </w:rPr>
      </w:pPr>
    </w:p>
    <w:p>
      <w:pPr>
        <w:ind w:left="4" w:right="340" w:firstLine="419"/>
        <w:spacing w:after="0" w:line="259" w:lineRule="auto"/>
        <w:tabs>
          <w:tab w:leader="none" w:pos="741"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9" w:lineRule="exact"/>
        <w:rPr>
          <w:sz w:val="20"/>
          <w:szCs w:val="20"/>
          <w:color w:val="auto"/>
        </w:rPr>
      </w:pPr>
    </w:p>
    <w:p>
      <w:pPr>
        <w:ind w:left="4" w:right="100" w:firstLine="419"/>
        <w:spacing w:after="0" w:line="287" w:lineRule="auto"/>
        <w:tabs>
          <w:tab w:leader="none" w:pos="721" w:val="left"/>
        </w:tabs>
        <w:numPr>
          <w:ilvl w:val="1"/>
          <w:numId w:val="51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this Agreement or any other Loan Document, executed originals of IRS Form W-8BEN or IRS Form W-8BEN-E, as applicable, establishing an exemption from, or reduction of, U.S. Federal withholding Tax pursuant to the “interest” article of such tax treaty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518"/>
        </w:numPr>
        <w:rPr>
          <w:rFonts w:ascii="Arial" w:cs="Arial" w:eastAsia="Arial" w:hAnsi="Arial"/>
          <w:sz w:val="17"/>
          <w:szCs w:val="17"/>
          <w:color w:val="auto"/>
        </w:rPr>
      </w:pPr>
      <w:r>
        <w:rPr>
          <w:rFonts w:ascii="Arial" w:cs="Arial" w:eastAsia="Arial" w:hAnsi="Arial"/>
          <w:sz w:val="17"/>
          <w:szCs w:val="17"/>
          <w:color w:val="auto"/>
        </w:rPr>
        <w:t>with respect to any other applicable payments under this Agreement or any other Loan Document, IRS Form W-8BEN or IRS Form</w:t>
      </w:r>
    </w:p>
    <w:p>
      <w:pPr>
        <w:spacing w:after="0" w:line="21" w:lineRule="exact"/>
        <w:rPr>
          <w:sz w:val="20"/>
          <w:szCs w:val="20"/>
          <w:color w:val="auto"/>
        </w:rPr>
      </w:pPr>
    </w:p>
    <w:p>
      <w:pPr>
        <w:ind w:left="4" w:right="280"/>
        <w:spacing w:after="0" w:line="260" w:lineRule="auto"/>
        <w:rPr>
          <w:sz w:val="20"/>
          <w:szCs w:val="20"/>
          <w:color w:val="auto"/>
        </w:rPr>
      </w:pPr>
      <w:r>
        <w:rPr>
          <w:rFonts w:ascii="Arial" w:cs="Arial" w:eastAsia="Arial" w:hAnsi="Arial"/>
          <w:sz w:val="18"/>
          <w:szCs w:val="18"/>
          <w:color w:val="auto"/>
        </w:rPr>
        <w:t>W-8BEN-E, as applicable, establishing an exemption from, or reduction of, U.S. Federal withholding Tax pursuant to the “business profits” or “other income” article of such tax treaty;</w:t>
      </w:r>
    </w:p>
    <w:p>
      <w:pPr>
        <w:spacing w:after="0" w:line="77" w:lineRule="exact"/>
        <w:rPr>
          <w:sz w:val="20"/>
          <w:szCs w:val="20"/>
          <w:color w:val="auto"/>
        </w:rPr>
      </w:pPr>
    </w:p>
    <w:p>
      <w:pPr>
        <w:ind w:left="704" w:hanging="281"/>
        <w:spacing w:after="0"/>
        <w:tabs>
          <w:tab w:leader="none" w:pos="704"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4" w:firstLine="419"/>
        <w:spacing w:after="0" w:line="257" w:lineRule="auto"/>
        <w:tabs>
          <w:tab w:leader="none" w:pos="711"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 “</w:t>
      </w:r>
      <w:r>
        <w:rPr>
          <w:rFonts w:ascii="Arial" w:cs="Arial" w:eastAsia="Arial" w:hAnsi="Arial"/>
          <w:sz w:val="18"/>
          <w:szCs w:val="18"/>
          <w:u w:val="single" w:color="auto"/>
          <w:color w:val="auto"/>
        </w:rPr>
        <w:t>Portfolio Interest Certificate</w:t>
      </w:r>
      <w:r>
        <w:rPr>
          <w:rFonts w:ascii="Arial" w:cs="Arial" w:eastAsia="Arial" w:hAnsi="Arial"/>
          <w:sz w:val="18"/>
          <w:szCs w:val="18"/>
          <w:color w:val="auto"/>
        </w:rPr>
        <w:t>”) and (y) executed originals of IRS Form W-8BEN or IRS Form W-8BEN-E, as applicable; or</w:t>
      </w:r>
    </w:p>
    <w:p>
      <w:pPr>
        <w:spacing w:after="0" w:line="79" w:lineRule="exact"/>
        <w:rPr>
          <w:rFonts w:ascii="Arial" w:cs="Arial" w:eastAsia="Arial" w:hAnsi="Arial"/>
          <w:sz w:val="18"/>
          <w:szCs w:val="18"/>
          <w:color w:val="auto"/>
        </w:rPr>
      </w:pPr>
    </w:p>
    <w:p>
      <w:pPr>
        <w:ind w:left="724" w:hanging="301"/>
        <w:spacing w:after="0"/>
        <w:tabs>
          <w:tab w:leader="none" w:pos="724" w:val="left"/>
        </w:tabs>
        <w:numPr>
          <w:ilvl w:val="0"/>
          <w:numId w:val="519"/>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originals of IRS Form W-8IMY, accompanied by IRS Form</w:t>
      </w:r>
    </w:p>
    <w:p>
      <w:pPr>
        <w:spacing w:after="0" w:line="35" w:lineRule="exact"/>
        <w:rPr>
          <w:sz w:val="20"/>
          <w:szCs w:val="20"/>
          <w:color w:val="auto"/>
        </w:rPr>
      </w:pPr>
    </w:p>
    <w:p>
      <w:pPr>
        <w:ind w:left="4" w:right="60"/>
        <w:spacing w:after="0" w:line="295" w:lineRule="auto"/>
        <w:rPr>
          <w:sz w:val="20"/>
          <w:szCs w:val="20"/>
          <w:color w:val="auto"/>
        </w:rPr>
      </w:pPr>
      <w:r>
        <w:rPr>
          <w:rFonts w:ascii="Arial" w:cs="Arial" w:eastAsia="Arial" w:hAnsi="Arial"/>
          <w:sz w:val="16"/>
          <w:szCs w:val="16"/>
          <w:color w:val="auto"/>
        </w:rPr>
        <w:t xml:space="preserve">W-8ECI, IRS Form W-8BEN or IRS Form W-8BEN-E, as applicable, a Portfolio Interest Certificate in compliance with </w:t>
      </w:r>
      <w:r>
        <w:rPr>
          <w:rFonts w:ascii="Arial" w:cs="Arial" w:eastAsia="Arial" w:hAnsi="Arial"/>
          <w:sz w:val="16"/>
          <w:szCs w:val="16"/>
          <w:u w:val="single" w:color="auto"/>
          <w:color w:val="auto"/>
        </w:rPr>
        <w:t>Section 2.16(e)(iii)(C)</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Portfolio Interest Certificate in compliance with </w:t>
      </w:r>
      <w:r>
        <w:rPr>
          <w:rFonts w:ascii="Arial" w:cs="Arial" w:eastAsia="Arial" w:hAnsi="Arial"/>
          <w:sz w:val="16"/>
          <w:szCs w:val="16"/>
          <w:u w:val="single" w:color="auto"/>
          <w:color w:val="auto"/>
        </w:rPr>
        <w:t>Section 2.16(e)(iii)(C)</w:t>
      </w:r>
      <w:r>
        <w:rPr>
          <w:rFonts w:ascii="Arial" w:cs="Arial" w:eastAsia="Arial" w:hAnsi="Arial"/>
          <w:sz w:val="16"/>
          <w:szCs w:val="16"/>
          <w:color w:val="auto"/>
        </w:rPr>
        <w:t xml:space="preserve"> on behalf of each such direct or indirect partner.</w:t>
      </w:r>
    </w:p>
    <w:p>
      <w:pPr>
        <w:spacing w:after="0" w:line="9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24"/>
          </w:cols>
          <w:pgMar w:left="876" w:top="274" w:right="499" w:bottom="1440" w:gutter="0" w:footer="0" w:header="0"/>
        </w:sectPr>
      </w:pPr>
    </w:p>
    <w:bookmarkStart w:id="435" w:name="page436"/>
    <w:bookmarkEnd w:id="435"/>
    <w:p>
      <w:pPr>
        <w:ind w:left="440" w:right="80" w:firstLine="419"/>
        <w:spacing w:after="0" w:line="255" w:lineRule="auto"/>
        <w:tabs>
          <w:tab w:leader="none" w:pos="1168" w:val="left"/>
        </w:tabs>
        <w:numPr>
          <w:ilvl w:val="0"/>
          <w:numId w:val="5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withholding or deduction required to be made.</w:t>
      </w:r>
    </w:p>
    <w:p>
      <w:pPr>
        <w:spacing w:after="0" w:line="84" w:lineRule="exact"/>
        <w:rPr>
          <w:rFonts w:ascii="Arial" w:cs="Arial" w:eastAsia="Arial" w:hAnsi="Arial"/>
          <w:sz w:val="18"/>
          <w:szCs w:val="18"/>
          <w:color w:val="auto"/>
        </w:rPr>
      </w:pPr>
    </w:p>
    <w:p>
      <w:pPr>
        <w:ind w:left="440" w:right="80" w:firstLine="419"/>
        <w:spacing w:after="0" w:line="253" w:lineRule="auto"/>
        <w:tabs>
          <w:tab w:leader="none" w:pos="111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If a payment made to a Lender under this Agreement or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other documentation reasonably requested by the Borrower or the Administrative Agent as may be necessary for the Administrative Agent and the Borrower to comply with their obligations under FATCA and to determine that such Lender has complied with such Lender’s obligations under FATCA or to determine the amount to deduct and withhold from such payment. Solely for purposes of this Section 2.16(e)(v), “FATCA” shall include any amendments made to FATCA after the Effective Date.</w:t>
      </w:r>
    </w:p>
    <w:p>
      <w:pPr>
        <w:spacing w:after="0" w:line="88" w:lineRule="exact"/>
        <w:rPr>
          <w:rFonts w:ascii="Arial" w:cs="Arial" w:eastAsia="Arial" w:hAnsi="Arial"/>
          <w:sz w:val="18"/>
          <w:szCs w:val="18"/>
          <w:color w:val="auto"/>
        </w:rPr>
      </w:pPr>
    </w:p>
    <w:p>
      <w:pPr>
        <w:ind w:left="440" w:right="100" w:firstLine="419"/>
        <w:spacing w:after="0" w:line="263" w:lineRule="auto"/>
        <w:tabs>
          <w:tab w:leader="none" w:pos="116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Each Lender agrees that if any form, certification or other documentation it previously delivered expires or becomes obsolete or inaccurate in any respect, it shall update such form or certification or promptly notify the Borrower and the Administrative Agent in writing of its legal inability to do so.</w:t>
      </w:r>
    </w:p>
    <w:p>
      <w:pPr>
        <w:spacing w:after="0" w:line="75" w:lineRule="exact"/>
        <w:rPr>
          <w:rFonts w:ascii="Arial" w:cs="Arial" w:eastAsia="Arial" w:hAnsi="Arial"/>
          <w:sz w:val="18"/>
          <w:szCs w:val="18"/>
          <w:color w:val="auto"/>
        </w:rPr>
      </w:pPr>
    </w:p>
    <w:p>
      <w:pPr>
        <w:ind w:firstLine="987"/>
        <w:spacing w:after="0" w:line="283" w:lineRule="auto"/>
        <w:tabs>
          <w:tab w:leader="none" w:pos="1216" w:val="left"/>
        </w:tabs>
        <w:numPr>
          <w:ilvl w:val="1"/>
          <w:numId w:val="520"/>
        </w:numPr>
        <w:rPr>
          <w:rFonts w:ascii="Arial" w:cs="Arial" w:eastAsia="Arial" w:hAnsi="Arial"/>
          <w:sz w:val="16"/>
          <w:szCs w:val="16"/>
          <w:color w:val="auto"/>
        </w:rPr>
      </w:pPr>
      <w:r>
        <w:rPr>
          <w:rFonts w:ascii="Arial" w:cs="Arial" w:eastAsia="Arial" w:hAnsi="Arial"/>
          <w:sz w:val="16"/>
          <w:szCs w:val="16"/>
          <w:color w:val="auto"/>
        </w:rPr>
        <w:t xml:space="preserve">Each Lender shall severally indemnify the Administrative Agent, within 10 days after demand thereof, for (i) any Indemnified Taxes or Other Taxes attributable to such Lender (but only to the extent that any Loan Party has not already indemnified the Administrative Agent for such Indemnified Taxes or Other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10.4(c)</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this Agreement or any other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otherwise payable by the Administrative Agent to such Lender from any other source against any amount due to the Administrative Agent under this paragraph. Each Lender hereby authorizes the Administrative Agent to deliver to the Borrower and to any successor Administrative Agent any documentation provided by the Lender to the Administrative Agent pursuant to this</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436" w:name="page437"/>
    <w:bookmarkEnd w:id="436"/>
    <w:p>
      <w:pPr>
        <w:ind w:firstLine="987"/>
        <w:spacing w:after="0" w:line="287" w:lineRule="auto"/>
        <w:tabs>
          <w:tab w:leader="none" w:pos="1246" w:val="left"/>
        </w:tabs>
        <w:numPr>
          <w:ilvl w:val="0"/>
          <w:numId w:val="5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Lender or the Administrative Agent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2.16 with respect to the Taxes giving rise to such refund), net of all out-of-pocket expenses (including Taxes) of such indemnified party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 any Lender or the Administrative Agent may determine, in its sole discretion exercised in good faith consistent with the policies of such Lender or the Administrative Agent, whether to seek a refund for any Taxes; (x) any Taxes that are imposed on a Lender or the Administrative Agent as a result of a disallowance or reduction of any Tax refund with respect to which such Lender or the Administrative Agent has made a payment to the indemnifying party pursuant to this Section shall be treated as an Indemnified Tax for which the indemnifying party is obligated to indemnify such Lender or the Administrative Agent pursuant to this Section without any exclusions or defenses; (y) nothing in this Section shall require the Lender or the Administrative Agent to disclose any confidential information to a Loan Party or any other Lender (including its tax returns);and (z) neither any Lender nor the Administrative Agent shall be required to pay any amounts pursuant to this Section for so long as a Default or Event of Default exists.</w:t>
      </w:r>
    </w:p>
    <w:p>
      <w:pPr>
        <w:spacing w:after="0" w:line="59" w:lineRule="exact"/>
        <w:rPr>
          <w:rFonts w:ascii="Arial" w:cs="Arial" w:eastAsia="Arial" w:hAnsi="Arial"/>
          <w:sz w:val="16"/>
          <w:szCs w:val="16"/>
          <w:color w:val="auto"/>
        </w:rPr>
      </w:pPr>
    </w:p>
    <w:p>
      <w:pPr>
        <w:ind w:left="1240" w:hanging="253"/>
        <w:spacing w:after="0"/>
        <w:tabs>
          <w:tab w:leader="none" w:pos="124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2.16</w:t>
      </w:r>
      <w:r>
        <w:rPr>
          <w:rFonts w:ascii="Arial" w:cs="Arial" w:eastAsia="Arial" w:hAnsi="Arial"/>
          <w:sz w:val="17"/>
          <w:szCs w:val="17"/>
          <w:color w:val="auto"/>
        </w:rPr>
        <w:t>, the term “Lender” includes any Issuing Bank and the term “applicable law” includes FATCA.</w:t>
      </w:r>
    </w:p>
    <w:p>
      <w:pPr>
        <w:spacing w:after="0" w:line="128" w:lineRule="exact"/>
        <w:rPr>
          <w:rFonts w:ascii="Arial" w:cs="Arial" w:eastAsia="Arial" w:hAnsi="Arial"/>
          <w:sz w:val="17"/>
          <w:szCs w:val="17"/>
          <w:color w:val="auto"/>
        </w:rPr>
      </w:pPr>
    </w:p>
    <w:p>
      <w:pPr>
        <w:jc w:val="both"/>
        <w:ind w:right="600" w:firstLine="987"/>
        <w:spacing w:after="0" w:line="263" w:lineRule="auto"/>
        <w:tabs>
          <w:tab w:leader="none" w:pos="120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(a) The Borrower shall make each payment required to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made by it hereunder (whether of principal, interest, fees, reimbursements under Letters of Credit, or of amounts payable under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2.16</w:t>
      </w:r>
      <w:r>
        <w:rPr>
          <w:rFonts w:ascii="Arial" w:cs="Arial" w:eastAsia="Arial" w:hAnsi="Arial"/>
          <w:sz w:val="16"/>
          <w:szCs w:val="16"/>
          <w:color w:val="auto"/>
        </w:rPr>
        <w:t>, or otherwise) prior to 12:00 noon, New York City time, on the date when due, in immediately available funds, without 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 or counterclaim. Any amounts received after such time on any date may, in the discretion of the Administrative Agent, be deemed to have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received on the next succeeding Business Day for purposes of calculating interest thereon. All such payments shall be made to such account as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specified by the Administrative Agent and except that payments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be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to the Persons entitled thereto. The Administrative Agent shall distribute any such payments received by it for the account of any other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appropriate recipient promptly following receipt thereof. If any payment or performance hereunder shall be due on a day that is not a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the date for payment or performance shall be extended to the next succeeding Business Day, and, in the case of any payment accruing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thereon shall be payable for the period of such extension. All payments hereunder shall be made in dollars.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437" w:name="page438"/>
    <w:bookmarkEnd w:id="437"/>
    <w:p>
      <w:pPr>
        <w:ind w:left="4" w:right="120" w:firstLine="987"/>
        <w:spacing w:after="0" w:line="287" w:lineRule="auto"/>
        <w:tabs>
          <w:tab w:leader="none" w:pos="1250" w:val="left"/>
        </w:tabs>
        <w:numPr>
          <w:ilvl w:val="1"/>
          <w:numId w:val="5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insufficient funds are received by and available to the Administrative Agent to pay fully all amounts of principal, unreimbursed drawings under Letters of Credit, interest and fees then due hereunder, such funds shall be applied (i) first, towards payment of interest and fees then due hereunder, ratably among the parties entitled thereto in accordance with the amounts of interest and fees then due to such parties, and</w:t>
      </w:r>
    </w:p>
    <w:p>
      <w:pPr>
        <w:spacing w:after="0" w:line="2" w:lineRule="exact"/>
        <w:rPr>
          <w:rFonts w:ascii="Arial" w:cs="Arial" w:eastAsia="Arial" w:hAnsi="Arial"/>
          <w:sz w:val="16"/>
          <w:szCs w:val="16"/>
          <w:color w:val="auto"/>
        </w:rPr>
      </w:pPr>
    </w:p>
    <w:p>
      <w:pPr>
        <w:ind w:left="4" w:right="380" w:hanging="4"/>
        <w:spacing w:after="0" w:line="290" w:lineRule="auto"/>
        <w:tabs>
          <w:tab w:leader="none" w:pos="269" w:val="left"/>
        </w:tabs>
        <w:numPr>
          <w:ilvl w:val="0"/>
          <w:numId w:val="523"/>
        </w:numPr>
        <w:rPr>
          <w:rFonts w:ascii="Arial" w:cs="Arial" w:eastAsia="Arial" w:hAnsi="Arial"/>
          <w:sz w:val="17"/>
          <w:szCs w:val="17"/>
          <w:color w:val="auto"/>
        </w:rPr>
      </w:pPr>
      <w:r>
        <w:rPr>
          <w:rFonts w:ascii="Arial" w:cs="Arial" w:eastAsia="Arial" w:hAnsi="Arial"/>
          <w:sz w:val="17"/>
          <w:szCs w:val="17"/>
          <w:color w:val="auto"/>
        </w:rPr>
        <w:t>second, towards payment of principal and unreimbursed drawings under Letters of Credit then due hereunder, ratably among the parties entitled thereto in accordance with the amounts of principal and unreimbursed drawings under Letters of Credit then due to such parties.</w:t>
      </w:r>
    </w:p>
    <w:p>
      <w:pPr>
        <w:spacing w:after="0" w:line="53" w:lineRule="exact"/>
        <w:rPr>
          <w:rFonts w:ascii="Arial" w:cs="Arial" w:eastAsia="Arial" w:hAnsi="Arial"/>
          <w:sz w:val="17"/>
          <w:szCs w:val="17"/>
          <w:color w:val="auto"/>
        </w:rPr>
      </w:pPr>
    </w:p>
    <w:p>
      <w:pPr>
        <w:ind w:left="4" w:right="40" w:firstLine="987"/>
        <w:spacing w:after="0" w:line="285" w:lineRule="auto"/>
        <w:tabs>
          <w:tab w:leader="none" w:pos="1240" w:val="left"/>
        </w:tabs>
        <w:numPr>
          <w:ilvl w:val="1"/>
          <w:numId w:val="523"/>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 off or counterclaim or otherwise, obtain payment in respect of any principal of or interest on any of its Loans or participations in Swing Line Loans or drawings under Letters of Credit resulting in such Lender receiving payment of a greater proportion of the aggregate amount of its Loans and participations in Swing Line Loans or drawings under Letters of Credit and accrued interest thereon than the proportion received by any other Lender, then the Lender receiving such greater proportion shall purchase (for cash at face value) participations in the Loans and participations in Swing Line Loans or drawings under Letters of Credit of other Lenders to the extent necessary so that the benefit of all such payments shall be shared by the Lenders ratably in accordance with the aggregate amount of principal of and accrued interest on their respective Loans and participations in Swing Line Loans or drawings under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(for the avoidance of doubt, as in effect from time to time) (including the application of funds arising from the existence of a Defaulting Lender) or any payment obtained by a Lender as consideration for the assignment of or sale of a participation in any of its Loans or participations in Swing Line Loans or drawings under Letters of Credit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68" w:lineRule="exact"/>
        <w:rPr>
          <w:rFonts w:ascii="Arial" w:cs="Arial" w:eastAsia="Arial" w:hAnsi="Arial"/>
          <w:sz w:val="16"/>
          <w:szCs w:val="16"/>
          <w:color w:val="auto"/>
        </w:rPr>
      </w:pPr>
    </w:p>
    <w:p>
      <w:pPr>
        <w:ind w:left="4" w:firstLine="987"/>
        <w:spacing w:after="0" w:line="254" w:lineRule="auto"/>
        <w:tabs>
          <w:tab w:leader="none" w:pos="125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Issuing Banks hereunder that the Borrower will not make such payment, the Administrative Agent may assume that the Borrower has made such payment on such date in accordance herewith and may, in reliance upon such assumption, distribute to the Lenders or Issuing Banks the amount due. In such event, if the Borrower has not in fact made such payment, then each of the Lenders or Issuing Banks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274" w:right="459" w:bottom="1440" w:gutter="0" w:footer="0" w:header="0"/>
        </w:sectPr>
      </w:pPr>
    </w:p>
    <w:bookmarkStart w:id="438" w:name="page439"/>
    <w:bookmarkEnd w:id="438"/>
    <w:p>
      <w:pPr>
        <w:ind w:right="180" w:firstLine="987"/>
        <w:spacing w:after="0" w:line="259" w:lineRule="auto"/>
        <w:tabs>
          <w:tab w:leader="none" w:pos="1236" w:val="left"/>
        </w:tabs>
        <w:numPr>
          <w:ilvl w:val="0"/>
          <w:numId w:val="5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Lender shall fail to make any payment required to be made by it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or paragraph (d) 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7"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xml:space="preserve">. (a) If any Lender (which term shall include any Issuing Bank for purposes of this </w:t>
      </w:r>
      <w:r>
        <w:rPr>
          <w:rFonts w:ascii="Arial" w:cs="Arial" w:eastAsia="Arial" w:hAnsi="Arial"/>
          <w:sz w:val="17"/>
          <w:szCs w:val="17"/>
          <w:u w:val="single" w:color="auto"/>
          <w:color w:val="auto"/>
        </w:rPr>
        <w:t>Section 2.18(a)</w:t>
      </w:r>
      <w:r>
        <w:rPr>
          <w:rFonts w:ascii="Arial" w:cs="Arial" w:eastAsia="Arial" w:hAnsi="Arial"/>
          <w:sz w:val="17"/>
          <w:szCs w:val="17"/>
          <w:color w:val="auto"/>
        </w:rPr>
        <w:t xml:space="preserve">) requests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if the Borrower is required to pay any Indemnified Taxes, Other Taxes or additional amounts to any Lender or any Governmental Authority for the account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2.16</w:t>
      </w:r>
      <w:r>
        <w:rPr>
          <w:rFonts w:ascii="Arial" w:cs="Arial" w:eastAsia="Arial" w:hAnsi="Arial"/>
          <w:sz w:val="17"/>
          <w:szCs w:val="17"/>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70" w:lineRule="exact"/>
        <w:rPr>
          <w:sz w:val="20"/>
          <w:szCs w:val="20"/>
          <w:color w:val="auto"/>
        </w:rPr>
      </w:pPr>
    </w:p>
    <w:p>
      <w:pPr>
        <w:ind w:firstLine="987"/>
        <w:spacing w:after="0" w:line="267" w:lineRule="auto"/>
        <w:tabs>
          <w:tab w:leader="none" w:pos="1246" w:val="left"/>
        </w:tabs>
        <w:numPr>
          <w:ilvl w:val="0"/>
          <w:numId w:val="525"/>
        </w:numPr>
        <w:rPr>
          <w:rFonts w:ascii="Arial" w:cs="Arial" w:eastAsia="Arial" w:hAnsi="Arial"/>
          <w:sz w:val="17"/>
          <w:szCs w:val="17"/>
          <w:color w:val="auto"/>
        </w:rPr>
      </w:pPr>
      <w:r>
        <w:rPr>
          <w:rFonts w:ascii="Arial" w:cs="Arial" w:eastAsia="Arial" w:hAnsi="Arial"/>
          <w:sz w:val="17"/>
          <w:szCs w:val="17"/>
          <w:color w:val="auto"/>
        </w:rPr>
        <w:t xml:space="preserve">If (i) any Lender (which term shall include any Issuing Bank for purposes of this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requests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(ii) the Borrower is required to pay any Indemnified Taxes, Other Taxes or additional amounts to any Lender or any Governmental Authority for the account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(iii) any Lender is a Defaulting Lender or a Non-Consenting Lender or (iv) any Lender is a Declining Lender under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all its interests, rights and obligations under this Agreement and the other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Borrower (in the case of all other amounts), (iii) in the case of any such assignment resulting from a claim for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such assignment will result in a reduction in such compensation or payments, (iv) such assignment does not conflict with applicable law and (v) in the case of any assignment resulting from a Lender becoming a Non-Consenting Lender, (x) the applicable assignee shall have consented to, or shall consent to, the applicable amendment, waiver or consent and (y) the Borrower exercises its rights pursuant to this clause (b) with respect to all Non-Consenting Lenders relating to the applicable amendment, waiver or consent. A Lender shall not be required to make any such assignment or delegation if, prior thereto, as a result of a waiver or consent by such Lender or otherwise, the circumstances entitling the Borrower to require such assignment and delegation have ceased to apply.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439" w:name="page440"/>
    <w:bookmarkEnd w:id="439"/>
    <w:p>
      <w:pPr>
        <w:ind w:right="700" w:firstLine="987"/>
        <w:spacing w:after="0" w:line="263" w:lineRule="auto"/>
        <w:tabs>
          <w:tab w:leader="none" w:pos="1236" w:val="left"/>
        </w:tabs>
        <w:numPr>
          <w:ilvl w:val="0"/>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w:t>
      </w:r>
    </w:p>
    <w:p>
      <w:pPr>
        <w:spacing w:after="0" w:line="184"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Increase in the Aggregate Commitments</w:t>
      </w:r>
      <w:r>
        <w:rPr>
          <w:rFonts w:ascii="Arial" w:cs="Arial" w:eastAsia="Arial" w:hAnsi="Arial"/>
          <w:sz w:val="18"/>
          <w:szCs w:val="18"/>
          <w:color w:val="auto"/>
        </w:rPr>
        <w:t>. (a) The Borrower may, from time to time, by notice to the Administrative Agent, request that the aggregate amount of the Commitments be increased by a minimum amount equal to $10,000,000 or an integral multiple of $5,000,000 in excess thereof (each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to be effective as of a date (the “</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as specified in the related notice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Default or Event of Default shall have occurred and be continuing as of the date of such request or as of the applicable Increase Date, or shall occur as a result thereof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at no time shall the total aggregate Commitment Increase hereunder exceed $250,000,000.</w:t>
      </w:r>
    </w:p>
    <w:p>
      <w:pPr>
        <w:spacing w:after="0" w:line="84" w:lineRule="exact"/>
        <w:rPr>
          <w:sz w:val="20"/>
          <w:szCs w:val="20"/>
          <w:color w:val="auto"/>
        </w:rPr>
      </w:pPr>
    </w:p>
    <w:p>
      <w:pPr>
        <w:ind w:right="120" w:firstLine="987"/>
        <w:spacing w:after="0" w:line="269" w:lineRule="auto"/>
        <w:tabs>
          <w:tab w:leader="none" w:pos="1246"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Administrative Agent shall promptly notify the Lenders of a request by the Borrower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Commitments (the “</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Each Lender that is willing to participate in such requested Commitment Increase (each an “</w:t>
      </w:r>
      <w:r>
        <w:rPr>
          <w:rFonts w:ascii="Arial" w:cs="Arial" w:eastAsia="Arial" w:hAnsi="Arial"/>
          <w:sz w:val="17"/>
          <w:szCs w:val="17"/>
          <w:u w:val="single" w:color="auto"/>
          <w:color w:val="auto"/>
        </w:rPr>
        <w:t>Increasing Lender</w:t>
      </w:r>
      <w:r>
        <w:rPr>
          <w:rFonts w:ascii="Arial" w:cs="Arial" w:eastAsia="Arial" w:hAnsi="Arial"/>
          <w:sz w:val="17"/>
          <w:szCs w:val="17"/>
          <w:color w:val="auto"/>
        </w:rPr>
        <w:t>”) shall give written notice to the Administrative Agent on or prior to the Commitment Date of the amount by which it is willing to increase its Commitment. If the Lenders notify the Administrative Agent that they are willing to increase the amount of their respective Commitments by an aggregate amount that exceeds the amount of the requested Commitment Increase, the requested Commitment Increase shall be allocated among the Lenders willing to participate therein in such amounts as are agreed between the Borrower and the Administrative Agent. The increase of the Commitment of any Increasing Lender shall be subject to the prior written consent of each Issuing Bank (such consent not to be unreasonably withheld or delayed). The failure of any Lender to respond shall be deemed to be a refusal of such Lender to increase its Commitment.</w:t>
      </w:r>
    </w:p>
    <w:p>
      <w:pPr>
        <w:spacing w:after="0" w:line="77" w:lineRule="exact"/>
        <w:rPr>
          <w:rFonts w:ascii="Arial" w:cs="Arial" w:eastAsia="Arial" w:hAnsi="Arial"/>
          <w:sz w:val="17"/>
          <w:szCs w:val="17"/>
          <w:color w:val="auto"/>
        </w:rPr>
      </w:pPr>
    </w:p>
    <w:p>
      <w:pPr>
        <w:ind w:firstLine="987"/>
        <w:spacing w:after="0" w:line="254" w:lineRule="auto"/>
        <w:tabs>
          <w:tab w:leader="none" w:pos="123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Promptly following each Commitment Date, the Administrative Agent shall notify the Borrower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Borrower may extend offers to one or more Persons (but not to the Borrower or an Affiliate thereof or any natural person) reasonably acceptable to the Administrative Agent, each Issuing Bank and the Swing Line Lender (each, an “</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to participate in any portion of the requested Commitment Increase that has not been committed to by the Lenders as of the applicable Commitment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agreed by the Borrower and the Administrative Agent, the Commitment of each such Eligible Assignee shall be in an amount of $5,000,000 or an integral multiple of $1,000,000 in excess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440" w:name="page441"/>
    <w:bookmarkEnd w:id="440"/>
    <w:p>
      <w:pPr>
        <w:ind w:left="4" w:right="60" w:firstLine="987"/>
        <w:spacing w:after="0" w:line="275" w:lineRule="auto"/>
        <w:tabs>
          <w:tab w:leader="none" w:pos="1250" w:val="left"/>
        </w:tabs>
        <w:numPr>
          <w:ilvl w:val="2"/>
          <w:numId w:val="5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each Increase Date, each Eligible Assignee that accepts an offer to participate in a requested Commitment Increase in accordance with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(each such Eligible Assignee, an “</w:t>
      </w:r>
      <w:r>
        <w:rPr>
          <w:rFonts w:ascii="Arial" w:cs="Arial" w:eastAsia="Arial" w:hAnsi="Arial"/>
          <w:sz w:val="17"/>
          <w:szCs w:val="17"/>
          <w:u w:val="single" w:color="auto"/>
          <w:color w:val="auto"/>
        </w:rPr>
        <w:t>Assuming Lender</w:t>
      </w:r>
      <w:r>
        <w:rPr>
          <w:rFonts w:ascii="Arial" w:cs="Arial" w:eastAsia="Arial" w:hAnsi="Arial"/>
          <w:sz w:val="17"/>
          <w:szCs w:val="17"/>
          <w:color w:val="auto"/>
        </w:rPr>
        <w:t xml:space="preserve">”) shall become a Lender party to this Agreement as of such Increase Date and the Commitment of each Increasing Lender for such requested Commitment Increase shall be so increased by such amount (or by the amount allocated to such Lender pursuant to the second last sentence of </w:t>
      </w:r>
      <w:r>
        <w:rPr>
          <w:rFonts w:ascii="Arial" w:cs="Arial" w:eastAsia="Arial" w:hAnsi="Arial"/>
          <w:sz w:val="17"/>
          <w:szCs w:val="17"/>
          <w:u w:val="single" w:color="auto"/>
          <w:color w:val="auto"/>
        </w:rPr>
        <w:t>Section 2.19(b)</w:t>
      </w:r>
      <w:r>
        <w:rPr>
          <w:rFonts w:ascii="Arial" w:cs="Arial" w:eastAsia="Arial" w:hAnsi="Arial"/>
          <w:sz w:val="17"/>
          <w:szCs w:val="17"/>
          <w:color w:val="auto"/>
        </w:rPr>
        <w:t xml:space="preserve">) as of such Increase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shall have received on or before such Increase Date the following, each dated such date:</w:t>
      </w:r>
    </w:p>
    <w:p>
      <w:pPr>
        <w:spacing w:after="0" w:line="68" w:lineRule="exact"/>
        <w:rPr>
          <w:rFonts w:ascii="Arial" w:cs="Arial" w:eastAsia="Arial" w:hAnsi="Arial"/>
          <w:sz w:val="17"/>
          <w:szCs w:val="17"/>
          <w:color w:val="auto"/>
        </w:rPr>
      </w:pPr>
    </w:p>
    <w:p>
      <w:pPr>
        <w:ind w:left="444" w:right="40" w:firstLine="419"/>
        <w:spacing w:after="0" w:line="288" w:lineRule="auto"/>
        <w:tabs>
          <w:tab w:leader="none" w:pos="1082" w:val="left"/>
        </w:tabs>
        <w:numPr>
          <w:ilvl w:val="1"/>
          <w:numId w:val="529"/>
        </w:numPr>
        <w:rPr>
          <w:rFonts w:ascii="Arial" w:cs="Arial" w:eastAsia="Arial" w:hAnsi="Arial"/>
          <w:sz w:val="16"/>
          <w:szCs w:val="16"/>
          <w:color w:val="auto"/>
        </w:rPr>
      </w:pPr>
      <w:r>
        <w:rPr>
          <w:rFonts w:ascii="Arial" w:cs="Arial" w:eastAsia="Arial" w:hAnsi="Arial"/>
          <w:sz w:val="16"/>
          <w:szCs w:val="16"/>
          <w:color w:val="auto"/>
        </w:rPr>
        <w:t xml:space="preserve">(A) a certificate of the Borrower signed by an authorized officer of the Borrower (1) certifying and attaching the resolutions adopted by the board of directors or other applicable governing body of the Borrower approving the Commitment Increase and the corresponding modifications to this Agreement, and (2) certifying that, before and after giving effect to such increase, (x)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the other Loan Documents are true and correct in all material respects (other than to the extent qualified by materiality or “Material Adverse Effect”, in which case, such representations and warranties shall be true and correct in all respects) on and as of the Increase Date, except to the extent that such representations and warranties specifically refer to an earlier date, in which case they are true and correct in such manner as of such earlier date, and except that for purposes of this Section, the representations and warranties contained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shall be deemed to refer, following the first delivery thereof, to the most recent statements furnished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and (y) no Default or Event of Default exists and, if requested by the Administrative Agent, (B) an opinion of counsel for the Borrower (which may be in-house counsel) in form and substance reasonably satisfactory to the Administrative Agent in respect of matters relating to the Commitment Increase;</w:t>
      </w:r>
    </w:p>
    <w:p>
      <w:pPr>
        <w:spacing w:after="0" w:line="60" w:lineRule="exact"/>
        <w:rPr>
          <w:rFonts w:ascii="Arial" w:cs="Arial" w:eastAsia="Arial" w:hAnsi="Arial"/>
          <w:sz w:val="16"/>
          <w:szCs w:val="16"/>
          <w:color w:val="auto"/>
        </w:rPr>
      </w:pPr>
    </w:p>
    <w:p>
      <w:pPr>
        <w:ind w:left="444" w:right="300" w:firstLine="419"/>
        <w:spacing w:after="0" w:line="342" w:lineRule="auto"/>
        <w:tabs>
          <w:tab w:leader="none" w:pos="1132" w:val="left"/>
        </w:tabs>
        <w:numPr>
          <w:ilvl w:val="1"/>
          <w:numId w:val="529"/>
        </w:numPr>
        <w:rPr>
          <w:rFonts w:ascii="Arial" w:cs="Arial" w:eastAsia="Arial" w:hAnsi="Arial"/>
          <w:sz w:val="16"/>
          <w:szCs w:val="16"/>
          <w:color w:val="auto"/>
        </w:rPr>
      </w:pPr>
      <w:r>
        <w:rPr>
          <w:rFonts w:ascii="Arial" w:cs="Arial" w:eastAsia="Arial" w:hAnsi="Arial"/>
          <w:sz w:val="16"/>
          <w:szCs w:val="16"/>
          <w:color w:val="auto"/>
        </w:rPr>
        <w:t>a joinder agreement from each Assuming Lender, if any, in form and substance reasonably satisfactory to such Assuming Lender, the Borrower and the Administrative Agent, duly executed by such Assuming Lender, the Administrative Agent and the Borrower; and</w:t>
      </w:r>
    </w:p>
    <w:p>
      <w:pPr>
        <w:spacing w:after="0" w:line="15" w:lineRule="exact"/>
        <w:rPr>
          <w:rFonts w:ascii="Arial" w:cs="Arial" w:eastAsia="Arial" w:hAnsi="Arial"/>
          <w:sz w:val="16"/>
          <w:szCs w:val="16"/>
          <w:color w:val="auto"/>
        </w:rPr>
      </w:pPr>
    </w:p>
    <w:p>
      <w:pPr>
        <w:ind w:left="444" w:firstLine="419"/>
        <w:spacing w:after="0" w:line="277" w:lineRule="auto"/>
        <w:tabs>
          <w:tab w:leader="none" w:pos="1182" w:val="left"/>
        </w:tabs>
        <w:numPr>
          <w:ilvl w:val="1"/>
          <w:numId w:val="529"/>
        </w:numPr>
        <w:rPr>
          <w:rFonts w:ascii="Arial" w:cs="Arial" w:eastAsia="Arial" w:hAnsi="Arial"/>
          <w:sz w:val="18"/>
          <w:szCs w:val="18"/>
          <w:color w:val="auto"/>
        </w:rPr>
      </w:pPr>
      <w:r>
        <w:rPr>
          <w:rFonts w:ascii="Arial" w:cs="Arial" w:eastAsia="Arial" w:hAnsi="Arial"/>
          <w:sz w:val="18"/>
          <w:szCs w:val="18"/>
          <w:color w:val="auto"/>
        </w:rPr>
        <w:t>confirmation from each Increasing Lender of the increase in the amount of its Commitment in a writing satisfactory to the Borrower and the Administrative Agent.</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2"/>
          <w:numId w:val="529"/>
        </w:numPr>
        <w:rPr>
          <w:rFonts w:ascii="Arial" w:cs="Arial" w:eastAsia="Arial" w:hAnsi="Arial"/>
          <w:sz w:val="16"/>
          <w:szCs w:val="16"/>
          <w:color w:val="auto"/>
        </w:rPr>
      </w:pPr>
      <w:r>
        <w:rPr>
          <w:rFonts w:ascii="Arial" w:cs="Arial" w:eastAsia="Arial" w:hAnsi="Arial"/>
          <w:sz w:val="16"/>
          <w:szCs w:val="16"/>
          <w:color w:val="auto"/>
        </w:rPr>
        <w:t xml:space="preserve">On each Increase Date, upon fulfillment of the conditions set forth in </w:t>
      </w:r>
      <w:r>
        <w:rPr>
          <w:rFonts w:ascii="Arial" w:cs="Arial" w:eastAsia="Arial" w:hAnsi="Arial"/>
          <w:sz w:val="16"/>
          <w:szCs w:val="16"/>
          <w:u w:val="single" w:color="auto"/>
          <w:color w:val="auto"/>
        </w:rPr>
        <w:t>Section 2.19(d)</w:t>
      </w:r>
      <w:r>
        <w:rPr>
          <w:rFonts w:ascii="Arial" w:cs="Arial" w:eastAsia="Arial" w:hAnsi="Arial"/>
          <w:sz w:val="16"/>
          <w:szCs w:val="16"/>
          <w:color w:val="auto"/>
        </w:rPr>
        <w:t>, in the event any Loans are then outstanding,</w:t>
      </w:r>
    </w:p>
    <w:p>
      <w:pPr>
        <w:spacing w:after="0" w:line="46" w:lineRule="exact"/>
        <w:rPr>
          <w:rFonts w:ascii="Arial" w:cs="Arial" w:eastAsia="Arial" w:hAnsi="Arial"/>
          <w:sz w:val="16"/>
          <w:szCs w:val="16"/>
          <w:color w:val="auto"/>
        </w:rPr>
      </w:pPr>
    </w:p>
    <w:p>
      <w:pPr>
        <w:ind w:left="4" w:right="180" w:hanging="4"/>
        <w:spacing w:after="0" w:line="288" w:lineRule="auto"/>
        <w:tabs>
          <w:tab w:leader="none" w:pos="219" w:val="left"/>
        </w:tabs>
        <w:numPr>
          <w:ilvl w:val="0"/>
          <w:numId w:val="530"/>
        </w:numPr>
        <w:rPr>
          <w:rFonts w:ascii="Arial" w:cs="Arial" w:eastAsia="Arial" w:hAnsi="Arial"/>
          <w:sz w:val="16"/>
          <w:szCs w:val="16"/>
          <w:color w:val="auto"/>
        </w:rPr>
      </w:pPr>
      <w:r>
        <w:rPr>
          <w:rFonts w:ascii="Arial" w:cs="Arial" w:eastAsia="Arial" w:hAnsi="Arial"/>
          <w:sz w:val="16"/>
          <w:szCs w:val="16"/>
          <w:color w:val="auto"/>
        </w:rPr>
        <w:t xml:space="preserve">each relevant Increasing Lender and Assuming Lender shall make available to the Administrative Agent such amounts in immediately available funds as the Administrative Agent shall determine, for the benefit of the other Lenders, as being required in order to cause, after giving effect to the applicable Commitment Increase and the application of such amounts to make payments to such other Lenders, the Loans to be held ratably by all Lenders as of such date in accordance with their respective Applicable Percentages (after giving effect to the Commitment Increase), (ii) the Borrower shall be deemed to have prepaid and reborrowed all outstanding Loans made to it as of such Increase Date (with each such borrowing to consist of Loans, with related Interest Periods if applicable, specified in a notice delivered by the Borrower in accordance with the requirements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(iii) the Borrower shall pay to the Lenders the amounts, if any,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as a result of such prepayment.</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441" w:name="page442"/>
    <w:bookmarkEnd w:id="441"/>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 This Section shall supersede any provisions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left="4" w:firstLine="991"/>
        <w:spacing w:after="0" w:line="282"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Extension of Maturity Date</w:t>
      </w:r>
      <w:r>
        <w:rPr>
          <w:rFonts w:ascii="Arial" w:cs="Arial" w:eastAsia="Arial" w:hAnsi="Arial"/>
          <w:sz w:val="16"/>
          <w:szCs w:val="16"/>
          <w:color w:val="auto"/>
        </w:rPr>
        <w:t>. (a) The Borrower may, by delivery of a Maturity Date Extension Request to the Administrative Agent (which shall promptly deliver a copy thereof to each of the Lenders and the Issuing Banks) not less than 30 days prior to the then existing maturity date for Commitments hereunder (the “</w:t>
      </w:r>
      <w:r>
        <w:rPr>
          <w:rFonts w:ascii="Arial" w:cs="Arial" w:eastAsia="Arial" w:hAnsi="Arial"/>
          <w:sz w:val="16"/>
          <w:szCs w:val="16"/>
          <w:u w:val="single" w:color="auto"/>
          <w:color w:val="auto"/>
        </w:rPr>
        <w:t>Existing Maturity Date</w:t>
      </w:r>
      <w:r>
        <w:rPr>
          <w:rFonts w:ascii="Arial" w:cs="Arial" w:eastAsia="Arial" w:hAnsi="Arial"/>
          <w:sz w:val="16"/>
          <w:szCs w:val="16"/>
          <w:color w:val="auto"/>
        </w:rPr>
        <w:t xml:space="preserve">”), request that the Lenders and the Issuing Banks extend the Existing Maturity Date in accordance with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not make more than two Maturity Date Extension Requests during the term of this Agreement. Each Maturity Date Extension Request shall (i) specify the date to which the Maturity Date is sought to be extended;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date is no more than one calendar year from the then scheduled Maturity Date, (ii) specify the changes, if any, to the Applicable Rate to be applied in determining the interest payable on Loans of, and fees payable hereunder to, Consenting Lenders (as defined below) in respect of that portion of their Commitments (and related Loans) extended to such new Maturity Date and the time as of which such changes will become effective (which may be prior to the Existing Maturity Date), and (iii) specify any other amendments or modifications to this Agreement to be effected in connection with such Maturity Date Extension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changes or modifications requiring approvals pursuant to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shall become effective prior to the then existing Maturity Date unless such other approvals have been obtained. In the event a Maturity Date Extension Request shall have been delivered by the Borrower, each Lender shall have the right to agree or not agree to the extension of the Existing Maturity Date and other matters contemplated thereby on the terms and subject to the conditions set forth therein (each Lender agreeing to the Maturity Date Extension Request being referred to herein as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and each Lender not agreeing thereto being referred to herein as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which right may be exercised by written notice thereof, specifying the maximum amount of its Commitment and, if such Lender (or a designated Affiliate of such Lender) is then serving as an Issuing Bank, its (or its designated Affiliate’s) Issuing Bank Sublimit, with respect to which such Lender agrees to the extension of the Maturity Date, delivered to the Borrower (with a copy to the Administrative Agent) not later than a day to be agreed upon by the Borrower and the Administrative Agent following the date on which the Maturity Date Extension Request shall have been delivered by the Borrower (it being understood</w:t>
      </w:r>
    </w:p>
    <w:p>
      <w:pPr>
        <w:spacing w:after="0" w:line="11" w:lineRule="exact"/>
        <w:rPr>
          <w:sz w:val="20"/>
          <w:szCs w:val="20"/>
          <w:color w:val="auto"/>
        </w:rPr>
      </w:pPr>
    </w:p>
    <w:p>
      <w:pPr>
        <w:ind w:left="4" w:right="140" w:hanging="4"/>
        <w:spacing w:after="0" w:line="281" w:lineRule="auto"/>
        <w:tabs>
          <w:tab w:leader="none" w:pos="259" w:val="left"/>
        </w:tabs>
        <w:numPr>
          <w:ilvl w:val="0"/>
          <w:numId w:val="531"/>
        </w:numPr>
        <w:rPr>
          <w:rFonts w:ascii="Arial" w:cs="Arial" w:eastAsia="Arial" w:hAnsi="Arial"/>
          <w:sz w:val="16"/>
          <w:szCs w:val="16"/>
          <w:color w:val="auto"/>
        </w:rPr>
      </w:pPr>
      <w:r>
        <w:rPr>
          <w:rFonts w:ascii="Arial" w:cs="Arial" w:eastAsia="Arial" w:hAnsi="Arial"/>
          <w:sz w:val="16"/>
          <w:szCs w:val="16"/>
          <w:color w:val="auto"/>
        </w:rPr>
        <w:t xml:space="preserve">that any Lender that shall have failed to exercise such right as set forth above shall be deemed to be a Declining Lender and (y) that, in the case of any Lender then serving (or whose designated Affiliate is then serving) as an Issuing Bank, (I) the Issuing Bank Sublimit of such Lender (or such designated Affiliate) shall not be extended in connection with an extension of such Lender’s Commitments unless so specified by such Lender (or such designated Affiliate), in its capacity as Issuing Bank, in such written notice to the Borrower and (II) for purposes of </w:t>
      </w:r>
      <w:r>
        <w:rPr>
          <w:rFonts w:ascii="Arial" w:cs="Arial" w:eastAsia="Arial" w:hAnsi="Arial"/>
          <w:sz w:val="16"/>
          <w:szCs w:val="16"/>
          <w:u w:val="single" w:color="auto"/>
          <w:color w:val="auto"/>
        </w:rPr>
        <w:t>Section 2.4(a)</w:t>
      </w:r>
      <w:r>
        <w:rPr>
          <w:rFonts w:ascii="Arial" w:cs="Arial" w:eastAsia="Arial" w:hAnsi="Arial"/>
          <w:sz w:val="16"/>
          <w:szCs w:val="16"/>
          <w:color w:val="auto"/>
        </w:rPr>
        <w:t>, the “Maturity Date” applicable to Letters of Credit of an Issuing Bank that has not extended its Issuing Bank Sublimit will be the Maturity Date in respect of such Letter of Credit Sublimit that has not been extended). If a Lender elects to extend only a portion of its then existing Commitment, it will be deemed for purposes hereof to be a Consenting Lender in respect of such extended portion and a Declining Lender in respect of the remaining portion of its Commitment. If Consenting Lenders shall have agreed to such Maturity Date Extension Request in respect of Commitments held by them, then, subject to paragraph</w:t>
      </w:r>
    </w:p>
    <w:p>
      <w:pPr>
        <w:spacing w:after="0" w:line="4" w:lineRule="exact"/>
        <w:rPr>
          <w:rFonts w:ascii="Arial" w:cs="Arial" w:eastAsia="Arial" w:hAnsi="Arial"/>
          <w:sz w:val="16"/>
          <w:szCs w:val="16"/>
          <w:color w:val="auto"/>
        </w:rPr>
      </w:pPr>
    </w:p>
    <w:p>
      <w:pPr>
        <w:ind w:left="4" w:right="300" w:hanging="4"/>
        <w:spacing w:after="0" w:line="260" w:lineRule="auto"/>
        <w:tabs>
          <w:tab w:leader="none" w:pos="259" w:val="left"/>
        </w:tabs>
        <w:numPr>
          <w:ilvl w:val="0"/>
          <w:numId w:val="532"/>
        </w:numPr>
        <w:rPr>
          <w:rFonts w:ascii="Arial" w:cs="Arial" w:eastAsia="Arial" w:hAnsi="Arial"/>
          <w:sz w:val="18"/>
          <w:szCs w:val="18"/>
          <w:color w:val="auto"/>
        </w:rPr>
      </w:pPr>
      <w:r>
        <w:rPr>
          <w:rFonts w:ascii="Arial" w:cs="Arial" w:eastAsia="Arial" w:hAnsi="Arial"/>
          <w:sz w:val="18"/>
          <w:szCs w:val="18"/>
          <w:color w:val="auto"/>
        </w:rPr>
        <w:t>of this Section, on the date specified in the Maturity Date Extension Request as the effective date thereof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(i) the Existing Maturity Date of the applicable Commitments shall,</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4"/>
          </w:cols>
          <w:pgMar w:left="436" w:top="274" w:right="439" w:bottom="1440" w:gutter="0" w:footer="0" w:header="0"/>
        </w:sectPr>
      </w:pPr>
    </w:p>
    <w:bookmarkStart w:id="442" w:name="page443"/>
    <w:bookmarkEnd w:id="44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to the Consenting Lenders, be extended to such date as shall be specified therein, (ii) the terms and conditions of the Commitments of the Consenting Lenders (including interest and fees payable in respect thereof), shall be modified as set forth in the Maturity Date Extension Request, (iii) such other modifications and amendments hereto specified in the Maturity Date Extension Request shall (subject to any required approvals (including those of the Required Lenders) having been obtained, except that any such other modifications and amendments that do not take effect until the Existing Maturity Date shall not require the consent of any Lender other than the Consenting Lenders) become effective and (iv) in the case of any Consenting Lender then serving (or whose designated Affiliate is then serving) as an Issuing Bank that shall not have agreed to extend the Existing Maturity Date with respect to its Issuing Bank Sublimit, or shall have agreed to extend the Existing Maturity Date with respect to less than the entire amount of its Issuing Bank Sublimit, such Issuing Bank shall not have the obligation to issue, amend, extend or increase Letters of Credit following the Extension Effective Date, if after giving effect to any such issuance, amendment, extension or increase, the Letter of Credit Usage attributable to Letters of Credit issued by such Issuing Bank that have a stated expiration date after the date that is five days prior to the Existing Maturity Date with respect to the non-extended portion of its Issuing Bank Sublimit would exceed the extended portion (if any) of such Issuing Bank Sublimit.</w:t>
      </w:r>
    </w:p>
    <w:p>
      <w:pPr>
        <w:spacing w:after="0" w:line="64" w:lineRule="exact"/>
        <w:rPr>
          <w:sz w:val="20"/>
          <w:szCs w:val="20"/>
          <w:color w:val="auto"/>
        </w:rPr>
      </w:pPr>
    </w:p>
    <w:p>
      <w:pPr>
        <w:ind w:firstLine="987"/>
        <w:spacing w:after="0" w:line="275" w:lineRule="auto"/>
        <w:tabs>
          <w:tab w:leader="none" w:pos="1246" w:val="left"/>
        </w:tabs>
        <w:numPr>
          <w:ilvl w:val="0"/>
          <w:numId w:val="533"/>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Borrower shall have the right, in accordance with the provisions of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9.4</w:t>
      </w:r>
      <w:r>
        <w:rPr>
          <w:rFonts w:ascii="Arial" w:cs="Arial" w:eastAsia="Arial" w:hAnsi="Arial"/>
          <w:sz w:val="17"/>
          <w:szCs w:val="17"/>
          <w:color w:val="auto"/>
        </w:rPr>
        <w:t>, at any time prior to the Existing Maturity Date, to replace a Declining Lender (for the avoidance of doubt, only in respect of that portion of such Lender’s Commitments subject to a Maturity Date Extension Request that it has not agreed to extend) with a Lender or other financial institution that will agree to such Maturity Date Extension Request, and any such replacement Lender shall for all purposes constitute a Consenting Lender in respect of the Commitment assigned to and assumed by it on and after the effective time of such replacement.</w:t>
      </w:r>
    </w:p>
    <w:p>
      <w:pPr>
        <w:spacing w:after="0" w:line="68" w:lineRule="exact"/>
        <w:rPr>
          <w:rFonts w:ascii="Arial" w:cs="Arial" w:eastAsia="Arial" w:hAnsi="Arial"/>
          <w:sz w:val="17"/>
          <w:szCs w:val="17"/>
          <w:color w:val="auto"/>
        </w:rPr>
      </w:pPr>
    </w:p>
    <w:p>
      <w:pPr>
        <w:ind w:right="40" w:firstLine="987"/>
        <w:spacing w:after="0" w:line="287" w:lineRule="auto"/>
        <w:tabs>
          <w:tab w:leader="none" w:pos="1236" w:val="left"/>
        </w:tabs>
        <w:numPr>
          <w:ilvl w:val="0"/>
          <w:numId w:val="533"/>
        </w:numPr>
        <w:rPr>
          <w:rFonts w:ascii="Arial" w:cs="Arial" w:eastAsia="Arial" w:hAnsi="Arial"/>
          <w:sz w:val="16"/>
          <w:szCs w:val="16"/>
          <w:color w:val="auto"/>
        </w:rPr>
      </w:pPr>
      <w:r>
        <w:rPr>
          <w:rFonts w:ascii="Arial" w:cs="Arial" w:eastAsia="Arial" w:hAnsi="Arial"/>
          <w:sz w:val="16"/>
          <w:szCs w:val="16"/>
          <w:color w:val="auto"/>
        </w:rPr>
        <w:t>If a Maturity Date Extension Request has become effective hereunder, on the Existing Maturity Date, the Commitment of each Declining Lender shall, to the extent not assumed, assigned or transferred as provided in paragraph (b) of this Section, terminate, and the Borrower shall repay all the Loans of each Declining Lender, to the extent such Loans shall not have been so purchased, assigned and transferred, in each case together with accrued and unpaid interest and all fees and other amounts owing to such Declining Lender hereunder (accordingly, the Commitment of any Consenting Lender shall, to the extent the amount of such Commitment exceeds the amount set forth in the notice delivered by such Lender pursuant to paragraph (a) of this Section and to the extent not assumed, assigned or transferred as provided in paragraph (b) of this Section, be permanently reduced by the amount of such excess, and, to the extent not assumed, assigned or transferred as provided in paragraph (b) of this Section, the Borrower shall prepay the proportionate part of the outstanding Loans of such Consenting Lender, in each case together with accrued and unpaid interest thereon to but excluding the Existing Maturity Date and all fees and other amounts payable in respect thereof on or prior to the Existing Maturity Date), it being understood that such repayments may be funded with the proceeds of new Borrowings made simultaneously with such repayments by the Consenting Lenders, which such Borrowings shall be made ratably by the Consenting Lenders in accordance with their extended Commitments.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443" w:name="page444"/>
    <w:bookmarkEnd w:id="443"/>
    <w:p>
      <w:pPr>
        <w:ind w:firstLine="987"/>
        <w:spacing w:after="0" w:line="259" w:lineRule="auto"/>
        <w:tabs>
          <w:tab w:leader="none" w:pos="1246" w:val="left"/>
        </w:tabs>
        <w:numPr>
          <w:ilvl w:val="0"/>
          <w:numId w:val="5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no Maturity Date Extension Request shall become effective hereunder unless, on the Extension Effective Date,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be satisfied (with all references in such Section to a Borrowing being deemed to be references to such Maturity Date Extension Request) and the Administrative Agent shall have received a certificate to that effect dated such date and executed by a Financial Officer.</w:t>
      </w:r>
    </w:p>
    <w:p>
      <w:pPr>
        <w:spacing w:after="0" w:line="78" w:lineRule="exact"/>
        <w:rPr>
          <w:rFonts w:ascii="Arial" w:cs="Arial" w:eastAsia="Arial" w:hAnsi="Arial"/>
          <w:sz w:val="18"/>
          <w:szCs w:val="18"/>
          <w:color w:val="auto"/>
        </w:rPr>
      </w:pPr>
    </w:p>
    <w:p>
      <w:pPr>
        <w:ind w:right="80" w:firstLine="987"/>
        <w:spacing w:after="0" w:line="257" w:lineRule="auto"/>
        <w:tabs>
          <w:tab w:leader="none" w:pos="1236"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it is hereby agreed that no extension of an Existing Maturity Date in accordance with the express terms of this Section, or any amendment or modification of the terms and conditions of the Commitments and Loans of the Consenting Lenders effected pursuant thereto, shall be deemed to (i) violate the last sentence of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2.17(c)</w:t>
      </w:r>
      <w:r>
        <w:rPr>
          <w:rFonts w:ascii="Arial" w:cs="Arial" w:eastAsia="Arial" w:hAnsi="Arial"/>
          <w:sz w:val="18"/>
          <w:szCs w:val="18"/>
          <w:color w:val="auto"/>
        </w:rPr>
        <w:t xml:space="preserve"> or any other provision of this Agreement requiring the ratable reduction of Commitments or the ratable sharing of payments or (ii) require the consent of all Lenders or all affected Lenders under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280" w:firstLine="987"/>
        <w:spacing w:after="0" w:line="263" w:lineRule="auto"/>
        <w:tabs>
          <w:tab w:leader="none" w:pos="1216"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Borrower, the Administrative Agent and the Consenting Lenders may enter into an amendment to this Agreement to effect such modifications as may be necessary to reflect the terms of any Maturity Date Extension Request that has become effective in accordance with the provisions of this Section.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Defaulting Lenders</w:t>
      </w:r>
      <w:r>
        <w:rPr>
          <w:rFonts w:ascii="Arial" w:cs="Arial" w:eastAsia="Arial" w:hAnsi="Arial"/>
          <w:sz w:val="17"/>
          <w:szCs w:val="17"/>
          <w:color w:val="auto"/>
        </w:rPr>
        <w:t>. (a) Notwithstanding anything to the contrary contained in this Agreement, if any Lender becomes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until such time as such Lender is no longer a Defaulting Lender, to the extent permitted by applicable law:</w:t>
      </w:r>
    </w:p>
    <w:p>
      <w:pPr>
        <w:spacing w:after="0" w:line="103" w:lineRule="exact"/>
        <w:rPr>
          <w:sz w:val="20"/>
          <w:szCs w:val="20"/>
          <w:color w:val="auto"/>
        </w:rPr>
      </w:pPr>
    </w:p>
    <w:p>
      <w:pPr>
        <w:ind w:left="440" w:right="480" w:firstLine="419"/>
        <w:spacing w:after="0" w:line="277" w:lineRule="auto"/>
        <w:tabs>
          <w:tab w:leader="none" w:pos="107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if any Swing Line Exposure or Letter of Credit Usage exists at the time such Lender becomes a Defaulting Lender then:</w:t>
      </w:r>
    </w:p>
    <w:p>
      <w:pPr>
        <w:spacing w:after="0" w:line="117" w:lineRule="exact"/>
        <w:rPr>
          <w:rFonts w:ascii="Arial" w:cs="Arial" w:eastAsia="Arial" w:hAnsi="Arial"/>
          <w:sz w:val="18"/>
          <w:szCs w:val="18"/>
          <w:color w:val="auto"/>
        </w:rPr>
      </w:pPr>
    </w:p>
    <w:p>
      <w:pPr>
        <w:ind w:left="440" w:right="120" w:firstLine="948"/>
        <w:spacing w:after="0" w:line="255" w:lineRule="auto"/>
        <w:tabs>
          <w:tab w:leader="none" w:pos="1687" w:val="left"/>
        </w:tabs>
        <w:numPr>
          <w:ilvl w:val="1"/>
          <w:numId w:val="535"/>
        </w:numPr>
        <w:rPr>
          <w:rFonts w:ascii="Arial" w:cs="Arial" w:eastAsia="Arial" w:hAnsi="Arial"/>
          <w:sz w:val="18"/>
          <w:szCs w:val="18"/>
          <w:color w:val="auto"/>
        </w:rPr>
      </w:pPr>
      <w:r>
        <w:rPr>
          <w:rFonts w:ascii="Arial" w:cs="Arial" w:eastAsia="Arial" w:hAnsi="Arial"/>
          <w:sz w:val="18"/>
          <w:szCs w:val="18"/>
          <w:color w:val="auto"/>
        </w:rPr>
        <w:t xml:space="preserve">all or any part of the Swing Line Exposure and Letter of Credit Usage of such Defaulting Lender shall be reallocated among the Non-Defaulting Lenders in accordance with their respective Applicable Percentages but only to the extent that (x) the sum of all Non-Defaulting Lenders’ Revolving Exposures plus such Defaulting Lender’s Swing Line Exposure and Letter of Credit Usage does not exceed the total of all Non-Defaulting Lenders’ Commitments, (y) the sum of any Non-Defaulting Lender’s Revolving Exposure plus its Pro Rata Share of such Defaulting Lender’s Swing Line Exposure and Letter of Credit Usage does not exceed such Non-Defaulting Lender’s Commitment and (z)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are satisfied at such time;</w:t>
      </w:r>
    </w:p>
    <w:p>
      <w:pPr>
        <w:spacing w:after="0" w:line="84" w:lineRule="exact"/>
        <w:rPr>
          <w:rFonts w:ascii="Arial" w:cs="Arial" w:eastAsia="Arial" w:hAnsi="Arial"/>
          <w:sz w:val="18"/>
          <w:szCs w:val="18"/>
          <w:color w:val="auto"/>
        </w:rPr>
      </w:pPr>
    </w:p>
    <w:p>
      <w:pPr>
        <w:ind w:left="440" w:right="20" w:firstLine="948"/>
        <w:spacing w:after="0" w:line="257" w:lineRule="auto"/>
        <w:tabs>
          <w:tab w:leader="none" w:pos="1677" w:val="left"/>
        </w:tabs>
        <w:numPr>
          <w:ilvl w:val="1"/>
          <w:numId w:val="535"/>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(A) above cannot, or can only partially, be effected, the Borrower shall within one Business Day following notice by the Administrative Agent (x) first, prepay such Swing Line Exposure and (y) second, cash collateralize for the benefit of the applicable Issuing Banks only the Borrower’s obligations corresponding to such Defaulting Lender’s Letter of Credit Usage (after giving effect to any partial reallocation pursuant to clause (A) above) in accordance with the procedures set forth in </w:t>
      </w:r>
      <w:r>
        <w:rPr>
          <w:rFonts w:ascii="Arial" w:cs="Arial" w:eastAsia="Arial" w:hAnsi="Arial"/>
          <w:sz w:val="18"/>
          <w:szCs w:val="18"/>
          <w:u w:val="single" w:color="auto"/>
          <w:color w:val="auto"/>
        </w:rPr>
        <w:t>Section 2.4(j)</w:t>
      </w:r>
      <w:r>
        <w:rPr>
          <w:rFonts w:ascii="Arial" w:cs="Arial" w:eastAsia="Arial" w:hAnsi="Arial"/>
          <w:sz w:val="18"/>
          <w:szCs w:val="18"/>
          <w:color w:val="auto"/>
        </w:rPr>
        <w:t xml:space="preserve"> for so long as such Letter of Credit Usage is outstanding;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444" w:name="page445"/>
    <w:bookmarkEnd w:id="444"/>
    <w:p>
      <w:pPr>
        <w:jc w:val="both"/>
        <w:ind w:right="80" w:firstLine="948"/>
        <w:spacing w:after="0" w:line="286" w:lineRule="auto"/>
        <w:tabs>
          <w:tab w:leader="none" w:pos="1237" w:val="left"/>
        </w:tabs>
        <w:numPr>
          <w:ilvl w:val="1"/>
          <w:numId w:val="5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Borrower cash collateralizes any portion of such Defaulting Lender’s Letter of Credit Usage pursuant to clause (B) above, the Borrower shall not be required to pay any fees to such Defaulting Lender pursuant to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with respect to such Defaulting Lender’s Letter of Credit Usage during the period such Defaulting Lender’s Letter of Credit Usage is cash collateralized;</w:t>
      </w:r>
    </w:p>
    <w:p>
      <w:pPr>
        <w:spacing w:after="0" w:line="57" w:lineRule="exact"/>
        <w:rPr>
          <w:rFonts w:ascii="Arial" w:cs="Arial" w:eastAsia="Arial" w:hAnsi="Arial"/>
          <w:sz w:val="17"/>
          <w:szCs w:val="17"/>
          <w:color w:val="auto"/>
        </w:rPr>
      </w:pPr>
    </w:p>
    <w:p>
      <w:pPr>
        <w:ind w:right="120" w:firstLine="948"/>
        <w:spacing w:after="0" w:line="263" w:lineRule="auto"/>
        <w:tabs>
          <w:tab w:leader="none" w:pos="1247" w:val="left"/>
        </w:tabs>
        <w:numPr>
          <w:ilvl w:val="1"/>
          <w:numId w:val="536"/>
        </w:numPr>
        <w:rPr>
          <w:rFonts w:ascii="Arial" w:cs="Arial" w:eastAsia="Arial" w:hAnsi="Arial"/>
          <w:sz w:val="18"/>
          <w:szCs w:val="18"/>
          <w:color w:val="auto"/>
        </w:rPr>
      </w:pPr>
      <w:r>
        <w:rPr>
          <w:rFonts w:ascii="Arial" w:cs="Arial" w:eastAsia="Arial" w:hAnsi="Arial"/>
          <w:sz w:val="18"/>
          <w:szCs w:val="18"/>
          <w:color w:val="auto"/>
        </w:rPr>
        <w:t xml:space="preserve">if the Letter of Credit Usage of the Non-Defaulting Lenders is reallocated pursuant to clause (A) above, then the fees payable to the Lenders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shall be adjusted in accordance with such Non-Defaulting Lenders’ Applicable Percentages; and</w:t>
      </w:r>
    </w:p>
    <w:p>
      <w:pPr>
        <w:spacing w:after="0" w:line="75" w:lineRule="exact"/>
        <w:rPr>
          <w:rFonts w:ascii="Arial" w:cs="Arial" w:eastAsia="Arial" w:hAnsi="Arial"/>
          <w:sz w:val="18"/>
          <w:szCs w:val="18"/>
          <w:color w:val="auto"/>
        </w:rPr>
      </w:pPr>
    </w:p>
    <w:p>
      <w:pPr>
        <w:ind w:right="160" w:firstLine="948"/>
        <w:spacing w:after="0" w:line="255" w:lineRule="auto"/>
        <w:tabs>
          <w:tab w:leader="none" w:pos="1227" w:val="left"/>
        </w:tabs>
        <w:numPr>
          <w:ilvl w:val="1"/>
          <w:numId w:val="536"/>
        </w:numPr>
        <w:rPr>
          <w:rFonts w:ascii="Arial" w:cs="Arial" w:eastAsia="Arial" w:hAnsi="Arial"/>
          <w:sz w:val="18"/>
          <w:szCs w:val="18"/>
          <w:color w:val="auto"/>
        </w:rPr>
      </w:pPr>
      <w:r>
        <w:rPr>
          <w:rFonts w:ascii="Arial" w:cs="Arial" w:eastAsia="Arial" w:hAnsi="Arial"/>
          <w:sz w:val="18"/>
          <w:szCs w:val="18"/>
          <w:color w:val="auto"/>
        </w:rPr>
        <w:t xml:space="preserve">if all or any portion of such Defaulting Lender’s Letter of Credit Usage is neither reallocated nor cash collateralized pursuant to clause (A) or (B) above, then, without prejudice to any rights or remedies of any Issuing Bank or any other Lender hereunder, all letter of credit fees payable under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with respect to such Defaulting Lender’s Letter of Credit Usage shall be payable to the Issuing Banks (and allocated among them ratably based on the amount of such Defaulting Lender’s Letter of Credit Usage attributable to Letter of Credits issued by each Issuing Bank) until and to the extent that such Letter of Credit Usage is reallocated and/or cash collateralized in accordance with the procedures set forth in </w:t>
      </w:r>
      <w:r>
        <w:rPr>
          <w:rFonts w:ascii="Arial" w:cs="Arial" w:eastAsia="Arial" w:hAnsi="Arial"/>
          <w:sz w:val="18"/>
          <w:szCs w:val="18"/>
          <w:u w:val="single" w:color="auto"/>
          <w:color w:val="auto"/>
        </w:rPr>
        <w:t>Section 2.4(j)</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firstLine="419"/>
        <w:spacing w:after="0" w:line="273" w:lineRule="auto"/>
        <w:tabs>
          <w:tab w:leader="none" w:pos="738" w:val="left"/>
        </w:tabs>
        <w:numPr>
          <w:ilvl w:val="0"/>
          <w:numId w:val="537"/>
        </w:numPr>
        <w:rPr>
          <w:rFonts w:ascii="Arial" w:cs="Arial" w:eastAsia="Arial" w:hAnsi="Arial"/>
          <w:sz w:val="17"/>
          <w:szCs w:val="17"/>
          <w:color w:val="auto"/>
        </w:rPr>
      </w:pPr>
      <w:r>
        <w:rPr>
          <w:rFonts w:ascii="Arial" w:cs="Arial" w:eastAsia="Arial" w:hAnsi="Arial"/>
          <w:sz w:val="17"/>
          <w:szCs w:val="17"/>
          <w:color w:val="auto"/>
        </w:rPr>
        <w:t xml:space="preserve">so long as such Lender is a Defaulting Lender, the Swing Line Lender shall not be required to fund any Swing Line Loan and no Issuing Bank shall be required to issue, amend, extend or increase any Letter of Credit, unless it is satisfied that the related exposure and the Defaulting Lender’s then outstanding Swing Line Exposure or Letter of Credit Usage will be 100% covered by the Commitments of the Non-Defaulting Lenders and/or cash collateral will be provided by Borrower in accordance with </w:t>
      </w:r>
      <w:r>
        <w:rPr>
          <w:rFonts w:ascii="Arial" w:cs="Arial" w:eastAsia="Arial" w:hAnsi="Arial"/>
          <w:sz w:val="17"/>
          <w:szCs w:val="17"/>
          <w:u w:val="single" w:color="auto"/>
          <w:color w:val="auto"/>
        </w:rPr>
        <w:t>Section 2.21(a)(ii)</w:t>
      </w:r>
      <w:r>
        <w:rPr>
          <w:rFonts w:ascii="Arial" w:cs="Arial" w:eastAsia="Arial" w:hAnsi="Arial"/>
          <w:sz w:val="17"/>
          <w:szCs w:val="17"/>
          <w:color w:val="auto"/>
        </w:rPr>
        <w:t xml:space="preserve">, and participating interests in any newly made Swing Line Loan or any newly issued, amended, extended or increased Letter of Credit shall be allocated among Non-Defaulting Lenders in a manner consistent with </w:t>
      </w:r>
      <w:r>
        <w:rPr>
          <w:rFonts w:ascii="Arial" w:cs="Arial" w:eastAsia="Arial" w:hAnsi="Arial"/>
          <w:sz w:val="17"/>
          <w:szCs w:val="17"/>
          <w:u w:val="single" w:color="auto"/>
          <w:color w:val="auto"/>
        </w:rPr>
        <w:t>Section 2.21(a)(ii)(A)</w:t>
      </w:r>
      <w:r>
        <w:rPr>
          <w:rFonts w:ascii="Arial" w:cs="Arial" w:eastAsia="Arial" w:hAnsi="Arial"/>
          <w:sz w:val="17"/>
          <w:szCs w:val="17"/>
          <w:color w:val="auto"/>
        </w:rPr>
        <w:t xml:space="preserve"> (and such Defaulting Lender shall not participate therein);</w:t>
      </w:r>
    </w:p>
    <w:p>
      <w:pPr>
        <w:spacing w:after="0" w:line="69" w:lineRule="exact"/>
        <w:rPr>
          <w:rFonts w:ascii="Arial" w:cs="Arial" w:eastAsia="Arial" w:hAnsi="Arial"/>
          <w:sz w:val="17"/>
          <w:szCs w:val="17"/>
          <w:color w:val="auto"/>
        </w:rPr>
      </w:pPr>
    </w:p>
    <w:p>
      <w:pPr>
        <w:ind w:right="60" w:firstLine="419"/>
        <w:spacing w:after="0" w:line="290" w:lineRule="auto"/>
        <w:tabs>
          <w:tab w:leader="none" w:pos="728"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to the payment of any amounts owing by such Defaulting Lender to the Administrative Agent hereunder;</w:t>
      </w:r>
      <w:r>
        <w:rPr>
          <w:rFonts w:ascii="Arial" w:cs="Arial" w:eastAsia="Arial" w:hAnsi="Arial"/>
          <w:sz w:val="16"/>
          <w:szCs w:val="16"/>
          <w:i w:val="1"/>
          <w:iCs w:val="1"/>
          <w:color w:val="auto"/>
        </w:rPr>
        <w:t xml:space="preserve"> second</w:t>
      </w:r>
      <w:r>
        <w:rPr>
          <w:rFonts w:ascii="Arial" w:cs="Arial" w:eastAsia="Arial" w:hAnsi="Arial"/>
          <w:sz w:val="16"/>
          <w:szCs w:val="16"/>
          <w:color w:val="auto"/>
        </w:rPr>
        <w:t>, to the payment on a pro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rata basis of any amounts owing by such Defaulting Lender to each Issuing Bank or the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each Issuing Bank’s Letter of Credit Usage with respect to such Defaulting Lender in accordance with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the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60"/>
          </w:cols>
          <w:pgMar w:left="880" w:top="274" w:right="459" w:bottom="1440" w:gutter="0" w:footer="0" w:header="0"/>
        </w:sectPr>
      </w:pPr>
    </w:p>
    <w:bookmarkStart w:id="445" w:name="page446"/>
    <w:bookmarkEnd w:id="445"/>
    <w:p>
      <w:pPr>
        <w:ind w:left="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Administrative Agent and the Borrower, to be held in a non-interest bearing deposit account and released pro rata in order to (x) satisfy such Defaulting Lender’s potential future funding obligations with respect to Loans under this Agreement and (y) cash collateralize each Issuing Bank’s future Letter of Credit Usage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2.4(j)</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Banks or Swing Line Lender as a result of any judgment of a court of competent jurisdiction obtained by any Lender, any Issuing Bank or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Letters of Credit disbursements in respect of which such Defaulting Lender has not fully funded its appropriate share, and (y) such Loans or Letters of Credit were made when the conditions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were satisfied or waived, such payment shall be applied solely to pay the Loans of or Letters of Credit disbursements owed to all Non-Defaulting Lenders on a pro rata basis prior to being applied to the payment of any Loans of such Defaulting Lender until such time as all Loans and funded and unfunded participations in Letters of Credit and Swing Line Loans are held by the Lenders pro rata in accordance with the Commitments (without giving effect to </w:t>
      </w:r>
      <w:r>
        <w:rPr>
          <w:rFonts w:ascii="Arial" w:cs="Arial" w:eastAsia="Arial" w:hAnsi="Arial"/>
          <w:sz w:val="16"/>
          <w:szCs w:val="16"/>
          <w:u w:val="single" w:color="auto"/>
          <w:color w:val="auto"/>
        </w:rPr>
        <w:t>Section 2.21(a)(ii)</w:t>
      </w:r>
    </w:p>
    <w:p>
      <w:pPr>
        <w:spacing w:after="0" w:line="1" w:lineRule="exact"/>
        <w:rPr>
          <w:sz w:val="20"/>
          <w:szCs w:val="20"/>
          <w:color w:val="auto"/>
        </w:rPr>
      </w:pPr>
    </w:p>
    <w:p>
      <w:pPr>
        <w:jc w:val="both"/>
        <w:ind w:left="440" w:right="220"/>
        <w:spacing w:after="0" w:line="255" w:lineRule="auto"/>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and</w:t>
      </w:r>
    </w:p>
    <w:p>
      <w:pPr>
        <w:spacing w:after="0" w:line="82" w:lineRule="exact"/>
        <w:rPr>
          <w:sz w:val="20"/>
          <w:szCs w:val="20"/>
          <w:color w:val="auto"/>
        </w:rPr>
      </w:pPr>
    </w:p>
    <w:p>
      <w:pPr>
        <w:jc w:val="both"/>
        <w:ind w:left="440" w:right="140" w:firstLine="419"/>
        <w:spacing w:after="0" w:line="263" w:lineRule="auto"/>
        <w:tabs>
          <w:tab w:leader="none" w:pos="1118"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commitment fee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75" w:lineRule="exact"/>
        <w:rPr>
          <w:rFonts w:ascii="Arial" w:cs="Arial" w:eastAsia="Arial" w:hAnsi="Arial"/>
          <w:sz w:val="18"/>
          <w:szCs w:val="18"/>
          <w:color w:val="auto"/>
        </w:rPr>
      </w:pPr>
    </w:p>
    <w:p>
      <w:pPr>
        <w:ind w:right="20" w:firstLine="987"/>
        <w:spacing w:after="0" w:line="257" w:lineRule="auto"/>
        <w:tabs>
          <w:tab w:leader="none" w:pos="1246" w:val="left"/>
        </w:tabs>
        <w:numPr>
          <w:ilvl w:val="1"/>
          <w:numId w:val="538"/>
        </w:numPr>
        <w:rPr>
          <w:rFonts w:ascii="Arial" w:cs="Arial" w:eastAsia="Arial" w:hAnsi="Arial"/>
          <w:sz w:val="18"/>
          <w:szCs w:val="18"/>
          <w:color w:val="auto"/>
        </w:rPr>
      </w:pPr>
      <w:r>
        <w:rPr>
          <w:rFonts w:ascii="Arial" w:cs="Arial" w:eastAsia="Arial" w:hAnsi="Arial"/>
          <w:sz w:val="18"/>
          <w:szCs w:val="18"/>
          <w:color w:val="auto"/>
        </w:rPr>
        <w:t>If (i) any Lender becomes a Defaulting Lender or (ii) the Swing Line Lender or any Issuing Bank has a good faith belief that any Lender will become a Defaulting Lender, the Swing Line Lender shall not be required to fund any Swing Line Loan and such Issuing Bank shall not be required to issue, amend, extend or increase any Letter of Credit, unless the Swing Line Lender or such Issuing Bank, as the case may be, shall have entered into arrangements with the Borrower or such Lender, reasonably satisfactory to the Swing Line Lender or such Issuing Bank, as the case may be, to defease any risk to it in respect of such Lender hereunder.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446" w:name="page447"/>
    <w:bookmarkEnd w:id="446"/>
    <w:p>
      <w:pPr>
        <w:ind w:firstLine="987"/>
        <w:spacing w:after="0" w:line="270" w:lineRule="auto"/>
        <w:tabs>
          <w:tab w:leader="none" w:pos="1236" w:val="left"/>
        </w:tabs>
        <w:numPr>
          <w:ilvl w:val="0"/>
          <w:numId w:val="5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Borrower, Swing Line Lender, each Issuing Bank and the Administrative Agent each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(other than Swing Line Loans) or take such other actions as the Administrative Agent may determine to be necessary to cause the Loans to be held on a pro rata basis by the Lenders in accordance with their respective Applicable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Loan Party represents and warrants to the Lenders and the Issuing Banks that:</w:t>
      </w:r>
    </w:p>
    <w:p>
      <w:pPr>
        <w:spacing w:after="0" w:line="11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Borrower and its Restricted Subsidiaries is duly organized,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has not resulted in and could not reasonably be expected to result in a Material Adverse Effect, is qualified to do business in, and is in good standing in, every jurisdiction where such qualification is required.</w:t>
      </w:r>
    </w:p>
    <w:p>
      <w:pPr>
        <w:spacing w:after="0" w:line="188"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Loan Party’s corporate or other organizational powers and have been duly authorized by all necessary corporate or other organizational and, if required, equity holder action. Each Loan Party has duly executed and delivered each of the Loan Documents to which it is party, and each of such Loan Documents constitutes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1"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has not had and could not reasonably be expected to have a Material Adverse Effect, (b) except as has not had and could not reasonably be expected to have a Material Adverse Effect, will not violate any applicable law or regulation or any order of any Governmental Authority, (c) will not violate any charter, by-laws or other organizational document of the Borrower or any of its Restricted Subsidiaries, (d) except as has not had and could not reasonably be expected to have a Material Adverse Effect, will not violate or result in a default under any indenture, agreement or other instrument (other than the agreements and instruments referred to in clause (c)) binding upon the Borrower or any of its Restricted Subsidiaries or its assets, or give rise to a right thereunder to require any payment to be made by the Borrower or any of its Restricted Subsidiaries, and (e) will not result in the creation or imposition of any Lien on any asset of the Borrower or any of its Restricted Subsidiaries (other than the Liens created pursuant to the Collateral Documents).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447" w:name="page448"/>
    <w:bookmarkEnd w:id="447"/>
    <w:p>
      <w:pPr>
        <w:ind w:right="6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xml:space="preserve">. (a) The Borrower has heretofore furnished to the Administrative Agent its consolidated balance sheet and statements of income, stockholders equity and cash flows as of and for the fiscal years ended December 31, 2020, December 31, 2019, and December 31, 2018, reported on by Ernst &amp; Young LLP, independent public accountants. Other than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to the Disclosure Letter, such financial statements present fairly, in all material respects, the financial position and results of operations and cash flows of the Borrower and its consolidated Restricted Subsidiaries as of such dates and for such periods in accordance with GAAP.</w:t>
      </w:r>
    </w:p>
    <w:p>
      <w:pPr>
        <w:spacing w:after="0" w:line="53" w:lineRule="exact"/>
        <w:rPr>
          <w:sz w:val="20"/>
          <w:szCs w:val="20"/>
          <w:color w:val="auto"/>
        </w:rPr>
      </w:pPr>
    </w:p>
    <w:p>
      <w:pPr>
        <w:ind w:right="20" w:firstLine="987"/>
        <w:spacing w:after="0" w:line="263" w:lineRule="auto"/>
        <w:tabs>
          <w:tab w:leader="none" w:pos="124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Since December 31, 2020, no event, development or circumstance exists or has occurred that has had or would reasonably be expected to have a material adverse effect on the business, property, financial condition or results of operations of the Borrower and its Restricted Subsidiaries, taken as a whole.</w:t>
      </w:r>
    </w:p>
    <w:p>
      <w:pPr>
        <w:spacing w:after="0" w:line="18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Properties</w:t>
      </w:r>
      <w:r>
        <w:rPr>
          <w:rFonts w:ascii="Arial" w:cs="Arial" w:eastAsia="Arial" w:hAnsi="Arial"/>
          <w:sz w:val="17"/>
          <w:szCs w:val="17"/>
          <w:color w:val="auto"/>
        </w:rPr>
        <w:t xml:space="preserve">. (a) Each of the Borrower and its Restricted Subsidiaries has good title to, or valid leasehold interests in or rights to use, all its real and personal property material to its business, except for minor defects in title that do not interfere with its ability to conduct its business as currently conducted or to utilize such properties for their intended purposes. Except as permitted by this Agreement, all such properties and assets are free and clear of Liens, other than (i) Permitted Encumbrances, (ii) Liens arising by operation of law, (iii) Liens permitted by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(iv) minor defects in title that do not materially interfere with the ability of the Borrower and its Restricted Subsidiaries to conduct their businesses and that have not had and would not reasonably be expected to result in a Material Adverse Effect.</w:t>
      </w:r>
    </w:p>
    <w:p>
      <w:pPr>
        <w:spacing w:after="0" w:line="70" w:lineRule="exact"/>
        <w:rPr>
          <w:sz w:val="20"/>
          <w:szCs w:val="20"/>
          <w:color w:val="auto"/>
        </w:rPr>
      </w:pPr>
    </w:p>
    <w:p>
      <w:pPr>
        <w:ind w:right="140" w:firstLine="987"/>
        <w:spacing w:after="0" w:line="277" w:lineRule="auto"/>
        <w:tabs>
          <w:tab w:leader="none" w:pos="1246"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As of the Restatement Effective Date, </w:t>
      </w:r>
      <w:r>
        <w:rPr>
          <w:rFonts w:ascii="Arial" w:cs="Arial" w:eastAsia="Arial" w:hAnsi="Arial"/>
          <w:sz w:val="18"/>
          <w:szCs w:val="18"/>
          <w:u w:val="single" w:color="auto"/>
          <w:color w:val="auto"/>
        </w:rPr>
        <w:t>Schedule 3.5</w:t>
      </w:r>
      <w:r>
        <w:rPr>
          <w:rFonts w:ascii="Arial" w:cs="Arial" w:eastAsia="Arial" w:hAnsi="Arial"/>
          <w:sz w:val="18"/>
          <w:szCs w:val="18"/>
          <w:color w:val="auto"/>
        </w:rPr>
        <w:t xml:space="preserve"> to the Disclosure Letter contains a true, accurate and complete list of all Material Real Estate Assets.</w:t>
      </w:r>
    </w:p>
    <w:p>
      <w:pPr>
        <w:spacing w:after="0" w:line="62" w:lineRule="exact"/>
        <w:rPr>
          <w:rFonts w:ascii="Arial" w:cs="Arial" w:eastAsia="Arial" w:hAnsi="Arial"/>
          <w:sz w:val="18"/>
          <w:szCs w:val="18"/>
          <w:color w:val="auto"/>
        </w:rPr>
      </w:pPr>
    </w:p>
    <w:p>
      <w:pPr>
        <w:ind w:right="60" w:firstLine="987"/>
        <w:spacing w:after="0" w:line="259" w:lineRule="auto"/>
        <w:tabs>
          <w:tab w:leader="none" w:pos="1236" w:val="left"/>
        </w:tabs>
        <w:numPr>
          <w:ilvl w:val="0"/>
          <w:numId w:val="541"/>
        </w:numPr>
        <w:rPr>
          <w:rFonts w:ascii="Arial" w:cs="Arial" w:eastAsia="Arial" w:hAnsi="Arial"/>
          <w:sz w:val="18"/>
          <w:szCs w:val="18"/>
          <w:color w:val="auto"/>
        </w:rPr>
      </w:pPr>
      <w:r>
        <w:rPr>
          <w:rFonts w:ascii="Arial" w:cs="Arial" w:eastAsia="Arial" w:hAnsi="Arial"/>
          <w:sz w:val="18"/>
          <w:szCs w:val="18"/>
          <w:color w:val="auto"/>
        </w:rPr>
        <w:t>Each of the Borrower and its Restricted Subsidiaries owns, or is licensed to use, all Intellectual Property material to, used in and necessary to its business as currently conducted, and the use thereof by the Borrower and its Restricted Subsidiaries does not infringe upon the rights of any other Person, except for any such infringements that, individually or in the aggregate, have not resulted and would not reasonably be expected to result in a Material Adverse Effect.</w:t>
      </w:r>
    </w:p>
    <w:p>
      <w:pPr>
        <w:spacing w:after="0" w:line="187"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Litigation and Environmental Matters</w:t>
      </w:r>
      <w:r>
        <w:rPr>
          <w:rFonts w:ascii="Arial" w:cs="Arial" w:eastAsia="Arial" w:hAnsi="Arial"/>
          <w:sz w:val="17"/>
          <w:szCs w:val="17"/>
          <w:color w:val="auto"/>
        </w:rPr>
        <w:t>. (a) There are no actions, suits or proceedings by or before any arbitrator or Governmental Authority pending against or, to the knowledge of the Borrower, threatened against or affecting the Borrower or any of its Restricted Subsidiaries (i) that have resulted or would reasonably be expected, individually or in the aggregate, to result in a Material Adverse Effect (other than the Disclosed Matters) or (ii) that involve this Agreement, any other Loan Document or the Transactions. Neither the Borrower nor any of its Restricted Subsidiaries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have resulted or would reasonably be expected to result in a Material Adverse Effect.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40" w:top="274" w:right="499" w:bottom="1440" w:gutter="0" w:footer="0" w:header="0"/>
        </w:sectPr>
      </w:pPr>
    </w:p>
    <w:bookmarkStart w:id="448" w:name="page449"/>
    <w:bookmarkEnd w:id="448"/>
    <w:p>
      <w:pPr>
        <w:jc w:val="both"/>
        <w:ind w:right="160" w:firstLine="987"/>
        <w:spacing w:after="0" w:line="301" w:lineRule="auto"/>
        <w:tabs>
          <w:tab w:leader="none" w:pos="1246" w:val="left"/>
        </w:tabs>
        <w:numPr>
          <w:ilvl w:val="0"/>
          <w:numId w:val="5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for the Disclosed Matters and except with respect to any other matters that, individually or in the aggregate, have not resulted and could not reasonably be expected to result in a Material Adverse Effect, neither the Borrower nor any of its Restricted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49" w:lineRule="exact"/>
        <w:rPr>
          <w:rFonts w:ascii="Arial" w:cs="Arial" w:eastAsia="Arial" w:hAnsi="Arial"/>
          <w:sz w:val="16"/>
          <w:szCs w:val="16"/>
          <w:color w:val="auto"/>
        </w:rPr>
      </w:pPr>
    </w:p>
    <w:p>
      <w:pPr>
        <w:ind w:right="560" w:firstLine="987"/>
        <w:spacing w:after="0" w:line="277" w:lineRule="auto"/>
        <w:tabs>
          <w:tab w:leader="none" w:pos="1236" w:val="left"/>
        </w:tabs>
        <w:numPr>
          <w:ilvl w:val="0"/>
          <w:numId w:val="542"/>
        </w:numPr>
        <w:rPr>
          <w:rFonts w:ascii="Arial" w:cs="Arial" w:eastAsia="Arial" w:hAnsi="Arial"/>
          <w:sz w:val="18"/>
          <w:szCs w:val="18"/>
          <w:color w:val="auto"/>
        </w:rPr>
      </w:pPr>
      <w:r>
        <w:rPr>
          <w:rFonts w:ascii="Arial" w:cs="Arial" w:eastAsia="Arial" w:hAnsi="Arial"/>
          <w:sz w:val="18"/>
          <w:szCs w:val="18"/>
          <w:color w:val="auto"/>
        </w:rPr>
        <w:t>Since the Restatement Effective Date, there has been no change in the status of the Disclosed Matters that, individually or in the aggregate, has resulted in or would reasonably be expected to result in a Material Adverse Effect.</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Restricted Subsidiaries is in compliance with all laws, rules, regulations and orders of any Governmental Authority applicable to it or its property and all indentures, agreements and other instruments binding upon it or its property, except where the failure to do so, individually or in the aggregate, have not resulted and would not reasonably be expected to result in a Material Adverse Effect. No Default has occurred and is continuing.</w:t>
      </w:r>
    </w:p>
    <w:p>
      <w:pPr>
        <w:spacing w:after="0" w:line="187"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Borrower or any Restricted Subsidiary is or is required to be registered as an “investment company” under the Investment Company Act of 1940.</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Taxes</w:t>
      </w:r>
      <w:r>
        <w:rPr>
          <w:rFonts w:ascii="Arial" w:cs="Arial" w:eastAsia="Arial" w:hAnsi="Arial"/>
          <w:sz w:val="18"/>
          <w:szCs w:val="18"/>
          <w:color w:val="auto"/>
        </w:rPr>
        <w:t>. Except as has not resulted and would not reasonably be expected to result in a Material Adverse Effect, (i) each of the Borrower and its Restricted Subsidiaries has timely filed or caused to be filed all Tax returns and reports required to have been filed with respect to income, properties or operations of the Borrower and its Restricted Subsidiaries, (ii) such returns accurately reflect in all material respects all liability for Taxes of the Borrower and its Restricted Subsidiaries as a whole for the periods covered thereby and (iii) each of the Borrower and each of its Restricted Subsidiaries has paid or caused to be paid all Taxes required to have been paid by it, except Taxes that are being contested in good faith by appropriate proceedings and, to the extent required by GAAP, for which the Borrower or such Restricted Subsidiary, as applicable, has set aside on its books adequate reserves in accordance with GAAP.</w:t>
      </w:r>
    </w:p>
    <w:p>
      <w:pPr>
        <w:spacing w:after="0" w:line="195" w:lineRule="exact"/>
        <w:rPr>
          <w:sz w:val="20"/>
          <w:szCs w:val="20"/>
          <w:color w:val="auto"/>
        </w:rPr>
      </w:pPr>
    </w:p>
    <w:p>
      <w:pPr>
        <w:ind w:right="160" w:firstLine="991"/>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w:t>
      </w:r>
      <w:r>
        <w:rPr>
          <w:rFonts w:ascii="Arial" w:cs="Arial" w:eastAsia="Arial" w:hAnsi="Arial"/>
          <w:sz w:val="18"/>
          <w:szCs w:val="18"/>
          <w:color w:val="auto"/>
        </w:rPr>
        <w:t>. (a) Each Plan is in compliance in form and operation with its terms and with ERISA and the Code (including the Code provisions compliance with which is necessary for any intended favorable tax treatment) and all other applicable laws and regulations, except where any failure to comply could not reasonably be expected to result in a Material Adverse Effect. Each Plan (and each related trust, if any) which is intended to be qualified under Section 401(a) of the Code has received a favorable determination letter from the IRS to the effect that it meets the requirements of Sections 401(a) and 501(a) of the Code or is comprised of a master or prototype plan that has received a favorable opinion letter from the IRS, and, nothing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449" w:name="page450"/>
    <w:bookmarkEnd w:id="44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has occurred, or is reasonably expected to occur, other than as could not, individually or in the aggregate, reasonably be expected to result in a Material Adverse Effect.</w:t>
      </w:r>
    </w:p>
    <w:p>
      <w:pPr>
        <w:spacing w:after="0" w:line="79" w:lineRule="exact"/>
        <w:rPr>
          <w:sz w:val="20"/>
          <w:szCs w:val="20"/>
          <w:color w:val="auto"/>
        </w:rPr>
      </w:pPr>
    </w:p>
    <w:p>
      <w:pPr>
        <w:ind w:right="60" w:firstLine="987"/>
        <w:spacing w:after="0" w:line="277" w:lineRule="auto"/>
        <w:tabs>
          <w:tab w:leader="none" w:pos="124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There exists no material Unfunded Pension Liability with respect to any Plan, except as could not reasonably be expected to result in a Material Adverse Effect.</w:t>
      </w:r>
    </w:p>
    <w:p>
      <w:pPr>
        <w:spacing w:after="0" w:line="62" w:lineRule="exact"/>
        <w:rPr>
          <w:rFonts w:ascii="Arial" w:cs="Arial" w:eastAsia="Arial" w:hAnsi="Arial"/>
          <w:sz w:val="18"/>
          <w:szCs w:val="18"/>
          <w:color w:val="auto"/>
        </w:rPr>
      </w:pPr>
    </w:p>
    <w:p>
      <w:pPr>
        <w:ind w:right="60" w:firstLine="987"/>
        <w:spacing w:after="0" w:line="263" w:lineRule="auto"/>
        <w:tabs>
          <w:tab w:leader="none" w:pos="12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None of the Borrower, any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w:t>
      </w:r>
    </w:p>
    <w:p>
      <w:pPr>
        <w:spacing w:after="0" w:line="75"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There are no actions, suits or claims pending against or involving a Plan (other than routine claims for benefits) or, to the knowledge of the Borrower, any Subsidiary or any ERISA Affiliate, threatened, which have resulted in or could reasonably be expected either singly or in the aggregate to result in a Material Adverse Effect.</w:t>
      </w:r>
    </w:p>
    <w:p>
      <w:pPr>
        <w:spacing w:after="0" w:line="75" w:lineRule="exact"/>
        <w:rPr>
          <w:rFonts w:ascii="Arial" w:cs="Arial" w:eastAsia="Arial" w:hAnsi="Arial"/>
          <w:sz w:val="18"/>
          <w:szCs w:val="18"/>
          <w:color w:val="auto"/>
        </w:rPr>
      </w:pPr>
    </w:p>
    <w:p>
      <w:pPr>
        <w:ind w:right="200" w:firstLine="987"/>
        <w:spacing w:after="0" w:line="259" w:lineRule="auto"/>
        <w:tabs>
          <w:tab w:leader="none" w:pos="123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Borrower, each Subsidiary and each ERISA Affiliate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has not resulted and could not reasonably be expected to result in a Material Adverse Effect.</w:t>
      </w:r>
    </w:p>
    <w:p>
      <w:pPr>
        <w:spacing w:after="0" w:line="78" w:lineRule="exact"/>
        <w:rPr>
          <w:rFonts w:ascii="Arial" w:cs="Arial" w:eastAsia="Arial" w:hAnsi="Arial"/>
          <w:sz w:val="18"/>
          <w:szCs w:val="18"/>
          <w:color w:val="auto"/>
        </w:rPr>
      </w:pPr>
    </w:p>
    <w:p>
      <w:pPr>
        <w:ind w:right="40" w:firstLine="987"/>
        <w:spacing w:after="0" w:line="270" w:lineRule="auto"/>
        <w:tabs>
          <w:tab w:leader="none" w:pos="1216" w:val="left"/>
        </w:tabs>
        <w:numPr>
          <w:ilvl w:val="0"/>
          <w:numId w:val="543"/>
        </w:numPr>
        <w:rPr>
          <w:rFonts w:ascii="Arial" w:cs="Arial" w:eastAsia="Arial" w:hAnsi="Arial"/>
          <w:sz w:val="17"/>
          <w:szCs w:val="17"/>
          <w:color w:val="auto"/>
        </w:rPr>
      </w:pPr>
      <w:r>
        <w:rPr>
          <w:rFonts w:ascii="Arial" w:cs="Arial" w:eastAsia="Arial" w:hAnsi="Arial"/>
          <w:sz w:val="17"/>
          <w:szCs w:val="17"/>
          <w:color w:val="auto"/>
        </w:rPr>
        <w:t>No Plan which is subject to Section 412 of the Code or Section 302 of ERISA has applied for or received an extension of any amortization period, within the meaning of Section 412 of the Code or Section 302 or 304 of ERISA. None of the Borrower, any Subsidiary or any ERISA Affiliate have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Borrower, any Subsidiary or any ERISA Affiliate have incurred or reasonably expect to incur any liability to PBGC except as has not resulted in and could not reasonably be expected to result in a Material Adverse Effect, and no Lien imposed under the Code or ERISA on the assets of the Borrower, any Subsidiary or any ERISA Affiliate exists or, to the knowledge of the Borrower, is likely to arise on account of any Plan. None of the Borrower, any Subsidiary or any ERISA Affiliate has engaged in a transaction that could be subject to Section 4069 or 4212(c) of ERISA.</w:t>
      </w:r>
    </w:p>
    <w:p>
      <w:pPr>
        <w:spacing w:after="0" w:line="72" w:lineRule="exact"/>
        <w:rPr>
          <w:rFonts w:ascii="Arial" w:cs="Arial" w:eastAsia="Arial" w:hAnsi="Arial"/>
          <w:sz w:val="17"/>
          <w:szCs w:val="17"/>
          <w:color w:val="auto"/>
        </w:rPr>
      </w:pPr>
    </w:p>
    <w:p>
      <w:pPr>
        <w:ind w:firstLine="987"/>
        <w:spacing w:after="0" w:line="259" w:lineRule="auto"/>
        <w:tabs>
          <w:tab w:leader="none" w:pos="124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has not resulted in and could not reasonably be expected to result in a Material Adverse Effect. All contributions required to be made with respect to a Non-U.S. Plan have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450" w:name="page451"/>
    <w:bookmarkEnd w:id="450"/>
    <w:p>
      <w:pPr>
        <w:ind w:right="1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been timely made, except as has not resulted in and could not reasonably be expected to result in a Material Adverse Effect. Neither the Borrower nor any of its Restricted Subsidiaries has incurred any material obligation in connection with the termination of, or withdrawal from, any Non-U.S. Plan. The present value of the accrued benefit liabilities (whether or not vested) under each Non-U.S. Plan, determined as of the end of the Borrower’s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spacing w:after="0" w:line="161"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All written information or oral information provided in formal presentations or in any regularly scheduled meeting or regularly scheduled conference call with more than one Lender (other than any projected financial information and other than information of a general economic or industry specific nature) furnished by or on behalf of the Borrower to the Administrative Agent or any Lender in connection with the negotiation of this Agreement or delivered hereunder or under any Loan Document (as modified or supplemented by other information so furnished and when taken as a whole), when furnished, does not contain any material misstatement of fact or omit to state any material fact necessary to make the statements therein, in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projected financial information, the Borrower represents only that such information was prepared in good faith based upon assumptions believed to be reasonable at the time furnished (it being understood that such projected financial information is subject to significant uncertainties and contingencies, any of which are beyond the Borrower’s control, that no 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spacing w:after="0" w:line="16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to the Disclosure Letter sets forth as of the Restatement Effective Date a list of all Subsidiaries (identifying all Restricted Subsidiaries and all Unrestricted Subsidiaries) and the percentage ownership (directly or indirectly) of the Borrower therein. Except as has not resulted and could not, individually or in the aggregate, reasonably be expected to result in a Material Adverse Effect, the shares of capital stock or other ownership interests of all Restricted Subsidiaries of the Borrower are fully paid and non-assessable and are owned by the Borrower (other than minority interests held by other Persons that do not violate any provision of this Agreement), directly or indirectly, free and clear of all Liens other than Liens permitted under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92"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Anti-Terrorism Laws; USA Patriot Act</w:t>
      </w:r>
      <w:r>
        <w:rPr>
          <w:rFonts w:ascii="Arial" w:cs="Arial" w:eastAsia="Arial" w:hAnsi="Arial"/>
          <w:sz w:val="18"/>
          <w:szCs w:val="18"/>
          <w:color w:val="auto"/>
        </w:rPr>
        <w:t>. To the extent applicable, the Borrower and each Subsidiary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(a) The Borrower has implemented and maintains in effect policies and procedures designed to promote compliance by the Borrower and its Subsidiaries and its and their respective directors, officers, employees and agents with Anti-Corruption Laws and applicable Sanctions, and the Borrower, its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451" w:name="page452"/>
    <w:bookmarkEnd w:id="451"/>
    <w:p>
      <w:pPr>
        <w:ind w:left="4" w:right="3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its and their respective directors and officers and, to the knowledge of the Borrower, its and their respective employees, and their respective affiliates and agents acting at their direction, are in compliance with Anti-Corruption Laws and applicable Sanctions in all material respects. None of</w:t>
      </w:r>
    </w:p>
    <w:p>
      <w:pPr>
        <w:ind w:left="4" w:right="80" w:hanging="4"/>
        <w:spacing w:after="0" w:line="253" w:lineRule="auto"/>
        <w:tabs>
          <w:tab w:leader="none" w:pos="219"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Borrower, any Subsidiary or any of its or their respective directors or officers, nor to the knowledge of the Borrower, any of the employees of the Borrower or its Subsidiaries, or (ii) to the knowledge of the Borrower, any of its or their respective affiliates or agents that will act in any capacity in connection with or benefit from the credit facility established hereby, is a Sanctioned Person. The Transactions will not violate Anti-Corruption Laws or applicable Sanctions.</w:t>
      </w:r>
    </w:p>
    <w:p>
      <w:pPr>
        <w:spacing w:after="0" w:line="84" w:lineRule="exact"/>
        <w:rPr>
          <w:rFonts w:ascii="Arial" w:cs="Arial" w:eastAsia="Arial" w:hAnsi="Arial"/>
          <w:sz w:val="18"/>
          <w:szCs w:val="18"/>
          <w:color w:val="auto"/>
        </w:rPr>
      </w:pPr>
    </w:p>
    <w:p>
      <w:pPr>
        <w:ind w:left="4" w:right="40" w:firstLine="987"/>
        <w:spacing w:after="0" w:line="259" w:lineRule="auto"/>
        <w:tabs>
          <w:tab w:leader="none" w:pos="125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No part of the proceeds of the Loans or any Letters of Credit will be used, directly or indirectly, for any payments to any officer or employee of a Governmental Authority, or any Person controlled by a Governmental Authority,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7"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Margin Stock</w:t>
      </w:r>
      <w:r>
        <w:rPr>
          <w:rFonts w:ascii="Arial" w:cs="Arial" w:eastAsia="Arial" w:hAnsi="Arial"/>
          <w:sz w:val="18"/>
          <w:szCs w:val="18"/>
          <w:color w:val="auto"/>
        </w:rPr>
        <w:t>. (a) None of the Borrower or any of its Restricted Subsidiaries is engaged principally, or as one of its important activities, in the business of buying or carrying or extending credit for the purpose of buying or carrying Margin Stock.</w:t>
      </w:r>
    </w:p>
    <w:p>
      <w:pPr>
        <w:spacing w:after="0" w:line="62" w:lineRule="exact"/>
        <w:rPr>
          <w:sz w:val="20"/>
          <w:szCs w:val="20"/>
          <w:color w:val="auto"/>
        </w:rPr>
      </w:pPr>
    </w:p>
    <w:p>
      <w:pPr>
        <w:jc w:val="both"/>
        <w:ind w:left="4" w:right="220" w:firstLine="987"/>
        <w:spacing w:after="0" w:line="342" w:lineRule="auto"/>
        <w:tabs>
          <w:tab w:leader="none" w:pos="125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No part of the proceeds of any Loan will be used, whether directly or indirectly, and whether immediately, incidentally or ultimately, for any purpose that entails a violation of, or that is inconsistent with, the provisions of the Regulations of the Board, including Regulation T, U or X.</w:t>
      </w:r>
    </w:p>
    <w:p>
      <w:pPr>
        <w:spacing w:after="0" w:line="124"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Solvency</w:t>
      </w:r>
      <w:r>
        <w:rPr>
          <w:rFonts w:ascii="Arial" w:cs="Arial" w:eastAsia="Arial" w:hAnsi="Arial"/>
          <w:sz w:val="18"/>
          <w:szCs w:val="18"/>
          <w:color w:val="auto"/>
        </w:rPr>
        <w:t>. As of the Restatement Effective Date, the Borrower is, individually and together with its Restricted Subsidiaries, and after giving effect to the incurrence of all Indebtedness and obligations being incurred in connection herewith (assuming for this purpose that the full amount of the Commitments is drawn on the Restatement Effective Date, as the case may be) will be, Solvent.</w:t>
      </w:r>
    </w:p>
    <w:p>
      <w:pPr>
        <w:spacing w:after="0" w:line="184"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As of the Restatement Effective Date, the Domestic Restricted Subsidiaries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3.17</w:t>
      </w:r>
      <w:r>
        <w:rPr>
          <w:rFonts w:ascii="Arial" w:cs="Arial" w:eastAsia="Arial" w:hAnsi="Arial"/>
          <w:sz w:val="18"/>
          <w:szCs w:val="18"/>
          <w:color w:val="auto"/>
        </w:rPr>
        <w:t xml:space="preserve"> to the Disclosure Letter are not Material Domestic Subsidiaries.</w:t>
      </w:r>
    </w:p>
    <w:p>
      <w:pPr>
        <w:spacing w:after="0" w:line="170" w:lineRule="exact"/>
        <w:rPr>
          <w:sz w:val="20"/>
          <w:szCs w:val="20"/>
          <w:color w:val="auto"/>
        </w:rPr>
      </w:pPr>
    </w:p>
    <w:p>
      <w:pPr>
        <w:ind w:left="4" w:right="40" w:firstLine="991"/>
        <w:spacing w:after="0" w:line="289"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The Security Agreement and each other Collateral Document is effective to create in favor of the Collateral Agent, for the benefit of the Secured Parties, a valid security interest in the Collateral described therein and proceeds thereof (to the extent a security interest can be created therein under the Uniform Commercial Code). In the case of the Pledged Collateral described in the Security Agreement, when stock or interest certificates representing such Pledged Collateral (along with properly completed stock or interest powers endorsing the Pledged Collateral) and executed by the owner of such shares or interests are delivered to the Collateral Agent), and in the case of the other Collateral described in the Security Agreement or any other Collateral Document, when financing statements and other filings specified on </w:t>
      </w:r>
      <w:r>
        <w:rPr>
          <w:rFonts w:ascii="Arial" w:cs="Arial" w:eastAsia="Arial" w:hAnsi="Arial"/>
          <w:sz w:val="16"/>
          <w:szCs w:val="16"/>
          <w:u w:val="single" w:color="auto"/>
          <w:color w:val="auto"/>
        </w:rPr>
        <w:t>Schedule 3.18</w:t>
      </w:r>
      <w:r>
        <w:rPr>
          <w:rFonts w:ascii="Arial" w:cs="Arial" w:eastAsia="Arial" w:hAnsi="Arial"/>
          <w:sz w:val="16"/>
          <w:szCs w:val="16"/>
          <w:color w:val="auto"/>
        </w:rPr>
        <w:t xml:space="preserve"> to the Disclosure Letter in appropriate form are filed in the offices specified on </w:t>
      </w:r>
      <w:r>
        <w:rPr>
          <w:rFonts w:ascii="Arial" w:cs="Arial" w:eastAsia="Arial" w:hAnsi="Arial"/>
          <w:sz w:val="16"/>
          <w:szCs w:val="16"/>
          <w:u w:val="single" w:color="auto"/>
          <w:color w:val="auto"/>
        </w:rPr>
        <w:t>Schedule 3.18</w:t>
      </w:r>
      <w:r>
        <w:rPr>
          <w:rFonts w:ascii="Arial" w:cs="Arial" w:eastAsia="Arial" w:hAnsi="Arial"/>
          <w:sz w:val="16"/>
          <w:szCs w:val="16"/>
          <w:color w:val="auto"/>
        </w:rPr>
        <w:t xml:space="preserve"> to the Disclosure Letter, the Collateral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4"/>
          </w:cols>
          <w:pgMar w:left="436" w:top="274" w:right="439" w:bottom="1440" w:gutter="0" w:footer="0" w:header="0"/>
        </w:sectPr>
      </w:pPr>
    </w:p>
    <w:bookmarkStart w:id="452" w:name="page453"/>
    <w:bookmarkEnd w:id="45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3.19 </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No Loan Party is an EEA Financial Institution.</w:t>
      </w:r>
    </w:p>
    <w:p>
      <w:pPr>
        <w:spacing w:after="0" w:line="225"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FinCEN</w:t>
      </w:r>
      <w:r>
        <w:rPr>
          <w:rFonts w:ascii="Arial" w:cs="Arial" w:eastAsia="Arial" w:hAnsi="Arial"/>
          <w:sz w:val="16"/>
          <w:szCs w:val="16"/>
          <w:color w:val="auto"/>
        </w:rPr>
        <w:t>. As of the Restatement Effective Date, the information included in the Beneficial Ownership Certification delivered by the Borrower pursuant to Section 5(a)(xi) of the Amendment and Restatement Agreement, if applicable, is true and correct in all respects.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4.1 [Reserved].</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Each Credit Extension</w:t>
      </w:r>
      <w:r>
        <w:rPr>
          <w:rFonts w:ascii="Arial" w:cs="Arial" w:eastAsia="Arial" w:hAnsi="Arial"/>
          <w:sz w:val="17"/>
          <w:szCs w:val="17"/>
          <w:color w:val="auto"/>
        </w:rPr>
        <w:t xml:space="preserve">. The obligation of each Lender to make a Loan on the occasion of any Borrowing (other than a Borrowing consisting solely of a conversion of Loans of one Type to another Type or a continuation of a Eurodollar Loan following the expiration of the applicable Interest Period), the obligation of each Issuing Bank to issue any Letter of Credit, or amend or extend the expiration date, or increase the face amount of any Letter of Credit, and the effectiveness of any Commitment Increase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any extension of the Maturity Date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(each of the foregoing, a “</w:t>
      </w:r>
      <w:r>
        <w:rPr>
          <w:rFonts w:ascii="Arial" w:cs="Arial" w:eastAsia="Arial" w:hAnsi="Arial"/>
          <w:sz w:val="17"/>
          <w:szCs w:val="17"/>
          <w:u w:val="single" w:color="auto"/>
          <w:color w:val="auto"/>
        </w:rPr>
        <w:t>Credit Extension</w:t>
      </w:r>
      <w:r>
        <w:rPr>
          <w:rFonts w:ascii="Arial" w:cs="Arial" w:eastAsia="Arial" w:hAnsi="Arial"/>
          <w:sz w:val="17"/>
          <w:szCs w:val="17"/>
          <w:color w:val="auto"/>
        </w:rPr>
        <w:t>”), is subject to the satisfaction of the following conditions:</w:t>
      </w:r>
    </w:p>
    <w:p>
      <w:pPr>
        <w:spacing w:after="0" w:line="68" w:lineRule="exact"/>
        <w:rPr>
          <w:sz w:val="20"/>
          <w:szCs w:val="20"/>
          <w:color w:val="auto"/>
        </w:rPr>
      </w:pPr>
    </w:p>
    <w:p>
      <w:pPr>
        <w:ind w:right="360" w:firstLine="987"/>
        <w:spacing w:after="0" w:line="277" w:lineRule="auto"/>
        <w:tabs>
          <w:tab w:leader="none" w:pos="123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Borrowing Request or the Administrative Agent and the applicable Issuing Bank shall have received fully executed Issuance Notice and Application, as the case may be;</w:t>
      </w:r>
    </w:p>
    <w:p>
      <w:pPr>
        <w:spacing w:after="0" w:line="62" w:lineRule="exact"/>
        <w:rPr>
          <w:rFonts w:ascii="Arial" w:cs="Arial" w:eastAsia="Arial" w:hAnsi="Arial"/>
          <w:sz w:val="18"/>
          <w:szCs w:val="18"/>
          <w:color w:val="auto"/>
        </w:rPr>
      </w:pPr>
    </w:p>
    <w:p>
      <w:pPr>
        <w:ind w:firstLine="987"/>
        <w:spacing w:after="0" w:line="273" w:lineRule="auto"/>
        <w:tabs>
          <w:tab w:leader="none" w:pos="1246" w:val="left"/>
        </w:tabs>
        <w:numPr>
          <w:ilvl w:val="0"/>
          <w:numId w:val="54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set forth in this Agreement and the other Loan Documents shall be true and correct in all material respects (other than to the extent qualified by materiality or “Material Adverse Effect”, in which case, such representations and warranties shall be true and correct in all respects) on and as of the date of such Credit Extension, except that (i) for purposes of this Section, the representations and warranties contained in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shall be deemed to refer, following the first delivery thereof, to the most recent statements furnished pursuant to clauses (a) and (b), respectively, of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and (ii) to the extent that such representations and warranties specifically refer to an earlier date, they shall be true and correct in such manner as of such earlier date; and</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546"/>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Credit Extension, no Default or Event of Default shall have occurred and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211"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Each Credit Extension shall be deemed to constitute a representation and warranty by the Borrower as to the matters specified in paragraphs (b) and (c) of this Section.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453" w:name="page454"/>
    <w:bookmarkEnd w:id="4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have been cancelled or expired or cash collateralized on terms satisfactory to the applicable Issuing Banks, each Loan Party covenants and agrees with the Lenders that:</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Financial Statements; Other Information; Quarterly Conference Calls</w:t>
      </w:r>
      <w:r>
        <w:rPr>
          <w:rFonts w:ascii="Arial" w:cs="Arial" w:eastAsia="Arial" w:hAnsi="Arial"/>
          <w:sz w:val="18"/>
          <w:szCs w:val="18"/>
          <w:color w:val="auto"/>
        </w:rPr>
        <w:t>. The Borrower will furnish to the Administrative Agent (for distribution to each Lender):</w:t>
      </w:r>
    </w:p>
    <w:p>
      <w:pPr>
        <w:spacing w:after="0" w:line="62" w:lineRule="exact"/>
        <w:rPr>
          <w:sz w:val="20"/>
          <w:szCs w:val="20"/>
          <w:color w:val="auto"/>
        </w:rPr>
      </w:pPr>
    </w:p>
    <w:p>
      <w:pPr>
        <w:ind w:right="100" w:firstLine="987"/>
        <w:spacing w:after="0" w:line="254" w:lineRule="auto"/>
        <w:tabs>
          <w:tab w:leader="none" w:pos="123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within 90 days after the end of such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(other than a qualification related to the maturity of the Commitments and the Loans at the Maturity Date)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86" w:lineRule="exact"/>
        <w:rPr>
          <w:rFonts w:ascii="Arial" w:cs="Arial" w:eastAsia="Arial" w:hAnsi="Arial"/>
          <w:sz w:val="18"/>
          <w:szCs w:val="18"/>
          <w:color w:val="auto"/>
        </w:rPr>
      </w:pPr>
    </w:p>
    <w:p>
      <w:pPr>
        <w:ind w:right="20" w:firstLine="987"/>
        <w:spacing w:after="0" w:line="273" w:lineRule="auto"/>
        <w:tabs>
          <w:tab w:leader="none" w:pos="1246" w:val="left"/>
        </w:tabs>
        <w:numPr>
          <w:ilvl w:val="0"/>
          <w:numId w:val="547"/>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69" w:lineRule="exact"/>
        <w:rPr>
          <w:rFonts w:ascii="Arial" w:cs="Arial" w:eastAsia="Arial" w:hAnsi="Arial"/>
          <w:sz w:val="17"/>
          <w:szCs w:val="17"/>
          <w:color w:val="auto"/>
        </w:rPr>
      </w:pPr>
    </w:p>
    <w:p>
      <w:pPr>
        <w:ind w:right="20" w:firstLine="987"/>
        <w:spacing w:after="0" w:line="255" w:lineRule="auto"/>
        <w:tabs>
          <w:tab w:leader="none" w:pos="123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or (b) above, a certificate of a Financial Officer of the Borrower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(i) certifying as to whether a Default or Event of Default has occurred and is continuing as of the date thereof and, if a Default or Event of Default has occurred and is continuing as of the date thereof, specifying the details thereof and any action taken or proposed to be taken with respect thereto and (ii) if and to the extent that any change in GAAP that has occurred since the date of the audited financial statements referred to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had an impact on such financial statements, specifying the effect of such change on the financial statements accompanying such certificate;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4" w:right="439" w:bottom="1440" w:gutter="0" w:footer="0" w:header="0"/>
        </w:sectPr>
      </w:pPr>
    </w:p>
    <w:bookmarkStart w:id="454" w:name="page455"/>
    <w:bookmarkEnd w:id="454"/>
    <w:p>
      <w:pPr>
        <w:ind w:firstLine="987"/>
        <w:spacing w:after="0" w:line="296" w:lineRule="auto"/>
        <w:tabs>
          <w:tab w:leader="none" w:pos="1246" w:val="left"/>
        </w:tabs>
        <w:numPr>
          <w:ilvl w:val="0"/>
          <w:numId w:val="5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after the same become publicly available, copies of all periodic and other reports, proxy statements and other materials filed by the Borrower or any Restricted Subsidiary with the Securities and Exchange Commission, or any Governmental Authority succeeding to any or all of the functions of said Commission, or with any national securities exchange, as the case may be, in each case that is not otherwise required to be delivered to the Administrative Agent pursuant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information shall be deemed to have been delivered on the date on which such information has been posted on the Borrower’s website on the Internet at http://www.dropbox.com (or any successor page) or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jc w:val="both"/>
        <w:ind w:right="20" w:firstLine="987"/>
        <w:spacing w:after="0" w:line="286" w:lineRule="auto"/>
        <w:tabs>
          <w:tab w:leader="none" w:pos="1236" w:val="left"/>
        </w:tabs>
        <w:numPr>
          <w:ilvl w:val="0"/>
          <w:numId w:val="548"/>
        </w:numPr>
        <w:rPr>
          <w:rFonts w:ascii="Arial" w:cs="Arial" w:eastAsia="Arial" w:hAnsi="Arial"/>
          <w:sz w:val="17"/>
          <w:szCs w:val="17"/>
          <w:color w:val="auto"/>
        </w:rPr>
      </w:pPr>
      <w:r>
        <w:rPr>
          <w:rFonts w:ascii="Arial" w:cs="Arial" w:eastAsia="Arial" w:hAnsi="Arial"/>
          <w:sz w:val="17"/>
          <w:szCs w:val="17"/>
          <w:color w:val="auto"/>
        </w:rPr>
        <w:t>promptly following any request in writing (including any electronic message) therefor, such other information regarding the operations, business affairs and financial condition of the Borrower or any Restricted Subsidiary, or compliance with the terms of this Agreement or any other Loan Document, as the Administrative Agent or any Lender (through the Administrative Agent) may reasonably request;</w:t>
      </w:r>
    </w:p>
    <w:p>
      <w:pPr>
        <w:spacing w:after="0" w:line="57" w:lineRule="exact"/>
        <w:rPr>
          <w:rFonts w:ascii="Arial" w:cs="Arial" w:eastAsia="Arial" w:hAnsi="Arial"/>
          <w:sz w:val="17"/>
          <w:szCs w:val="17"/>
          <w:color w:val="auto"/>
        </w:rPr>
      </w:pPr>
    </w:p>
    <w:p>
      <w:pPr>
        <w:ind w:right="20" w:firstLine="987"/>
        <w:spacing w:after="0" w:line="254" w:lineRule="auto"/>
        <w:tabs>
          <w:tab w:leader="none" w:pos="1216"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xml:space="preserve">the Borrower will furnish to the Collateral Agent (i) any information regarding Collateral required pursuant to the Collateral Documents and (ii) each year, at the time of delivery of annual financial statements with respect to the preceding fiscal year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a certificate of its Responsible Officer certifying that, to its knowledge, all Uniform Commercial Code financing statements and all supplemental intellectual property security agreements or other appropriate filings, recordings or registrations, have been filed of record in each governmental, municipal or other appropriate office in each jurisdiction identified in the documents delivered pursuant to clause to the extent necessary to effect, protect and perfect the security interests under the Collateral Documents (except as noted therein with respect to any continuation statements to be filed within such period); and</w:t>
      </w:r>
    </w:p>
    <w:p>
      <w:pPr>
        <w:spacing w:after="0" w:line="86" w:lineRule="exact"/>
        <w:rPr>
          <w:rFonts w:ascii="Arial" w:cs="Arial" w:eastAsia="Arial" w:hAnsi="Arial"/>
          <w:sz w:val="18"/>
          <w:szCs w:val="18"/>
          <w:color w:val="auto"/>
        </w:rPr>
      </w:pPr>
    </w:p>
    <w:p>
      <w:pPr>
        <w:ind w:right="160" w:firstLine="987"/>
        <w:spacing w:after="0" w:line="257" w:lineRule="auto"/>
        <w:tabs>
          <w:tab w:leader="none" w:pos="1246"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xml:space="preserve">if any Subsidiary has been designated as an Unrestricted Subsidiary, concurrently with each delivery of financial statements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financial statements (in substantially the same form as the financial statements delivered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prepared on the basis of consolidating the accounts of the Borrower and its Restricted Subsidiaries and treating any Unrestricted Subsidiaries as if they were not consolidated with the Borrower and otherwise eliminating all accounts of Unrestricted Subsidiaries, together with an explanation of reconciliation adjustments in reasonable detail.</w:t>
      </w:r>
    </w:p>
    <w:p>
      <w:pPr>
        <w:spacing w:after="0" w:line="188"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The Borrower will participate in a telephonic meeting with the Administrative Agent and the Lenders, such meeting to be held, if and to the extent requested by the Administrative Agent, at such time (but not more often than once in a period of three consecutive months) during normal business hours as may reasonably be agreed to by the Borrower and the Administrative Agent, during which the Borrower shall, among other things, convey to the Administrative Agent and the Lenders (a) an analysis of key business trends with respect to the Borrower as of the end of and for the then most recently ended fiscal quarter and the then elapsed portion of the applicable fiscal year and (b) in the case of the first such meeting held during any fiscal year, guidance (which shall be prepared on the basis of assumptions believed by the Borrower to be reasonable) with respect to such key business trends for such fiscal year (and, in the case of each such subsequent meeting held during such fiscal year, an update with respect to such guidance).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455" w:name="page456"/>
    <w:bookmarkEnd w:id="455"/>
    <w:p>
      <w:pPr>
        <w:ind w:left="4"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Information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may be delivered electronically and if so delivered, shall be deemed to have been delivered on the date (i) on which the Borrower posts such information, or provides a link thereto on the Borrower’s website on the Internet at </w:t>
      </w:r>
      <w:r>
        <w:rPr>
          <w:rFonts w:ascii="Arial" w:cs="Arial" w:eastAsia="Arial" w:hAnsi="Arial"/>
          <w:sz w:val="16"/>
          <w:szCs w:val="16"/>
          <w:u w:val="single" w:color="auto"/>
          <w:color w:val="auto"/>
        </w:rPr>
        <w:t>http://www.dropbox.com</w:t>
      </w:r>
      <w:r>
        <w:rPr>
          <w:rFonts w:ascii="Arial" w:cs="Arial" w:eastAsia="Arial" w:hAnsi="Arial"/>
          <w:sz w:val="16"/>
          <w:szCs w:val="16"/>
          <w:color w:val="auto"/>
        </w:rPr>
        <w:t xml:space="preserve"> (or any successor page) or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or (ii) on which such information is posted on the Borrower’s behalf on an Internet or intranet website, if any, to which the Lenders and the Administrative Agent have been granted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the Administrative Agent or any Lender so requests, the Borrower shall deliver paper copies of such documents to the Administrative Agent or such Lender until a written request to cease delivering paper copies is given by the Administrative Agent or such Lender and (y) the Borrower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1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Borrower will furnish to the Administrative Agent (for distribution to each Lender) prompt written notice of the following:</w:t>
      </w:r>
    </w:p>
    <w:p>
      <w:pPr>
        <w:spacing w:after="0" w:line="117" w:lineRule="exact"/>
        <w:rPr>
          <w:sz w:val="20"/>
          <w:szCs w:val="20"/>
          <w:color w:val="auto"/>
        </w:rPr>
      </w:pPr>
    </w:p>
    <w:p>
      <w:pPr>
        <w:ind w:left="1244" w:hanging="253"/>
        <w:spacing w:after="0"/>
        <w:tabs>
          <w:tab w:leader="none" w:pos="1244"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4" w:right="620" w:firstLine="987"/>
        <w:spacing w:after="0" w:line="308" w:lineRule="auto"/>
        <w:tabs>
          <w:tab w:leader="none" w:pos="1250" w:val="left"/>
        </w:tabs>
        <w:numPr>
          <w:ilvl w:val="1"/>
          <w:numId w:val="549"/>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Subsidiary thereof that would reasonably be expected to result in a Material Adverse Effect;</w:t>
      </w:r>
    </w:p>
    <w:p>
      <w:pPr>
        <w:spacing w:after="0" w:line="38" w:lineRule="exact"/>
        <w:rPr>
          <w:rFonts w:ascii="Arial" w:cs="Arial" w:eastAsia="Arial" w:hAnsi="Arial"/>
          <w:sz w:val="17"/>
          <w:szCs w:val="17"/>
          <w:color w:val="auto"/>
        </w:rPr>
      </w:pPr>
    </w:p>
    <w:p>
      <w:pPr>
        <w:ind w:left="1244" w:hanging="253"/>
        <w:spacing w:after="0"/>
        <w:tabs>
          <w:tab w:leader="none" w:pos="1244" w:val="left"/>
        </w:tabs>
        <w:numPr>
          <w:ilvl w:val="1"/>
          <w:numId w:val="549"/>
        </w:numPr>
        <w:rPr>
          <w:rFonts w:ascii="Arial" w:cs="Arial" w:eastAsia="Arial" w:hAnsi="Arial"/>
          <w:sz w:val="16"/>
          <w:szCs w:val="16"/>
          <w:color w:val="auto"/>
        </w:rPr>
      </w:pPr>
      <w:r>
        <w:rPr>
          <w:rFonts w:ascii="Arial" w:cs="Arial" w:eastAsia="Arial" w:hAnsi="Arial"/>
          <w:sz w:val="16"/>
          <w:szCs w:val="16"/>
          <w:color w:val="auto"/>
        </w:rPr>
        <w:t>any change in the information provided in the Beneficial Ownership Certification delivered by the Borrower pursuant to Section 5(a)</w:t>
      </w:r>
    </w:p>
    <w:p>
      <w:pPr>
        <w:spacing w:after="0" w:line="46" w:lineRule="exact"/>
        <w:rPr>
          <w:rFonts w:ascii="Arial" w:cs="Arial" w:eastAsia="Arial" w:hAnsi="Arial"/>
          <w:sz w:val="16"/>
          <w:szCs w:val="16"/>
          <w:color w:val="auto"/>
        </w:rPr>
      </w:pPr>
    </w:p>
    <w:p>
      <w:pPr>
        <w:ind w:left="4" w:right="580" w:hanging="4"/>
        <w:spacing w:after="0" w:line="260" w:lineRule="auto"/>
        <w:tabs>
          <w:tab w:leader="none" w:pos="309" w:val="left"/>
        </w:tabs>
        <w:numPr>
          <w:ilvl w:val="0"/>
          <w:numId w:val="550"/>
        </w:numPr>
        <w:rPr>
          <w:rFonts w:ascii="Arial" w:cs="Arial" w:eastAsia="Arial" w:hAnsi="Arial"/>
          <w:sz w:val="18"/>
          <w:szCs w:val="18"/>
          <w:color w:val="auto"/>
        </w:rPr>
      </w:pPr>
      <w:r>
        <w:rPr>
          <w:rFonts w:ascii="Arial" w:cs="Arial" w:eastAsia="Arial" w:hAnsi="Arial"/>
          <w:sz w:val="18"/>
          <w:szCs w:val="18"/>
          <w:color w:val="auto"/>
        </w:rPr>
        <w:t>of the Amendment and Restatement Agreement, if applicable, that would result in a change to the list of beneficial owners identified in such certification; and</w:t>
      </w:r>
    </w:p>
    <w:p>
      <w:pPr>
        <w:spacing w:after="0" w:line="77" w:lineRule="exact"/>
        <w:rPr>
          <w:rFonts w:ascii="Arial" w:cs="Arial" w:eastAsia="Arial" w:hAnsi="Arial"/>
          <w:sz w:val="18"/>
          <w:szCs w:val="18"/>
          <w:color w:val="auto"/>
        </w:rPr>
      </w:pPr>
    </w:p>
    <w:p>
      <w:pPr>
        <w:ind w:left="4" w:right="780" w:firstLine="987"/>
        <w:spacing w:after="0" w:line="277" w:lineRule="auto"/>
        <w:tabs>
          <w:tab w:leader="none" w:pos="125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any other development that becomes known to any officer of the Borrower or any of its Subsidiaries that results in, or would reasonably be expected to result in, a Material Adverse Effect.</w:t>
      </w:r>
    </w:p>
    <w:p>
      <w:pPr>
        <w:spacing w:after="0" w:line="170" w:lineRule="exact"/>
        <w:rPr>
          <w:sz w:val="20"/>
          <w:szCs w:val="20"/>
          <w:color w:val="auto"/>
        </w:rPr>
      </w:pPr>
    </w:p>
    <w:p>
      <w:pPr>
        <w:ind w:left="4" w:right="200" w:firstLine="991"/>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Responsible Officer or other executive officer of the Borrower setting forth the details of the event or development requiring such notice and any action taken or proposed to be taken with respect thereto.</w:t>
      </w:r>
    </w:p>
    <w:p>
      <w:pPr>
        <w:spacing w:after="0" w:line="124" w:lineRule="exact"/>
        <w:rPr>
          <w:sz w:val="20"/>
          <w:szCs w:val="20"/>
          <w:color w:val="auto"/>
        </w:rPr>
      </w:pPr>
    </w:p>
    <w:p>
      <w:pPr>
        <w:ind w:left="4" w:right="140" w:firstLine="991"/>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Restricted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foregoing shall not prohibit any merger, consolidation, liquidation or dissolution permitted under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(ii) none of the Borrower or any of its Restricted Subsidiaries shall be required to preserve, renew or keep in full force and effect its rights, licenses, permits, privileges or franchises where failure to do so would not reasonably be expected to result in a Material Adverse Effect.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4"/>
          </w:cols>
          <w:pgMar w:left="436" w:top="274" w:right="479" w:bottom="1440" w:gutter="0" w:footer="0" w:header="0"/>
        </w:sectPr>
      </w:pPr>
    </w:p>
    <w:bookmarkStart w:id="456" w:name="page457"/>
    <w:bookmarkEnd w:id="456"/>
    <w:p>
      <w:pPr>
        <w:ind w:right="4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5.4 </w:t>
      </w:r>
      <w:r>
        <w:rPr>
          <w:rFonts w:ascii="Arial" w:cs="Arial" w:eastAsia="Arial" w:hAnsi="Arial"/>
          <w:sz w:val="16"/>
          <w:szCs w:val="16"/>
          <w:u w:val="single" w:color="auto"/>
          <w:color w:val="auto"/>
        </w:rPr>
        <w:t>Payment of Taxes</w:t>
      </w:r>
      <w:r>
        <w:rPr>
          <w:rFonts w:ascii="Arial" w:cs="Arial" w:eastAsia="Arial" w:hAnsi="Arial"/>
          <w:sz w:val="16"/>
          <w:szCs w:val="16"/>
          <w:color w:val="auto"/>
        </w:rPr>
        <w:t xml:space="preserve">. The Borrower will, and will cause each of its Restricted Subsidiaries to, pay all Tax liabilities, including all Taxes imposed upon it or upon its income or profits or upon any properties belonging to it that, if not paid, would reasonably be expected to result in a Material Adverse Effect, before the same shall become delinquent or in default, and all lawful claims other than Tax liabilities which, if unpaid, would become a Lien upon any properties of the Borrower or any of its Restricted Subsidiaries not otherwise permitted under </w:t>
      </w:r>
      <w:r>
        <w:rPr>
          <w:rFonts w:ascii="Arial" w:cs="Arial" w:eastAsia="Arial" w:hAnsi="Arial"/>
          <w:sz w:val="16"/>
          <w:szCs w:val="16"/>
          <w:u w:val="single" w:color="auto"/>
          <w:color w:val="auto"/>
        </w:rPr>
        <w:t>Section 6.2</w:t>
      </w:r>
      <w:r>
        <w:rPr>
          <w:rFonts w:ascii="Arial" w:cs="Arial" w:eastAsia="Arial" w:hAnsi="Arial"/>
          <w:sz w:val="16"/>
          <w:szCs w:val="16"/>
          <w:color w:val="auto"/>
        </w:rPr>
        <w:t>, in both cases except where (a) the validity or amount thereof is being contested in good faith by appropriate proceedings and (b) to the extent required by GAAP, the Borrower or such Restricted Subsidiary has set aside on its books adequate reserves with respect thereto in accordance with GAAP.</w:t>
      </w:r>
    </w:p>
    <w:p>
      <w:pPr>
        <w:spacing w:after="0" w:line="164"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Restricted Subsidiaries to, (a) keep and maintain all property used in the conduct of its business in good working order and condition, ordinary wear and tear and casualty events excepted, except to the extent that failure to do so could not reasonably be expected to have a Material Adverse Effect, and (b) maintain insurance with financially sound and reputable insurance companies or through self-insurance in such amounts and against such risks as are customarily maintained by companies engaged in the same or similar businesses operating in the same or similar locations.</w:t>
      </w:r>
    </w:p>
    <w:p>
      <w:pPr>
        <w:spacing w:after="0" w:line="176"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xml:space="preserve">. The Borrower will, and will cause each of its Restricted Subsidiaries to, keep proper books of record and account in which entries full, true and correct in all material respects are made and are sufficient to prepare financial statements in accordance with GAAP (other than as set forth in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to the Disclosure Letter). The Borrower will, and will cause each of its Restricted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and to discuss its affairs, finances and condition with its officers and independent accountants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such Restricted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Borrower or any of its Restricted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(iii) is subject to attorney, client or similar privilege or constitutes attorney work-product.</w:t>
      </w:r>
    </w:p>
    <w:p>
      <w:pPr>
        <w:spacing w:after="0" w:line="17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ERISA-Related Information</w:t>
      </w:r>
      <w:r>
        <w:rPr>
          <w:rFonts w:ascii="Arial" w:cs="Arial" w:eastAsia="Arial" w:hAnsi="Arial"/>
          <w:sz w:val="18"/>
          <w:szCs w:val="18"/>
          <w:color w:val="auto"/>
        </w:rPr>
        <w:t>. The Borrower shall supply to the Administrative Agent (in sufficient copies for all the Lenders, if the Administrative Agent so requests): (a) promptly and in any event within 15 days after the Borrower, any Subsidiary or any ERISA Affiliate files a Schedule B (or such other schedule as contains actuarial information) to IRS Form 5500 in respect of a Plan with Unfunded Pension Liabilities, a copy of such IRS Form 5500 (including the Schedule B); (b) promptly and in any event within 30 days after the Borrower, any Subsidiary or any ERISA Affiliate knows or has reason to know that any ERISA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457" w:name="page458"/>
    <w:bookmarkEnd w:id="457"/>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Event has occurred, a certificate of a Financial Officer of the Borrower describing such ERISA Event and the action, if any, proposed to be taken with respect to such ERISA Event and a copy of any notice filed with the PBGC or the IRS pertaining to such ERISA Event and any notices received by such Borrower, Subsidiary, or ERISA Affiliate from the PBGC or any other governmental agency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ERISA Events under paragraph (d) of the definition thereof, the 30-day period set forth above shall be a 10-day period, and, in the case of ERISA Events under paragraph (b) of the definition thereof, in no event shall notice be given later than the occurrence of the ERISA Event; (c) promptly, and in any event within 30 days, after becoming aware that there has been (i) a material increase in Unfunded Pension Liabilities (taking into account only Pension Plans with positive Unfunded Pension Liabilities) since the date the representations hereunder are given or deemed given, or from any prior notice, as applicable; (ii) the existence of potential withdrawal liability under Section 4201 of ERISA, if the Borrower, any Subsidiary and the ERISA Affiliates were to withdraw completely from any and all Multiemployer Plans, (iii) the adoption of, or the commencement of contributions to, any Plan subject to Title IV of ERISA or Section 412 of the Code or Section 302 of ERISA by the Borrower, any Subsidiary or any ERISA Affiliate, or (iv) the adoption of any amendment to a Plan subject to Title IV of ERISA or Section 412 of the Code or Section 302 of ERISA which results in a material increase in contribution obligations of the Borrower, any Subsidiary or any ERISA Affiliate, a detailed written description thereof from a Financial Officer of the Borrower; and (d) as soon as practicable, and in any event within 10 days, if, at any time after the Restatement Effective Date, the Borrower, any Subsidiary or any ERISA Affiliate maintains, or contributes to (or incurs an obligation to contribute to), a Pension Plan or Multiemployer Plan to which the Borrower, and Subsidiary or any ERISA Affiliate did not maintain or contribute to prior to the Restatement Effective Date, a written description evidencing that each such plan or Multiemployer Plan is in compliance in form and operation with its terms and with ERISA and the Code.</w:t>
      </w:r>
    </w:p>
    <w:p>
      <w:pPr>
        <w:spacing w:after="0" w:line="176"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The Borrower will, and will cause each of its Restricted Subsidiaries to, comply with all laws, rules,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The Borrower will maintain in effect and enforce policies and procedures designed to promote compliance by the Borrower, its Subsidiaries and its and their respective directors, officers, employees and agents of the foregoing with Anti-Corruption Laws and applicable Sanctions.</w:t>
      </w:r>
    </w:p>
    <w:p>
      <w:pPr>
        <w:spacing w:after="0" w:line="192"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will be used only for working capital and general corporate purposes, including for stock repurchases under stock repurchase programs approved by the Borrower and for Acquisitions. The Letters of Credit and the proceeds thereof will be used only for working capital and general corporate purposes. No part of the proceeds of any Loan or Letter of Credit will be used, whether directly or indirectly, for any purpose that entails a violation of any of the Regulations of the Board, including Regulations T, U and X. The Borrower will not request any Credit Extension, and the Borrower shall not use, and shall procure that its Subsidiaries and its or their respective directors, officers, employees and agents shall not use, the proceeds of any Credit Extension,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or (iii) in any manner that would result in the violation of any Sanctions applicable to any party 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458" w:name="page459"/>
    <w:bookmarkEnd w:id="458"/>
    <w:p>
      <w:pPr>
        <w:ind w:left="4" w:right="1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5.10 </w:t>
      </w:r>
      <w:r>
        <w:rPr>
          <w:rFonts w:ascii="Arial" w:cs="Arial" w:eastAsia="Arial" w:hAnsi="Arial"/>
          <w:sz w:val="17"/>
          <w:szCs w:val="17"/>
          <w:u w:val="single" w:color="auto"/>
          <w:color w:val="auto"/>
        </w:rPr>
        <w:t>Additional Guarantors; Material IP Subsidiaries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10.17</w:t>
      </w:r>
      <w:r>
        <w:rPr>
          <w:rFonts w:ascii="Arial" w:cs="Arial" w:eastAsia="Arial" w:hAnsi="Arial"/>
          <w:sz w:val="17"/>
          <w:szCs w:val="17"/>
          <w:color w:val="auto"/>
        </w:rPr>
        <w:t xml:space="preserve">: (a) In the event that any Person becomes a Material Domestic Subsidiary, the Borrower shall (i) in the case of an Unrestricted Subsidiary becoming a Material Domestic Subsidiary, substantially concurrently with the redesignation or deemed redesignation thereof as a Restricted Subsidiary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or (ii) otherwise, not later than 30 days thereafter (or such longer period of time as the Collateral Agent may agree in its sole discretion) (A) cause such Material Domestic Subsidiary to become (x) a Guarantor hereunder by executing and delivering to the Administrative Agent a Counterpart Agreement and (y) a Grantor under the Security Agreement by executing and delivering to the Collateral Agent the joinder agreement required thereunder, and (B) take all such actions and execute and deliver, or cause to be executed and delivered, all such documents, instruments, agreements, and certificates reasonably requested by the Collateral Agent or required by the Collateral Documents.</w:t>
      </w:r>
    </w:p>
    <w:p>
      <w:pPr>
        <w:spacing w:after="0" w:line="70" w:lineRule="exact"/>
        <w:rPr>
          <w:sz w:val="20"/>
          <w:szCs w:val="20"/>
          <w:color w:val="auto"/>
        </w:rPr>
      </w:pPr>
    </w:p>
    <w:p>
      <w:pPr>
        <w:ind w:left="4" w:right="220" w:firstLine="987"/>
        <w:spacing w:after="0" w:line="273" w:lineRule="auto"/>
        <w:tabs>
          <w:tab w:leader="none" w:pos="1250" w:val="left"/>
        </w:tabs>
        <w:numPr>
          <w:ilvl w:val="1"/>
          <w:numId w:val="551"/>
        </w:numPr>
        <w:rPr>
          <w:rFonts w:ascii="Arial" w:cs="Arial" w:eastAsia="Arial" w:hAnsi="Arial"/>
          <w:sz w:val="17"/>
          <w:szCs w:val="17"/>
          <w:color w:val="auto"/>
        </w:rPr>
      </w:pPr>
      <w:r>
        <w:rPr>
          <w:rFonts w:ascii="Arial" w:cs="Arial" w:eastAsia="Arial" w:hAnsi="Arial"/>
          <w:sz w:val="17"/>
          <w:szCs w:val="17"/>
          <w:color w:val="auto"/>
        </w:rPr>
        <w:t>In the event that any Person becomes a Material IP Subsidiary of the Borrower (through acquisition or otherwise), and the Equity Interests of such Material IP Subsidiary are owned by any Loan Party, such Loan Party shall (i) in the case of a Subsidiary that becomes a Material IP Subsidiary as a result of a Permitted IP Transfer, substantially concurrently with the consummation of such Permitted IP Transfer, or (ii) otherwise, within 30 days thereafter (or, in each case, such longer period of time as the Collateral Agent may agree in its sole discretion) take all of the actions referred to in the Security Agreement necessary to grant a perfected security interest in favor of the Collateral Agent, for the benefit of the Secured Parties, under the Security Agreement in the Equity Interests of such Material IP Subsidiary.</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1"/>
          <w:numId w:val="551"/>
        </w:numPr>
        <w:rPr>
          <w:rFonts w:ascii="Arial" w:cs="Arial" w:eastAsia="Arial" w:hAnsi="Arial"/>
          <w:sz w:val="16"/>
          <w:szCs w:val="16"/>
          <w:color w:val="auto"/>
        </w:rPr>
      </w:pPr>
      <w:r>
        <w:rPr>
          <w:rFonts w:ascii="Arial" w:cs="Arial" w:eastAsia="Arial" w:hAnsi="Arial"/>
          <w:sz w:val="16"/>
          <w:szCs w:val="16"/>
          <w:color w:val="auto"/>
        </w:rPr>
        <w:t>With respect to each Material Domestic Subsidiary referred to in clause (a) above and each Material IP Subsidiary referred to in clause</w:t>
      </w:r>
    </w:p>
    <w:p>
      <w:pPr>
        <w:spacing w:after="0" w:line="46" w:lineRule="exact"/>
        <w:rPr>
          <w:rFonts w:ascii="Arial" w:cs="Arial" w:eastAsia="Arial" w:hAnsi="Arial"/>
          <w:sz w:val="16"/>
          <w:szCs w:val="16"/>
          <w:color w:val="auto"/>
        </w:rPr>
      </w:pPr>
    </w:p>
    <w:p>
      <w:pPr>
        <w:ind w:left="4" w:right="60" w:hanging="4"/>
        <w:spacing w:after="0" w:line="269" w:lineRule="auto"/>
        <w:tabs>
          <w:tab w:leader="none" w:pos="259" w:val="left"/>
        </w:tabs>
        <w:numPr>
          <w:ilvl w:val="0"/>
          <w:numId w:val="552"/>
        </w:numPr>
        <w:rPr>
          <w:rFonts w:ascii="Arial" w:cs="Arial" w:eastAsia="Arial" w:hAnsi="Arial"/>
          <w:sz w:val="17"/>
          <w:szCs w:val="17"/>
          <w:color w:val="auto"/>
        </w:rPr>
      </w:pPr>
      <w:r>
        <w:rPr>
          <w:rFonts w:ascii="Arial" w:cs="Arial" w:eastAsia="Arial" w:hAnsi="Arial"/>
          <w:sz w:val="17"/>
          <w:szCs w:val="17"/>
          <w:color w:val="auto"/>
        </w:rPr>
        <w:t xml:space="preserve">above, the Borrower shall promptly after delivering the financial statements pursuant to Sections 5.1(a) or (b), as the case may be, send to the Administrative Agent written notice setting forth (i) the date on which such Person became a Material Domestic Subsidiary or a Material IP Subsidiary, as applicable, and (ii) all of the data required to be set forth in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to the Disclosure Letter; and such written notice shall be deemed to supplement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to the Disclosure Letter for all purposes hereof. If requested by the Administrative Agent, the Administrative Agent shall receive an opinion of counsel for the Borrower in form and substance reasonably satisfactory to the Administrative Agent in respect of such customary matters as may be reasonably requested by the Administrative Agent relating to any Counterpart Agreement or joinder agreement delivered pursuant to this Section, dated as of the date of such agreement.</w:t>
      </w:r>
    </w:p>
    <w:p>
      <w:pPr>
        <w:spacing w:after="0" w:line="180"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10.17</w:t>
      </w:r>
      <w:r>
        <w:rPr>
          <w:rFonts w:ascii="Arial" w:cs="Arial" w:eastAsia="Arial" w:hAnsi="Arial"/>
          <w:sz w:val="18"/>
          <w:szCs w:val="18"/>
          <w:color w:val="auto"/>
        </w:rPr>
        <w:t>, each Loan Party shall take such actions as the Administrative Agent or the Collateral Agent may reasonably request from time to time to ensure that the Obligations are (i) guaranteed by the Guarantors and (ii) are secured by the Collateral.</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4"/>
          </w:cols>
          <w:pgMar w:left="436" w:top="274" w:right="479" w:bottom="1440" w:gutter="0" w:footer="0" w:header="0"/>
        </w:sectPr>
      </w:pPr>
    </w:p>
    <w:bookmarkStart w:id="459" w:name="page460"/>
    <w:bookmarkEnd w:id="45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Designation of Restricted and Unrestricted Subsidiaries</w:t>
      </w:r>
      <w:r>
        <w:rPr>
          <w:rFonts w:ascii="Arial" w:cs="Arial" w:eastAsia="Arial" w:hAnsi="Arial"/>
          <w:sz w:val="18"/>
          <w:szCs w:val="18"/>
          <w:color w:val="auto"/>
        </w:rPr>
        <w:t>.</w:t>
      </w:r>
    </w:p>
    <w:p>
      <w:pPr>
        <w:spacing w:after="0" w:line="117" w:lineRule="exact"/>
        <w:rPr>
          <w:sz w:val="20"/>
          <w:szCs w:val="20"/>
          <w:color w:val="auto"/>
        </w:rPr>
      </w:pPr>
    </w:p>
    <w:p>
      <w:pPr>
        <w:ind w:right="500" w:firstLine="987"/>
        <w:spacing w:after="0" w:line="277" w:lineRule="auto"/>
        <w:tabs>
          <w:tab w:leader="none" w:pos="1236"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The Board of Directors may designate any Subsidiary, including a newly acquired or created Subsidiary, other than a Material IP Subsidiary, to be an Unrestricted Subsidiary if it meets the following qualifications:</w:t>
      </w:r>
    </w:p>
    <w:p>
      <w:pPr>
        <w:spacing w:after="0" w:line="62" w:lineRule="exact"/>
        <w:rPr>
          <w:rFonts w:ascii="Arial" w:cs="Arial" w:eastAsia="Arial" w:hAnsi="Arial"/>
          <w:sz w:val="18"/>
          <w:szCs w:val="18"/>
          <w:color w:val="auto"/>
        </w:rPr>
      </w:pPr>
    </w:p>
    <w:p>
      <w:pPr>
        <w:ind w:left="440" w:right="580" w:firstLine="419"/>
        <w:spacing w:after="0" w:line="277" w:lineRule="auto"/>
        <w:tabs>
          <w:tab w:leader="none" w:pos="107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such Subsidiary does not own any Equity Interest of the Borrower or any Restricted Subsidiary or a Material IP Subsidiary or any Material IP;</w:t>
      </w:r>
    </w:p>
    <w:p>
      <w:pPr>
        <w:spacing w:after="0" w:line="62" w:lineRule="exact"/>
        <w:rPr>
          <w:rFonts w:ascii="Arial" w:cs="Arial" w:eastAsia="Arial" w:hAnsi="Arial"/>
          <w:sz w:val="18"/>
          <w:szCs w:val="18"/>
          <w:color w:val="auto"/>
        </w:rPr>
      </w:pPr>
    </w:p>
    <w:p>
      <w:pPr>
        <w:ind w:left="440" w:right="40" w:firstLine="419"/>
        <w:spacing w:after="0" w:line="259" w:lineRule="auto"/>
        <w:tabs>
          <w:tab w:leader="none" w:pos="112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Borrower would be permitted to make an Investment at the time of the designation in an amount equal to the aggregate fair market value (as determined by the Borrower in good faith) of all Investments of the Borrower or its Restricted Subsidiaries in such Subsidiary (valued at the Borrower’s and the Restricted Subsidiaries’ proportional share of the fair market value (as determined by the Borrower in good faith) of such Subsidiary’s assets less liabilities);</w:t>
      </w:r>
    </w:p>
    <w:p>
      <w:pPr>
        <w:spacing w:after="0" w:line="78" w:lineRule="exact"/>
        <w:rPr>
          <w:rFonts w:ascii="Arial" w:cs="Arial" w:eastAsia="Arial" w:hAnsi="Arial"/>
          <w:sz w:val="18"/>
          <w:szCs w:val="18"/>
          <w:color w:val="auto"/>
        </w:rPr>
      </w:pPr>
    </w:p>
    <w:p>
      <w:pPr>
        <w:ind w:left="1180" w:hanging="321"/>
        <w:spacing w:after="0"/>
        <w:tabs>
          <w:tab w:leader="none" w:pos="118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 xml:space="preserve">any Guarantee or other credit support thereof by the Borrower or any Restricted Subsidiary is permitted under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03" w:lineRule="exact"/>
        <w:rPr>
          <w:sz w:val="20"/>
          <w:szCs w:val="20"/>
          <w:color w:val="auto"/>
        </w:rPr>
      </w:pPr>
    </w:p>
    <w:p>
      <w:pPr>
        <w:ind w:left="440" w:right="100" w:firstLine="419"/>
        <w:spacing w:after="0" w:line="263" w:lineRule="auto"/>
        <w:tabs>
          <w:tab w:leader="none" w:pos="1168" w:val="left"/>
        </w:tabs>
        <w:numPr>
          <w:ilvl w:val="0"/>
          <w:numId w:val="555"/>
        </w:numPr>
        <w:rPr>
          <w:rFonts w:ascii="Arial" w:cs="Arial" w:eastAsia="Arial" w:hAnsi="Arial"/>
          <w:sz w:val="18"/>
          <w:szCs w:val="18"/>
          <w:color w:val="auto"/>
        </w:rPr>
      </w:pPr>
      <w:r>
        <w:rPr>
          <w:rFonts w:ascii="Arial" w:cs="Arial" w:eastAsia="Arial" w:hAnsi="Arial"/>
          <w:sz w:val="18"/>
          <w:szCs w:val="18"/>
          <w:color w:val="auto"/>
        </w:rPr>
        <w:t xml:space="preserve">neither the Borrower nor any Restricted Subsidiary has any obligation to subscribe for additional Equity Interests of such Subsidiary or to maintain or preserve its financial condition or cause it to achieve specified levels of operating results except to the extent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118" w:val="left"/>
        </w:tabs>
        <w:numPr>
          <w:ilvl w:val="0"/>
          <w:numId w:val="555"/>
        </w:numPr>
        <w:rPr>
          <w:rFonts w:ascii="Arial" w:cs="Arial" w:eastAsia="Arial" w:hAnsi="Arial"/>
          <w:sz w:val="18"/>
          <w:szCs w:val="18"/>
          <w:color w:val="auto"/>
        </w:rPr>
      </w:pPr>
      <w:r>
        <w:rPr>
          <w:rFonts w:ascii="Arial" w:cs="Arial" w:eastAsia="Arial" w:hAnsi="Arial"/>
          <w:sz w:val="18"/>
          <w:szCs w:val="18"/>
          <w:color w:val="auto"/>
        </w:rPr>
        <w:t>immediately before and after such designation, no Default or Event of Default shall have occurred and be continuing or would result from such designation; and</w:t>
      </w:r>
    </w:p>
    <w:p>
      <w:pPr>
        <w:spacing w:after="0" w:line="62" w:lineRule="exact"/>
        <w:rPr>
          <w:rFonts w:ascii="Arial" w:cs="Arial" w:eastAsia="Arial" w:hAnsi="Arial"/>
          <w:sz w:val="18"/>
          <w:szCs w:val="18"/>
          <w:color w:val="auto"/>
        </w:rPr>
      </w:pPr>
    </w:p>
    <w:p>
      <w:pPr>
        <w:ind w:left="440" w:right="740" w:firstLine="419"/>
        <w:spacing w:after="0" w:line="277" w:lineRule="auto"/>
        <w:tabs>
          <w:tab w:leader="none" w:pos="1168" w:val="left"/>
        </w:tabs>
        <w:numPr>
          <w:ilvl w:val="0"/>
          <w:numId w:val="555"/>
        </w:numPr>
        <w:rPr>
          <w:rFonts w:ascii="Arial" w:cs="Arial" w:eastAsia="Arial" w:hAnsi="Arial"/>
          <w:sz w:val="18"/>
          <w:szCs w:val="18"/>
          <w:color w:val="auto"/>
        </w:rPr>
      </w:pPr>
      <w:r>
        <w:rPr>
          <w:rFonts w:ascii="Arial" w:cs="Arial" w:eastAsia="Arial" w:hAnsi="Arial"/>
          <w:sz w:val="18"/>
          <w:szCs w:val="18"/>
          <w:color w:val="auto"/>
        </w:rPr>
        <w:t>no Subsidiary may be designated as an Unrestricted Subsidiary if it is a “restricted subsidiary” or a “guarantor” (or any similar designation) for any other Indebtedness of the Borrower or a Restricted Subsidiary.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Once so designated, the Subsidiary will remain an Unrestricted Subsidiary, subject to subsection (b).</w:t>
      </w:r>
    </w:p>
    <w:p>
      <w:pPr>
        <w:spacing w:after="0" w:line="117" w:lineRule="exact"/>
        <w:rPr>
          <w:sz w:val="20"/>
          <w:szCs w:val="20"/>
          <w:color w:val="auto"/>
        </w:rPr>
      </w:pPr>
    </w:p>
    <w:p>
      <w:pPr>
        <w:ind w:left="1240" w:hanging="253"/>
        <w:spacing w:after="0"/>
        <w:tabs>
          <w:tab w:leader="none" w:pos="1240" w:val="left"/>
        </w:tabs>
        <w:numPr>
          <w:ilvl w:val="1"/>
          <w:numId w:val="556"/>
        </w:numPr>
        <w:rPr>
          <w:rFonts w:ascii="Arial" w:cs="Arial" w:eastAsia="Arial" w:hAnsi="Arial"/>
          <w:sz w:val="16"/>
          <w:szCs w:val="16"/>
          <w:color w:val="auto"/>
        </w:rPr>
      </w:pPr>
      <w:r>
        <w:rPr>
          <w:rFonts w:ascii="Arial" w:cs="Arial" w:eastAsia="Arial" w:hAnsi="Arial"/>
          <w:sz w:val="16"/>
          <w:szCs w:val="16"/>
          <w:color w:val="auto"/>
        </w:rPr>
        <w:t xml:space="preserve">(i) A Subsidiary previously designated as an Unrestricted Subsidiary which fails to meet the qualifications set forth in </w:t>
      </w:r>
      <w:r>
        <w:rPr>
          <w:rFonts w:ascii="Arial" w:cs="Arial" w:eastAsia="Arial" w:hAnsi="Arial"/>
          <w:sz w:val="16"/>
          <w:szCs w:val="16"/>
          <w:u w:val="single" w:color="auto"/>
          <w:color w:val="auto"/>
        </w:rPr>
        <w:t>subsections (a)</w:t>
      </w:r>
    </w:p>
    <w:p>
      <w:pPr>
        <w:spacing w:after="0" w:line="46"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(a)(vi)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will be deemed to become at that time a Restricted Subsidiary, subject to the consequences set forth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5.12</w:t>
      </w:r>
      <w:r>
        <w:rPr>
          <w:rFonts w:ascii="Arial" w:cs="Arial" w:eastAsia="Arial" w:hAnsi="Arial"/>
          <w:sz w:val="18"/>
          <w:szCs w:val="18"/>
          <w:color w:val="auto"/>
        </w:rPr>
        <w:t>. (ii) The Board of Directors may designate an Unrestricted Subsidiary to be a Restricted Subsidiary if no Event of Default exists at the time of the designation and the designation would not cause an Event of Default.</w:t>
      </w:r>
    </w:p>
    <w:p>
      <w:pPr>
        <w:spacing w:after="0" w:line="81" w:lineRule="exact"/>
        <w:rPr>
          <w:rFonts w:ascii="Arial" w:cs="Arial" w:eastAsia="Arial" w:hAnsi="Arial"/>
          <w:sz w:val="16"/>
          <w:szCs w:val="16"/>
          <w:color w:val="auto"/>
        </w:rPr>
      </w:pPr>
    </w:p>
    <w:p>
      <w:pPr>
        <w:ind w:left="1240" w:hanging="253"/>
        <w:spacing w:after="0"/>
        <w:tabs>
          <w:tab w:leader="none" w:pos="124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Upon a Restricted Subsidiary becoming an Unrestricted Subsidiary,</w:t>
      </w:r>
    </w:p>
    <w:p>
      <w:pPr>
        <w:spacing w:after="0" w:line="117" w:lineRule="exact"/>
        <w:rPr>
          <w:rFonts w:ascii="Arial" w:cs="Arial" w:eastAsia="Arial" w:hAnsi="Arial"/>
          <w:sz w:val="18"/>
          <w:szCs w:val="18"/>
          <w:color w:val="auto"/>
        </w:rPr>
      </w:pPr>
    </w:p>
    <w:p>
      <w:pPr>
        <w:ind w:left="440" w:firstLine="419"/>
        <w:spacing w:after="0" w:line="277" w:lineRule="auto"/>
        <w:tabs>
          <w:tab w:leader="none" w:pos="107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all existing Investments of the Borrower and the Restricted Subsidiaries therein (valued at the Borrower’s and the Restricted Subsidiaries’ proportional share of the fair market value of its assets less liabilities) will be deemed made at that time;</w:t>
      </w:r>
    </w:p>
    <w:p>
      <w:pPr>
        <w:spacing w:after="0" w:line="62" w:lineRule="exact"/>
        <w:rPr>
          <w:rFonts w:ascii="Arial" w:cs="Arial" w:eastAsia="Arial" w:hAnsi="Arial"/>
          <w:sz w:val="18"/>
          <w:szCs w:val="18"/>
          <w:color w:val="auto"/>
        </w:rPr>
      </w:pPr>
    </w:p>
    <w:p>
      <w:pPr>
        <w:jc w:val="both"/>
        <w:ind w:left="440" w:right="240" w:firstLine="419"/>
        <w:spacing w:after="0" w:line="263" w:lineRule="auto"/>
        <w:tabs>
          <w:tab w:leader="none" w:pos="112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all existing Equity Interest or Indebtedness of the Borrower or a Restricted Subsidiary held by it will be deemed issued or incurred, as applicable, at that time, and all Liens on property of the Borrower or a Restricted Subsidiary securing its obligations will be deemed incurred at that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460" w:name="page461"/>
    <w:bookmarkEnd w:id="460"/>
    <w:p>
      <w:pPr>
        <w:ind w:left="1180" w:hanging="321"/>
        <w:spacing w:after="0"/>
        <w:tabs>
          <w:tab w:leader="none" w:pos="1180" w:val="left"/>
        </w:tabs>
        <w:numPr>
          <w:ilvl w:val="0"/>
          <w:numId w:val="5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existing transactions between it and the Borrower or any Restricted Subsidiary will be deemed entered into at that time;</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6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it will be released at that time from its Guaranty and its obligations under the Security Agreement and all related Liens on its property will be released at that time;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it will cease to be subject to the provisions of this Agreement as a Restricted Subsidiary.</w:t>
      </w:r>
    </w:p>
    <w:p>
      <w:pPr>
        <w:spacing w:after="0" w:line="117" w:lineRule="exact"/>
        <w:rPr>
          <w:sz w:val="20"/>
          <w:szCs w:val="20"/>
          <w:color w:val="auto"/>
        </w:rPr>
      </w:pPr>
    </w:p>
    <w:p>
      <w:pPr>
        <w:ind w:left="1240" w:hanging="253"/>
        <w:spacing w:after="0"/>
        <w:tabs>
          <w:tab w:leader="none" w:pos="1240" w:val="left"/>
        </w:tabs>
        <w:numPr>
          <w:ilvl w:val="1"/>
          <w:numId w:val="559"/>
        </w:numPr>
        <w:rPr>
          <w:rFonts w:ascii="Arial" w:cs="Arial" w:eastAsia="Arial" w:hAnsi="Arial"/>
          <w:sz w:val="17"/>
          <w:szCs w:val="17"/>
          <w:color w:val="auto"/>
        </w:rPr>
      </w:pPr>
      <w:r>
        <w:rPr>
          <w:rFonts w:ascii="Arial" w:cs="Arial" w:eastAsia="Arial" w:hAnsi="Arial"/>
          <w:sz w:val="17"/>
          <w:szCs w:val="17"/>
          <w:color w:val="auto"/>
        </w:rPr>
        <w:t xml:space="preserve">Upon an Unrestricted Subsidiary becoming, or being deemed to become, a Restricted Subsidiary pursuant to </w:t>
      </w:r>
      <w:r>
        <w:rPr>
          <w:rFonts w:ascii="Arial" w:cs="Arial" w:eastAsia="Arial" w:hAnsi="Arial"/>
          <w:sz w:val="17"/>
          <w:szCs w:val="17"/>
          <w:u w:val="single" w:color="auto"/>
          <w:color w:val="auto"/>
        </w:rPr>
        <w:t>Section 5.12(b)</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080" w:hanging="221"/>
        <w:spacing w:after="0"/>
        <w:tabs>
          <w:tab w:leader="none" w:pos="1080" w:val="left"/>
        </w:tabs>
        <w:numPr>
          <w:ilvl w:val="0"/>
          <w:numId w:val="560"/>
        </w:numPr>
        <w:rPr>
          <w:rFonts w:ascii="Arial" w:cs="Arial" w:eastAsia="Arial" w:hAnsi="Arial"/>
          <w:sz w:val="17"/>
          <w:szCs w:val="17"/>
          <w:color w:val="auto"/>
        </w:rPr>
      </w:pPr>
      <w:r>
        <w:rPr>
          <w:rFonts w:ascii="Arial" w:cs="Arial" w:eastAsia="Arial" w:hAnsi="Arial"/>
          <w:sz w:val="17"/>
          <w:szCs w:val="17"/>
          <w:color w:val="auto"/>
        </w:rPr>
        <w:t xml:space="preserve">all of its Indebtedness and Liens will be deemed incurred at that time for purposes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as applicable;</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xml:space="preserve">all Investments therein previously charged under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will be credited thereunder;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xml:space="preserve">if it is a Material Domestic Subsidiary, it shall be required to become a Guarantor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it will be subject to the provisions of this Agreement as a Restricted Subsidiary.</w:t>
      </w:r>
    </w:p>
    <w:p>
      <w:pPr>
        <w:spacing w:after="0" w:line="117" w:lineRule="exact"/>
        <w:rPr>
          <w:rFonts w:ascii="Arial" w:cs="Arial" w:eastAsia="Arial" w:hAnsi="Arial"/>
          <w:sz w:val="18"/>
          <w:szCs w:val="18"/>
          <w:color w:val="auto"/>
        </w:rPr>
      </w:pPr>
    </w:p>
    <w:p>
      <w:pPr>
        <w:ind w:right="180" w:firstLine="987"/>
        <w:spacing w:after="0" w:line="311" w:lineRule="auto"/>
        <w:tabs>
          <w:tab w:leader="none" w:pos="1236" w:val="left"/>
        </w:tabs>
        <w:numPr>
          <w:ilvl w:val="1"/>
          <w:numId w:val="560"/>
        </w:numPr>
        <w:rPr>
          <w:rFonts w:ascii="Arial" w:cs="Arial" w:eastAsia="Arial" w:hAnsi="Arial"/>
          <w:sz w:val="16"/>
          <w:szCs w:val="16"/>
          <w:color w:val="auto"/>
        </w:rPr>
      </w:pPr>
      <w:r>
        <w:rPr>
          <w:rFonts w:ascii="Arial" w:cs="Arial" w:eastAsia="Arial" w:hAnsi="Arial"/>
          <w:sz w:val="16"/>
          <w:szCs w:val="16"/>
          <w:color w:val="auto"/>
        </w:rPr>
        <w:t>Any designation by the Board of Directors of a Subsidiary as an Unrestricted Subsidiary after the Effective Date will be evidenced to the Administrative Agent by promptly filing with the Administrative Agent a copy of the resolutions of the Board of Directors giving effect to the designation and a certificate of a Responsible Officer of the Borrower certifying that the designation complied with the foregoing provisions.</w:t>
      </w:r>
    </w:p>
    <w:p>
      <w:pPr>
        <w:spacing w:after="0" w:line="149"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Borrower and its Restricted Subsidiaries shall maintain Liquidity as of the last day of each fiscal quarter of not less than $100,000,000 on a consolidated basis.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been cancelled or expired or cash collateralized on terms satisfactory to the applicable Issuing Banks, each Loan Party covenants and agrees with the Lenders that: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461" w:name="page462"/>
    <w:bookmarkEnd w:id="461"/>
    <w:p>
      <w:pPr>
        <w:ind w:right="7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 </w:t>
      </w:r>
      <w:r>
        <w:rPr>
          <w:rFonts w:ascii="Arial" w:cs="Arial" w:eastAsia="Arial" w:hAnsi="Arial"/>
          <w:sz w:val="18"/>
          <w:szCs w:val="18"/>
          <w:u w:val="single" w:color="auto"/>
          <w:color w:val="auto"/>
        </w:rPr>
        <w:t>Indebtedness</w:t>
      </w:r>
      <w:r>
        <w:rPr>
          <w:rFonts w:ascii="Arial" w:cs="Arial" w:eastAsia="Arial" w:hAnsi="Arial"/>
          <w:sz w:val="18"/>
          <w:szCs w:val="18"/>
          <w:color w:val="auto"/>
        </w:rPr>
        <w:t>. No Loan Party shall, nor shall it permit any of its Restricted Subsidiaries to, create, incur or assume, or otherwise become or remain directly or indirectly liable with respect to, any Indebtedness, except:</w:t>
      </w:r>
    </w:p>
    <w:p>
      <w:pPr>
        <w:spacing w:after="0" w:line="62" w:lineRule="exact"/>
        <w:rPr>
          <w:sz w:val="20"/>
          <w:szCs w:val="20"/>
          <w:color w:val="auto"/>
        </w:rPr>
      </w:pPr>
    </w:p>
    <w:p>
      <w:pPr>
        <w:ind w:left="1240" w:hanging="253"/>
        <w:spacing w:after="0"/>
        <w:tabs>
          <w:tab w:leader="none" w:pos="124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firstLine="987"/>
        <w:spacing w:after="0" w:line="291" w:lineRule="auto"/>
        <w:tabs>
          <w:tab w:leader="none" w:pos="1246"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xml:space="preserve">Indebtedness of the Borrower or its Restricted Subsidiaries with respect to Capital Lease Obligations, sale-lease back transactions and purchase money Indebtedness in an aggregate principal amount not to exceed (i) $500,000,000 at any time outstanding or (ii) such greater amount as shall not result, at the time of incurrence of such Indebtedness, in the Borrower’s Consolidated Leverage Ratio exceeding 2.50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shall be secured only by the asset (including all accessions, attachments, improvements and the proceeds thereof) acquired, constructed or improved in connection with the incurrence of such Indebtedness;</w:t>
      </w:r>
    </w:p>
    <w:p>
      <w:pPr>
        <w:spacing w:after="0" w:line="58" w:lineRule="exact"/>
        <w:rPr>
          <w:rFonts w:ascii="Arial" w:cs="Arial" w:eastAsia="Arial" w:hAnsi="Arial"/>
          <w:sz w:val="16"/>
          <w:szCs w:val="16"/>
          <w:color w:val="auto"/>
        </w:rPr>
      </w:pPr>
    </w:p>
    <w:p>
      <w:pPr>
        <w:ind w:firstLine="987"/>
        <w:spacing w:after="0" w:line="286" w:lineRule="auto"/>
        <w:tabs>
          <w:tab w:leader="none" w:pos="1236"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xml:space="preserve">Indebtedness (including, for the avoidance of doubt, Permitted Convertible Indebtedness) in an aggregate outstanding principal amount not to exceed the greater of (i) $2,000,000,000 at any time outstanding and (ii) such greater amount as shall not result, at the time of incurrence of such Indebtedness, in the Borrower’s Consolidated Leverage Ratio exceeding 3.00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that (A) is unsecured,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(1) matures after, and does not require any scheduled amortization or other scheduled payments of principal (other than nominal amortization not to exceed 1% per annum of the original outstanding principal amount of such Indebtedness) prior to, the date that is 181 days after the Maturity Date (or in the case of any Permitted Convertible Indebtedness, a final maturity date that is after the Maturity Date) (it being understood that any customary required repurchase or redemption at the option of the holder upon a fundamental change (or equivalent term thereunder), asset sale or casualty event in accordance with the terms of such Indebtedness shall not be considered “scheduled” for purposes of this Agreement) and (2) is not guaranteed by any Subsidiary that is not a Guarantor or (B) is incurred solely by a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not guaranteed by any Domestic Subsidiary that is not a Guarantor;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each case, (x) both immediately prior and after giving effect to the incurrence of such Indebtedness, no Default or Event of Default shall exist or result there from and (y) the Borrower delivers a certificate of a Responsible Officer to the Administrative Agent demonstrating compliance with the terms of this </w:t>
      </w:r>
      <w:r>
        <w:rPr>
          <w:rFonts w:ascii="Arial" w:cs="Arial" w:eastAsia="Arial" w:hAnsi="Arial"/>
          <w:sz w:val="16"/>
          <w:szCs w:val="16"/>
          <w:u w:val="single" w:color="auto"/>
          <w:color w:val="auto"/>
        </w:rPr>
        <w:t>Section 6.1(c)</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right="160" w:firstLine="987"/>
        <w:spacing w:after="0" w:line="279" w:lineRule="auto"/>
        <w:tabs>
          <w:tab w:leader="none" w:pos="1246" w:val="left"/>
        </w:tabs>
        <w:numPr>
          <w:ilvl w:val="0"/>
          <w:numId w:val="561"/>
        </w:numPr>
        <w:rPr>
          <w:rFonts w:ascii="Arial" w:cs="Arial" w:eastAsia="Arial" w:hAnsi="Arial"/>
          <w:sz w:val="17"/>
          <w:szCs w:val="17"/>
          <w:color w:val="auto"/>
        </w:rPr>
      </w:pPr>
      <w:r>
        <w:rPr>
          <w:rFonts w:ascii="Arial" w:cs="Arial" w:eastAsia="Arial" w:hAnsi="Arial"/>
          <w:sz w:val="17"/>
          <w:szCs w:val="17"/>
          <w:color w:val="auto"/>
        </w:rPr>
        <w:t xml:space="preserve">Indebtedness of any Restricted Subsidiary to the Borrower or to any other Restricted Subsidiary, or of the Borrower to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such Indebtedness owing by a Loan Party to any Restricted Subsidiary that is not a Guarantor shall be unsecured and subordinated in right of payment to the payment in full of the Obligations and (ii) any such Indebtedness of any Restricted Subsidiary that is not a Guarantor owing to any Loan Party shall be subject to the limitations set forth in </w:t>
      </w:r>
      <w:r>
        <w:rPr>
          <w:rFonts w:ascii="Arial" w:cs="Arial" w:eastAsia="Arial" w:hAnsi="Arial"/>
          <w:sz w:val="17"/>
          <w:szCs w:val="17"/>
          <w:u w:val="single" w:color="auto"/>
          <w:color w:val="auto"/>
        </w:rPr>
        <w:t>Section 6.7(d)</w:t>
      </w:r>
      <w:r>
        <w:rPr>
          <w:rFonts w:ascii="Arial" w:cs="Arial" w:eastAsia="Arial" w:hAnsi="Arial"/>
          <w:sz w:val="17"/>
          <w:szCs w:val="17"/>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462" w:name="page463"/>
    <w:bookmarkEnd w:id="462"/>
    <w:p>
      <w:pPr>
        <w:ind w:firstLine="987"/>
        <w:spacing w:after="0" w:line="259" w:lineRule="auto"/>
        <w:tabs>
          <w:tab w:leader="none" w:pos="1236" w:val="left"/>
        </w:tabs>
        <w:numPr>
          <w:ilvl w:val="0"/>
          <w:numId w:val="5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clause (k)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540" w:firstLine="987"/>
        <w:spacing w:after="0" w:line="308" w:lineRule="auto"/>
        <w:tabs>
          <w:tab w:leader="none" w:pos="1216" w:val="left"/>
        </w:tabs>
        <w:numPr>
          <w:ilvl w:val="0"/>
          <w:numId w:val="562"/>
        </w:numPr>
        <w:rPr>
          <w:rFonts w:ascii="Arial" w:cs="Arial" w:eastAsia="Arial" w:hAnsi="Arial"/>
          <w:sz w:val="17"/>
          <w:szCs w:val="17"/>
          <w:color w:val="auto"/>
        </w:rPr>
      </w:pPr>
      <w:r>
        <w:rPr>
          <w:rFonts w:ascii="Arial" w:cs="Arial" w:eastAsia="Arial" w:hAnsi="Arial"/>
          <w:sz w:val="17"/>
          <w:szCs w:val="17"/>
          <w:color w:val="auto"/>
        </w:rPr>
        <w:t>Indebtedness in connection with cash management agreements, netting services, overdraft protections and otherwise similarly in connection with deposit accounts and Indebtedness in connection with credit card, debit card or other similar cards;</w:t>
      </w:r>
    </w:p>
    <w:p>
      <w:pPr>
        <w:spacing w:after="0" w:line="38" w:lineRule="exact"/>
        <w:rPr>
          <w:rFonts w:ascii="Arial" w:cs="Arial" w:eastAsia="Arial" w:hAnsi="Arial"/>
          <w:sz w:val="17"/>
          <w:szCs w:val="17"/>
          <w:color w:val="auto"/>
        </w:rPr>
      </w:pPr>
    </w:p>
    <w:p>
      <w:pPr>
        <w:ind w:firstLine="987"/>
        <w:spacing w:after="0" w:line="257" w:lineRule="auto"/>
        <w:tabs>
          <w:tab w:leader="none" w:pos="1246" w:val="left"/>
        </w:tabs>
        <w:numPr>
          <w:ilvl w:val="0"/>
          <w:numId w:val="562"/>
        </w:numPr>
        <w:rPr>
          <w:rFonts w:ascii="Arial" w:cs="Arial" w:eastAsia="Arial" w:hAnsi="Arial"/>
          <w:sz w:val="18"/>
          <w:szCs w:val="18"/>
          <w:color w:val="auto"/>
        </w:rPr>
      </w:pPr>
      <w:r>
        <w:rPr>
          <w:rFonts w:ascii="Arial" w:cs="Arial" w:eastAsia="Arial" w:hAnsi="Arial"/>
          <w:sz w:val="18"/>
          <w:szCs w:val="18"/>
          <w:color w:val="auto"/>
        </w:rPr>
        <w:t xml:space="preserve">Guarantees by the Borrower of Indebtedness of a Restricted Subsidiary or Guarantees by a Restricted Subsidiary of Indebtedness of the Borrower or another Restricted Subsidiary with respect, in each case, to Indebtedness otherwise permitted to be incurred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Indebtedness that is being guarantied is unsecured and/or subordinated to the Obligations, the Guarantee shall also be unsecured and/or subordinated to the Obligations and (ii) in the case of Guarantees by a Loan Party of the obligations of a Restricted Subsidiary that is not a Guarantor, such Guarantees shall be permitted by </w:t>
      </w:r>
      <w:r>
        <w:rPr>
          <w:rFonts w:ascii="Arial" w:cs="Arial" w:eastAsia="Arial" w:hAnsi="Arial"/>
          <w:sz w:val="18"/>
          <w:szCs w:val="18"/>
          <w:u w:val="single" w:color="auto"/>
          <w:color w:val="auto"/>
        </w:rPr>
        <w:t>Section 6.7(d)</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 xml:space="preserve">Indebtedness existing on the Restatement Effective Date and described in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to the Disclosure Letter;</w:t>
      </w:r>
    </w:p>
    <w:p>
      <w:pPr>
        <w:spacing w:after="0" w:line="117" w:lineRule="exact"/>
        <w:rPr>
          <w:rFonts w:ascii="Arial" w:cs="Arial" w:eastAsia="Arial" w:hAnsi="Arial"/>
          <w:sz w:val="18"/>
          <w:szCs w:val="18"/>
          <w:color w:val="auto"/>
        </w:rPr>
      </w:pPr>
    </w:p>
    <w:p>
      <w:pPr>
        <w:ind w:right="520" w:firstLine="987"/>
        <w:spacing w:after="0" w:line="311" w:lineRule="auto"/>
        <w:tabs>
          <w:tab w:leader="none" w:pos="1206" w:val="left"/>
        </w:tabs>
        <w:numPr>
          <w:ilvl w:val="0"/>
          <w:numId w:val="562"/>
        </w:numPr>
        <w:rPr>
          <w:rFonts w:ascii="Arial" w:cs="Arial" w:eastAsia="Arial" w:hAnsi="Arial"/>
          <w:sz w:val="16"/>
          <w:szCs w:val="16"/>
          <w:color w:val="auto"/>
        </w:rPr>
      </w:pPr>
      <w:r>
        <w:rPr>
          <w:rFonts w:ascii="Arial" w:cs="Arial" w:eastAsia="Arial" w:hAnsi="Arial"/>
          <w:sz w:val="16"/>
          <w:szCs w:val="16"/>
          <w:color w:val="auto"/>
        </w:rPr>
        <w:t>Swap Agreements entered into in order to effectively cap, collar or exchange interest rates (from floating to fixed rates, from one floating rate to another floating rate or otherwise) with respect to any interest-bearing liability or investment of the Borrower or any Restricted Subsidiary, or to hedge currency exposure or to hedge energy costs or exposure, which, in any case, are not entered into for speculative purposes;</w:t>
      </w:r>
    </w:p>
    <w:p>
      <w:pPr>
        <w:spacing w:after="0" w:line="40" w:lineRule="exact"/>
        <w:rPr>
          <w:rFonts w:ascii="Arial" w:cs="Arial" w:eastAsia="Arial" w:hAnsi="Arial"/>
          <w:sz w:val="16"/>
          <w:szCs w:val="16"/>
          <w:color w:val="auto"/>
        </w:rPr>
      </w:pPr>
    </w:p>
    <w:p>
      <w:pPr>
        <w:ind w:firstLine="987"/>
        <w:spacing w:after="0" w:line="287" w:lineRule="auto"/>
        <w:tabs>
          <w:tab w:leader="none" w:pos="1206" w:val="left"/>
        </w:tabs>
        <w:numPr>
          <w:ilvl w:val="0"/>
          <w:numId w:val="562"/>
        </w:numPr>
        <w:rPr>
          <w:rFonts w:ascii="Arial" w:cs="Arial" w:eastAsia="Arial" w:hAnsi="Arial"/>
          <w:sz w:val="16"/>
          <w:szCs w:val="16"/>
          <w:color w:val="auto"/>
        </w:rPr>
      </w:pPr>
      <w:r>
        <w:rPr>
          <w:rFonts w:ascii="Arial" w:cs="Arial" w:eastAsia="Arial" w:hAnsi="Arial"/>
          <w:sz w:val="16"/>
          <w:szCs w:val="16"/>
          <w:color w:val="auto"/>
        </w:rPr>
        <w:t xml:space="preserve">other Indebtedness in an aggregate outstanding principal amount not to exceed (i) $150,000,000 at any time outstanding or (ii) such greater amount as shall not result, at the time of incurrence of such Indebtedness, in the Borrower’s Consolidated Leverage Ratio exceeding 5.00 to 1.00 (to be calculated after giving pro forma effect to the incurrence of such Indebtedness and the use of proceeds thereof (but, for the avoidance of doubt, without netting any cash proceeds thereof), as of the last day of the most recently ended four fiscal quarter period for which financial statements have been or are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Indebtedness is unsecured and subordinated in right of payment to the payment in full of the Obligations on terms reasonably satisfactory to the Administrative Agent, (B) such Indebtedness matures after, and does not require any scheduled amortization or other scheduled payments of principal (other than nominal amortization not to exceed 1% per annum of the original outstanding principal amount of such Indebtedness) prior to, the date that is 181 days after the latest Maturity Date then in effect, (C) such Indebtedness is not guaranteed by any Subsidiary that is not a Guarantor; (D) both immediately prior and after giving effect to the incurrence of such Indebtedness, no Default or Event of Default shall exist or result there from and (E) the Borrower delivers a certificate of a Responsible Officer to the Administrative Agent demonstrating compliance with the terms of this </w:t>
      </w:r>
      <w:r>
        <w:rPr>
          <w:rFonts w:ascii="Arial" w:cs="Arial" w:eastAsia="Arial" w:hAnsi="Arial"/>
          <w:sz w:val="16"/>
          <w:szCs w:val="16"/>
          <w:u w:val="single" w:color="auto"/>
          <w:color w:val="auto"/>
        </w:rPr>
        <w:t>Section 6.1(j)</w:t>
      </w:r>
      <w:r>
        <w:rPr>
          <w:rFonts w:ascii="Arial" w:cs="Arial" w:eastAsia="Arial" w:hAnsi="Arial"/>
          <w:sz w:val="16"/>
          <w:szCs w:val="16"/>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463" w:name="page464"/>
    <w:bookmarkEnd w:id="463"/>
    <w:p>
      <w:pPr>
        <w:ind w:right="40" w:firstLine="987"/>
        <w:spacing w:after="0" w:line="277" w:lineRule="auto"/>
        <w:tabs>
          <w:tab w:leader="none" w:pos="1246" w:val="left"/>
        </w:tabs>
        <w:numPr>
          <w:ilvl w:val="0"/>
          <w:numId w:val="5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letters of credit (other than Letters of Credit hereunder) that are issued to secure obligations under leases, or are otherwise issued in the ordinary course of business; and</w:t>
      </w:r>
    </w:p>
    <w:p>
      <w:pPr>
        <w:spacing w:after="0" w:line="62" w:lineRule="exact"/>
        <w:rPr>
          <w:rFonts w:ascii="Arial" w:cs="Arial" w:eastAsia="Arial" w:hAnsi="Arial"/>
          <w:sz w:val="18"/>
          <w:szCs w:val="18"/>
          <w:color w:val="auto"/>
        </w:rPr>
      </w:pPr>
    </w:p>
    <w:p>
      <w:pPr>
        <w:ind w:right="40" w:firstLine="987"/>
        <w:spacing w:after="0" w:line="263" w:lineRule="auto"/>
        <w:tabs>
          <w:tab w:leader="none" w:pos="120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other Indebtedness in an aggregate outstanding principal amount not to exceed (as of the date such Indebtedness is incurred) the greater of (i) $55,000,000 and (ii) 10% of Consolidated Adjusted EBITDA as of the last day of the most recently ended four fiscal quarter period for which financial statements have been or are required to be delivered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Liens</w:t>
      </w:r>
      <w:r>
        <w:rPr>
          <w:rFonts w:ascii="Arial" w:cs="Arial" w:eastAsia="Arial" w:hAnsi="Arial"/>
          <w:sz w:val="17"/>
          <w:szCs w:val="17"/>
          <w:color w:val="auto"/>
        </w:rPr>
        <w:t>. The Borrower will not, and will not permit any Restricted Subsidiary to, create, incur, assume or permit to exist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Lien on any property or asset now owned or hereafter acquired by it except:</w:t>
      </w:r>
    </w:p>
    <w:p>
      <w:pPr>
        <w:spacing w:after="0" w:line="103" w:lineRule="exact"/>
        <w:rPr>
          <w:sz w:val="20"/>
          <w:szCs w:val="20"/>
          <w:color w:val="auto"/>
        </w:rPr>
      </w:pPr>
    </w:p>
    <w:p>
      <w:pPr>
        <w:ind w:left="1240" w:hanging="253"/>
        <w:spacing w:after="0"/>
        <w:tabs>
          <w:tab w:leader="none" w:pos="12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firstLine="987"/>
        <w:spacing w:after="0" w:line="293" w:lineRule="auto"/>
        <w:tabs>
          <w:tab w:leader="none" w:pos="1246" w:val="left"/>
        </w:tabs>
        <w:numPr>
          <w:ilvl w:val="0"/>
          <w:numId w:val="564"/>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Restricted Subsidiary existing on the Restatement Effective Date and set forth in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to the Disclosure Letter and any modifications, renewals and extensions thereof and any Lien granted as a replacement or substitute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property or asset of the Borrower or any Restricted Subsidiary other than improvements thereon or proceeds thereof and (ii) such Lien shall secure only those obligations which it secures on the Restatement Effective Date and any refinancing, extension, renewal or replacement thereof that does not increase the outstanding principal amount thereof except by an amount equal to any premium or other amount paid, and fees and expenses incurred, in connection with such refinancing, extension, renewal or replacement;</w:t>
      </w:r>
    </w:p>
    <w:p>
      <w:pPr>
        <w:spacing w:after="0" w:line="56" w:lineRule="exact"/>
        <w:rPr>
          <w:rFonts w:ascii="Arial" w:cs="Arial" w:eastAsia="Arial" w:hAnsi="Arial"/>
          <w:sz w:val="16"/>
          <w:szCs w:val="16"/>
          <w:color w:val="auto"/>
        </w:rPr>
      </w:pPr>
    </w:p>
    <w:p>
      <w:pPr>
        <w:ind w:right="160" w:firstLine="987"/>
        <w:spacing w:after="0" w:line="270" w:lineRule="auto"/>
        <w:tabs>
          <w:tab w:leader="none" w:pos="1236" w:val="left"/>
        </w:tabs>
        <w:numPr>
          <w:ilvl w:val="0"/>
          <w:numId w:val="564"/>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or asset prior to the acquisition thereof by the Borrower or any Restricted Subsidiary or existing on any property or asset of any Person that becomes a Restricted Subsidiary (other than pursuant to a redesignation or deemed redesignation of an Unrestricted Subsidiary as a Restricted Subsidiary as provided in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after the Restatement Effective Date prior to the time such Person becomes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Restricted Subsidiary, as the case may be, (ii) such Lien shall not apply to any other property or assets of the Borrower or any Restricted Subsidiary and (iii) such Lien shall secure only those obligations which it secures on the date of such acquisition or the date such Person becomes a Restricted Subsidiary, as the case may be, and any refinancing, extension, renewal or replacement thereof that does not increase the outstanding principal amount thereof except by an amount equal to any premium or other amount paid, and fees and expenses incurred, in connection with such refinancing, extension, renewal or replacement;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464" w:name="page465"/>
    <w:bookmarkEnd w:id="464"/>
    <w:p>
      <w:pPr>
        <w:ind w:left="4" w:right="60" w:firstLine="987"/>
        <w:spacing w:after="0" w:line="286" w:lineRule="auto"/>
        <w:tabs>
          <w:tab w:leader="none" w:pos="1250" w:val="left"/>
        </w:tabs>
        <w:numPr>
          <w:ilvl w:val="1"/>
          <w:numId w:val="5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on fixed or capital assets acquired, constructed or improved by the Borrower 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secure Indebtedness that is permitted by </w:t>
      </w:r>
      <w:r>
        <w:rPr>
          <w:rFonts w:ascii="Arial" w:cs="Arial" w:eastAsia="Arial" w:hAnsi="Arial"/>
          <w:sz w:val="16"/>
          <w:szCs w:val="16"/>
          <w:u w:val="single" w:color="auto"/>
          <w:color w:val="auto"/>
        </w:rPr>
        <w:t>Section 6.1(b)</w:t>
      </w:r>
      <w:r>
        <w:rPr>
          <w:rFonts w:ascii="Arial" w:cs="Arial" w:eastAsia="Arial" w:hAnsi="Arial"/>
          <w:sz w:val="16"/>
          <w:szCs w:val="16"/>
          <w:color w:val="auto"/>
        </w:rPr>
        <w:t>, (ii) such Liens and the Indebtedness secured thereby are initially incurred prior to or within 180 days after the acquisition or the completion of the construction or improvement of such fixed or capital assets, (iii) the Indebtedness secured thereby does not exceed 100% of the cost of acquiring, constructing or improving such fixed or capital assets and customary related expenses, and</w:t>
      </w:r>
    </w:p>
    <w:p>
      <w:pPr>
        <w:spacing w:after="0" w:line="1" w:lineRule="exact"/>
        <w:rPr>
          <w:rFonts w:ascii="Arial" w:cs="Arial" w:eastAsia="Arial" w:hAnsi="Arial"/>
          <w:sz w:val="16"/>
          <w:szCs w:val="16"/>
          <w:color w:val="auto"/>
        </w:rPr>
      </w:pPr>
    </w:p>
    <w:p>
      <w:pPr>
        <w:jc w:val="both"/>
        <w:ind w:left="4" w:right="520" w:hanging="4"/>
        <w:spacing w:after="0" w:line="255" w:lineRule="auto"/>
        <w:tabs>
          <w:tab w:leader="none" w:pos="309" w:val="left"/>
        </w:tabs>
        <w:numPr>
          <w:ilvl w:val="0"/>
          <w:numId w:val="566"/>
        </w:numPr>
        <w:rPr>
          <w:rFonts w:ascii="Arial" w:cs="Arial" w:eastAsia="Arial" w:hAnsi="Arial"/>
          <w:sz w:val="18"/>
          <w:szCs w:val="18"/>
          <w:color w:val="auto"/>
        </w:rPr>
      </w:pPr>
      <w:r>
        <w:rPr>
          <w:rFonts w:ascii="Arial" w:cs="Arial" w:eastAsia="Arial" w:hAnsi="Arial"/>
          <w:sz w:val="18"/>
          <w:szCs w:val="18"/>
          <w:color w:val="auto"/>
        </w:rPr>
        <w:t>such Liens shall not apply to any other property or assets of the Borrower or any Restricted Subsidiary other than additions, accessions, parts, attachments or improvements on or proceeds of such fixed or capital assets; provided that clause (ii) shall not apply to any refinancing, extension, renewal or replacement thereof;</w:t>
      </w:r>
    </w:p>
    <w:p>
      <w:pPr>
        <w:spacing w:after="0" w:line="81" w:lineRule="exact"/>
        <w:rPr>
          <w:rFonts w:ascii="Arial" w:cs="Arial" w:eastAsia="Arial" w:hAnsi="Arial"/>
          <w:sz w:val="18"/>
          <w:szCs w:val="18"/>
          <w:color w:val="auto"/>
        </w:rPr>
      </w:pPr>
    </w:p>
    <w:p>
      <w:pPr>
        <w:ind w:left="4" w:firstLine="987"/>
        <w:spacing w:after="0" w:line="277" w:lineRule="auto"/>
        <w:tabs>
          <w:tab w:leader="none" w:pos="124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licenses, sublicenses, leases or subleases granted to others in the ordinary course of business not interfering in any material respect with the business of the Borrower and its Restricted Subsidiaries, taken as a whole;</w:t>
      </w:r>
    </w:p>
    <w:p>
      <w:pPr>
        <w:spacing w:after="0" w:line="62" w:lineRule="exact"/>
        <w:rPr>
          <w:rFonts w:ascii="Arial" w:cs="Arial" w:eastAsia="Arial" w:hAnsi="Arial"/>
          <w:sz w:val="18"/>
          <w:szCs w:val="18"/>
          <w:color w:val="auto"/>
        </w:rPr>
      </w:pPr>
    </w:p>
    <w:p>
      <w:pPr>
        <w:ind w:left="4" w:right="740" w:firstLine="987"/>
        <w:spacing w:after="0" w:line="308" w:lineRule="auto"/>
        <w:tabs>
          <w:tab w:leader="none" w:pos="1220" w:val="left"/>
        </w:tabs>
        <w:numPr>
          <w:ilvl w:val="1"/>
          <w:numId w:val="566"/>
        </w:numPr>
        <w:rPr>
          <w:rFonts w:ascii="Arial" w:cs="Arial" w:eastAsia="Arial" w:hAnsi="Arial"/>
          <w:sz w:val="17"/>
          <w:szCs w:val="17"/>
          <w:color w:val="auto"/>
        </w:rPr>
      </w:pPr>
      <w:r>
        <w:rPr>
          <w:rFonts w:ascii="Arial" w:cs="Arial" w:eastAsia="Arial" w:hAnsi="Arial"/>
          <w:sz w:val="17"/>
          <w:szCs w:val="17"/>
          <w:color w:val="auto"/>
        </w:rPr>
        <w:t>the interest and title of a lessor under any lease, license, sublease or sublicense entered into by the Borrower or any Restricted Subsidiary in the ordinary course of its business and other statutory and common law landlords’ Liens under leases;</w:t>
      </w:r>
    </w:p>
    <w:p>
      <w:pPr>
        <w:spacing w:after="0" w:line="38" w:lineRule="exact"/>
        <w:rPr>
          <w:rFonts w:ascii="Arial" w:cs="Arial" w:eastAsia="Arial" w:hAnsi="Arial"/>
          <w:sz w:val="17"/>
          <w:szCs w:val="17"/>
          <w:color w:val="auto"/>
        </w:rPr>
      </w:pPr>
    </w:p>
    <w:p>
      <w:pPr>
        <w:ind w:left="4" w:right="680" w:firstLine="987"/>
        <w:spacing w:after="0" w:line="277" w:lineRule="auto"/>
        <w:tabs>
          <w:tab w:leader="none" w:pos="125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in connection with the sale or transfer of any assets in a transaction not prohibited hereunder, customary rights and restrictions contained in agreements relating to such sale or transfer pending the completion thereof;</w:t>
      </w:r>
    </w:p>
    <w:p>
      <w:pPr>
        <w:spacing w:after="0" w:line="62" w:lineRule="exact"/>
        <w:rPr>
          <w:rFonts w:ascii="Arial" w:cs="Arial" w:eastAsia="Arial" w:hAnsi="Arial"/>
          <w:sz w:val="18"/>
          <w:szCs w:val="18"/>
          <w:color w:val="auto"/>
        </w:rPr>
      </w:pPr>
    </w:p>
    <w:p>
      <w:pPr>
        <w:ind w:left="4" w:firstLine="987"/>
        <w:spacing w:after="0" w:line="277" w:lineRule="auto"/>
        <w:tabs>
          <w:tab w:leader="none" w:pos="125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in the case of any Joint Venture, any put and call arrangements related to its Equity Interests set forth in its organizational documents or any related joint venture or similar agreement;</w:t>
      </w:r>
    </w:p>
    <w:p>
      <w:pPr>
        <w:spacing w:after="0" w:line="62" w:lineRule="exact"/>
        <w:rPr>
          <w:rFonts w:ascii="Arial" w:cs="Arial" w:eastAsia="Arial" w:hAnsi="Arial"/>
          <w:sz w:val="18"/>
          <w:szCs w:val="18"/>
          <w:color w:val="auto"/>
        </w:rPr>
      </w:pPr>
    </w:p>
    <w:p>
      <w:pPr>
        <w:ind w:left="4" w:right="60" w:firstLine="987"/>
        <w:spacing w:after="0" w:line="277" w:lineRule="auto"/>
        <w:tabs>
          <w:tab w:leader="none" w:pos="121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Liens securing Indebtedness to finance insurance premiums owing in the ordinary course of business to the extent such financing is not prohibited hereunder;</w:t>
      </w:r>
    </w:p>
    <w:p>
      <w:pPr>
        <w:spacing w:after="0" w:line="62" w:lineRule="exact"/>
        <w:rPr>
          <w:rFonts w:ascii="Arial" w:cs="Arial" w:eastAsia="Arial" w:hAnsi="Arial"/>
          <w:sz w:val="18"/>
          <w:szCs w:val="18"/>
          <w:color w:val="auto"/>
        </w:rPr>
      </w:pPr>
    </w:p>
    <w:p>
      <w:pPr>
        <w:ind w:left="1204" w:hanging="213"/>
        <w:spacing w:after="0"/>
        <w:tabs>
          <w:tab w:leader="none" w:pos="1204" w:val="left"/>
        </w:tabs>
        <w:numPr>
          <w:ilvl w:val="1"/>
          <w:numId w:val="566"/>
        </w:numPr>
        <w:rPr>
          <w:rFonts w:ascii="Arial" w:cs="Arial" w:eastAsia="Arial" w:hAnsi="Arial"/>
          <w:sz w:val="17"/>
          <w:szCs w:val="17"/>
          <w:color w:val="auto"/>
        </w:rPr>
      </w:pPr>
      <w:r>
        <w:rPr>
          <w:rFonts w:ascii="Arial" w:cs="Arial" w:eastAsia="Arial" w:hAnsi="Arial"/>
          <w:sz w:val="17"/>
          <w:szCs w:val="17"/>
          <w:color w:val="auto"/>
        </w:rPr>
        <w:t>Liens on earnest money deposits of cash or cash equivalents made in connection with any Acquisition not prohibited hereunder;</w:t>
      </w:r>
    </w:p>
    <w:p>
      <w:pPr>
        <w:spacing w:after="0" w:line="128" w:lineRule="exact"/>
        <w:rPr>
          <w:rFonts w:ascii="Arial" w:cs="Arial" w:eastAsia="Arial" w:hAnsi="Arial"/>
          <w:sz w:val="17"/>
          <w:szCs w:val="17"/>
          <w:color w:val="auto"/>
        </w:rPr>
      </w:pPr>
    </w:p>
    <w:p>
      <w:pPr>
        <w:ind w:left="4" w:right="160" w:firstLine="987"/>
        <w:spacing w:after="0" w:line="301" w:lineRule="auto"/>
        <w:tabs>
          <w:tab w:leader="none" w:pos="1250" w:val="left"/>
        </w:tabs>
        <w:numPr>
          <w:ilvl w:val="1"/>
          <w:numId w:val="566"/>
        </w:numPr>
        <w:rPr>
          <w:rFonts w:ascii="Arial" w:cs="Arial" w:eastAsia="Arial" w:hAnsi="Arial"/>
          <w:sz w:val="16"/>
          <w:szCs w:val="16"/>
          <w:color w:val="auto"/>
        </w:rPr>
      </w:pPr>
      <w:r>
        <w:rPr>
          <w:rFonts w:ascii="Arial" w:cs="Arial" w:eastAsia="Arial" w:hAnsi="Arial"/>
          <w:sz w:val="16"/>
          <w:szCs w:val="16"/>
          <w:color w:val="auto"/>
        </w:rPr>
        <w:t>bankers’ Liens, rights of setoff and other similar Liens existing solely with respect to cash and cash equivalents or other securities on deposit in one or more accounts maintained by the Borrower or any Restricted Subsidiary, in each case granted in the ordinary course of business in favor of the bank or banks, securities intermediaries or other depository institutions with which such accounts are maintained, securing amounts owing to institutions with respect to cash management operating account arrangements and similar arrangements;</w:t>
      </w:r>
    </w:p>
    <w:p>
      <w:pPr>
        <w:spacing w:after="0" w:line="49" w:lineRule="exact"/>
        <w:rPr>
          <w:rFonts w:ascii="Arial" w:cs="Arial" w:eastAsia="Arial" w:hAnsi="Arial"/>
          <w:sz w:val="16"/>
          <w:szCs w:val="16"/>
          <w:color w:val="auto"/>
        </w:rPr>
      </w:pPr>
    </w:p>
    <w:p>
      <w:pPr>
        <w:ind w:left="4" w:firstLine="987"/>
        <w:spacing w:after="0" w:line="277" w:lineRule="auto"/>
        <w:tabs>
          <w:tab w:leader="none" w:pos="121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Liens in the nature of the right of setoff in favor of counterparties to contractual agreements not otherwise prohibited hereunder with the Borrower or any of its Restricted Subsidiaries in the ordinary course of business;</w:t>
      </w:r>
    </w:p>
    <w:p>
      <w:pPr>
        <w:spacing w:after="0" w:line="62" w:lineRule="exact"/>
        <w:rPr>
          <w:rFonts w:ascii="Arial" w:cs="Arial" w:eastAsia="Arial" w:hAnsi="Arial"/>
          <w:sz w:val="18"/>
          <w:szCs w:val="18"/>
          <w:color w:val="auto"/>
        </w:rPr>
      </w:pPr>
    </w:p>
    <w:p>
      <w:pPr>
        <w:ind w:left="4" w:right="100" w:firstLine="987"/>
        <w:spacing w:after="0" w:line="279" w:lineRule="auto"/>
        <w:tabs>
          <w:tab w:leader="none" w:pos="1300" w:val="left"/>
        </w:tabs>
        <w:numPr>
          <w:ilvl w:val="1"/>
          <w:numId w:val="566"/>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by </w:t>
      </w:r>
      <w:r>
        <w:rPr>
          <w:rFonts w:ascii="Arial" w:cs="Arial" w:eastAsia="Arial" w:hAnsi="Arial"/>
          <w:sz w:val="17"/>
          <w:szCs w:val="17"/>
          <w:u w:val="single" w:color="auto"/>
          <w:color w:val="auto"/>
        </w:rPr>
        <w:t>Section 6.1(c)(ii)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shall extend only to the assets of the Foreign Subsidiary that incurred such Indebtedness and any Foreign Subsidiary that Guarantees such Indebtedness in accordance with </w:t>
      </w:r>
      <w:r>
        <w:rPr>
          <w:rFonts w:ascii="Arial" w:cs="Arial" w:eastAsia="Arial" w:hAnsi="Arial"/>
          <w:sz w:val="17"/>
          <w:szCs w:val="17"/>
          <w:u w:val="single" w:color="auto"/>
          <w:color w:val="auto"/>
        </w:rPr>
        <w:t>Section 6.1(c)(ii)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and (ii) such Liens shall not extend to any Intellectual Property acquired by any Foreign Subsidiary referred to in the preceding clause (i), directly or indirectly, from any Loan Party, including pursuant to a Permitted IP Transfer;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4"/>
          </w:cols>
          <w:pgMar w:left="436" w:top="274" w:right="459" w:bottom="1440" w:gutter="0" w:footer="0" w:header="0"/>
        </w:sectPr>
      </w:pPr>
    </w:p>
    <w:bookmarkStart w:id="465" w:name="page466"/>
    <w:bookmarkEnd w:id="465"/>
    <w:p>
      <w:pPr>
        <w:ind w:left="1240" w:hanging="253"/>
        <w:spacing w:after="0"/>
        <w:tabs>
          <w:tab w:leader="none" w:pos="1240" w:val="left"/>
        </w:tabs>
        <w:numPr>
          <w:ilvl w:val="0"/>
          <w:numId w:val="5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securing the Obligations pursuant to any Loan Document;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other Liens securing obligations in an aggregate amount not to exceed $25,000,000 at any time outstanding.</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Fundamental Changes; Assets Sales; Changes in Business</w:t>
      </w:r>
      <w:r>
        <w:rPr>
          <w:rFonts w:ascii="Arial" w:cs="Arial" w:eastAsia="Arial" w:hAnsi="Arial"/>
          <w:sz w:val="17"/>
          <w:szCs w:val="17"/>
          <w:color w:val="auto"/>
        </w:rPr>
        <w:t>. (a) The Borrower will not, and will not permit any Restricted Subsidiary to, (x) merge into or consolidate with any other Person, or permit any other Person to merge into or consolidate with it, (y) sell, transfer, lease, enter into any sale-leaseback transactions with respect to, or otherwise dispose of (in one transaction or in a series of transactions) all or substantially all of the assets of the Borrower and its Restricted Subsidiaries, taken as a whole, or all or substantially all of the Equity Interests of any of its Restricted Subsidiaries (in each case, whether now owned or hereafter acquired), or (z) liquidate or dissolve, except that, if at the time thereof and immediately after giving effect thereto no Default or Event of Default shall have occurred and be continuing:</w:t>
      </w:r>
    </w:p>
    <w:p>
      <w:pPr>
        <w:spacing w:after="0" w:line="70" w:lineRule="exact"/>
        <w:rPr>
          <w:sz w:val="20"/>
          <w:szCs w:val="20"/>
          <w:color w:val="auto"/>
        </w:rPr>
      </w:pPr>
    </w:p>
    <w:p>
      <w:pPr>
        <w:ind w:left="1080" w:hanging="221"/>
        <w:spacing w:after="0"/>
        <w:tabs>
          <w:tab w:leader="none" w:pos="1080" w:val="left"/>
        </w:tabs>
        <w:numPr>
          <w:ilvl w:val="1"/>
          <w:numId w:val="568"/>
        </w:numPr>
        <w:rPr>
          <w:rFonts w:ascii="Arial" w:cs="Arial" w:eastAsia="Arial" w:hAnsi="Arial"/>
          <w:sz w:val="17"/>
          <w:szCs w:val="17"/>
          <w:color w:val="auto"/>
        </w:rPr>
      </w:pPr>
      <w:r>
        <w:rPr>
          <w:rFonts w:ascii="Arial" w:cs="Arial" w:eastAsia="Arial" w:hAnsi="Arial"/>
          <w:sz w:val="17"/>
          <w:szCs w:val="17"/>
          <w:color w:val="auto"/>
        </w:rPr>
        <w:t>any Subsidiary or any other Person may merge into or consolidate with the Borrower in a transaction in which the surviving entity is</w:t>
      </w:r>
    </w:p>
    <w:p>
      <w:pPr>
        <w:spacing w:after="0" w:line="34" w:lineRule="exact"/>
        <w:rPr>
          <w:rFonts w:ascii="Arial" w:cs="Arial" w:eastAsia="Arial" w:hAnsi="Arial"/>
          <w:sz w:val="17"/>
          <w:szCs w:val="17"/>
          <w:color w:val="auto"/>
        </w:rPr>
      </w:pPr>
    </w:p>
    <w:p>
      <w:pPr>
        <w:ind w:left="440" w:hanging="4"/>
        <w:spacing w:after="0" w:line="269" w:lineRule="auto"/>
        <w:tabs>
          <w:tab w:leader="none" w:pos="695" w:val="left"/>
        </w:tabs>
        <w:numPr>
          <w:ilvl w:val="0"/>
          <w:numId w:val="569"/>
        </w:numPr>
        <w:rPr>
          <w:rFonts w:ascii="Arial" w:cs="Arial" w:eastAsia="Arial" w:hAnsi="Arial"/>
          <w:sz w:val="17"/>
          <w:szCs w:val="17"/>
          <w:color w:val="auto"/>
        </w:rPr>
      </w:pPr>
      <w:r>
        <w:rPr>
          <w:rFonts w:ascii="Arial" w:cs="Arial" w:eastAsia="Arial" w:hAnsi="Arial"/>
          <w:sz w:val="17"/>
          <w:szCs w:val="17"/>
          <w:color w:val="auto"/>
        </w:rPr>
        <w:t xml:space="preserve">the Borrower or (y) a corporation organized and existing under the laws of the United States of America, any State thereof or the District of Columbia, which corporation shall expressly assume, by a written instrument in form and substance reasonably satisfactory to the Administrative Agent, all the obligations of the Borrower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(y), such Person assuming all obligations of the Borrower shall have delivered to the Administrative Agent (A) all “know your customer” and similar information required under anti-money laundering rules and regulations that has been requested by the Administrative Agent or any Lender and a Beneficial Ownership Certification and (B) if requested by the Administrative Agent, an opinion of counsel to such Person to the effect that such merger or consolidation does not violate this Agreement or any other Loan Document;</w:t>
      </w:r>
    </w:p>
    <w:p>
      <w:pPr>
        <w:spacing w:after="0" w:line="72" w:lineRule="exact"/>
        <w:rPr>
          <w:rFonts w:ascii="Arial" w:cs="Arial" w:eastAsia="Arial" w:hAnsi="Arial"/>
          <w:sz w:val="17"/>
          <w:szCs w:val="17"/>
          <w:color w:val="auto"/>
        </w:rPr>
      </w:pPr>
    </w:p>
    <w:p>
      <w:pPr>
        <w:ind w:left="440" w:right="20" w:firstLine="419"/>
        <w:spacing w:after="0" w:line="263" w:lineRule="auto"/>
        <w:tabs>
          <w:tab w:leader="none" w:pos="1128"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any Person (other than the Borrower) may merge into or consolidate with any Restricted Subsidiary in a transaction in which the surviving entity is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or consolidation involving a Guarantor must result in a Guarantor as the surviving entity);</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any Loan Party may sell, transfer, lease or otherwise dispose of its assets to any other Loan Party;</w:t>
      </w:r>
    </w:p>
    <w:p>
      <w:pPr>
        <w:spacing w:after="0" w:line="117" w:lineRule="exact"/>
        <w:rPr>
          <w:rFonts w:ascii="Arial" w:cs="Arial" w:eastAsia="Arial" w:hAnsi="Arial"/>
          <w:sz w:val="18"/>
          <w:szCs w:val="18"/>
          <w:color w:val="auto"/>
        </w:rPr>
      </w:pPr>
    </w:p>
    <w:p>
      <w:pPr>
        <w:ind w:left="440" w:right="240" w:firstLine="419"/>
        <w:spacing w:after="0" w:line="311" w:lineRule="auto"/>
        <w:tabs>
          <w:tab w:leader="none" w:pos="1168" w:val="left"/>
        </w:tabs>
        <w:numPr>
          <w:ilvl w:val="1"/>
          <w:numId w:val="569"/>
        </w:numPr>
        <w:rPr>
          <w:rFonts w:ascii="Arial" w:cs="Arial" w:eastAsia="Arial" w:hAnsi="Arial"/>
          <w:sz w:val="16"/>
          <w:szCs w:val="16"/>
          <w:color w:val="auto"/>
        </w:rPr>
      </w:pPr>
      <w:r>
        <w:rPr>
          <w:rFonts w:ascii="Arial" w:cs="Arial" w:eastAsia="Arial" w:hAnsi="Arial"/>
          <w:sz w:val="16"/>
          <w:szCs w:val="16"/>
          <w:color w:val="auto"/>
        </w:rPr>
        <w:t>in connection with any Acquisition, any Restricted Subsidiary may merge into or with, or consolidate with any other Person, and any other Person may merge into such Restricted Subsidiary, so long as the Person surviving such merger or consolidation shall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or consolidation involving a Guarantor must result in a Guarantor as the surviving entity);</w:t>
      </w:r>
    </w:p>
    <w:p>
      <w:pPr>
        <w:spacing w:after="0" w:line="40" w:lineRule="exact"/>
        <w:rPr>
          <w:rFonts w:ascii="Arial" w:cs="Arial" w:eastAsia="Arial" w:hAnsi="Arial"/>
          <w:sz w:val="16"/>
          <w:szCs w:val="16"/>
          <w:color w:val="auto"/>
        </w:rPr>
      </w:pPr>
    </w:p>
    <w:p>
      <w:pPr>
        <w:jc w:val="both"/>
        <w:ind w:left="440" w:right="360" w:firstLine="419"/>
        <w:spacing w:after="0" w:line="291" w:lineRule="auto"/>
        <w:tabs>
          <w:tab w:leader="none" w:pos="1118" w:val="left"/>
        </w:tabs>
        <w:numPr>
          <w:ilvl w:val="1"/>
          <w:numId w:val="569"/>
        </w:numPr>
        <w:rPr>
          <w:rFonts w:ascii="Arial" w:cs="Arial" w:eastAsia="Arial" w:hAnsi="Arial"/>
          <w:sz w:val="16"/>
          <w:szCs w:val="16"/>
          <w:color w:val="auto"/>
        </w:rPr>
      </w:pPr>
      <w:r>
        <w:rPr>
          <w:rFonts w:ascii="Arial" w:cs="Arial" w:eastAsia="Arial" w:hAnsi="Arial"/>
          <w:sz w:val="16"/>
          <w:szCs w:val="16"/>
          <w:color w:val="auto"/>
        </w:rPr>
        <w:t>any Restricted Subsidiary may merge into or consolidate with any other Person in a transaction in which such Restricted Subsidiary ceases to be a direct or indirect Subsidiary of the Borrower if such transaction is excluded from the definition of “Asset Sale” by either clause</w:t>
      </w:r>
    </w:p>
    <w:p>
      <w:pPr>
        <w:ind w:left="440"/>
        <w:spacing w:after="0"/>
        <w:rPr>
          <w:rFonts w:ascii="Arial" w:cs="Arial" w:eastAsia="Arial" w:hAnsi="Arial"/>
          <w:sz w:val="16"/>
          <w:szCs w:val="16"/>
          <w:color w:val="auto"/>
        </w:rPr>
      </w:pPr>
      <w:r>
        <w:rPr>
          <w:rFonts w:ascii="Arial" w:cs="Arial" w:eastAsia="Arial" w:hAnsi="Arial"/>
          <w:sz w:val="18"/>
          <w:szCs w:val="18"/>
          <w:color w:val="auto"/>
        </w:rPr>
        <w:t>(j) or (k) thereof;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4" w:right="479" w:bottom="1440" w:gutter="0" w:footer="0" w:header="0"/>
        </w:sectPr>
      </w:pPr>
    </w:p>
    <w:bookmarkStart w:id="466" w:name="page467"/>
    <w:bookmarkEnd w:id="466"/>
    <w:p>
      <w:pPr>
        <w:ind w:left="440" w:right="20" w:firstLine="419"/>
        <w:spacing w:after="0" w:line="277" w:lineRule="auto"/>
        <w:tabs>
          <w:tab w:leader="none" w:pos="1168" w:val="left"/>
        </w:tabs>
        <w:numPr>
          <w:ilvl w:val="0"/>
          <w:numId w:val="5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Restricted Subsidiary may liquidate or dissolve if the Borrower determines in good faith that such liquidation or dissolution is in the best interests of the Borrower and is not materially disadvantageous to the Lenders.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570"/>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consummate any Asset Sale.</w:t>
      </w:r>
    </w:p>
    <w:p>
      <w:pPr>
        <w:spacing w:after="0" w:line="117" w:lineRule="exact"/>
        <w:rPr>
          <w:rFonts w:ascii="Arial" w:cs="Arial" w:eastAsia="Arial" w:hAnsi="Arial"/>
          <w:sz w:val="18"/>
          <w:szCs w:val="18"/>
          <w:color w:val="auto"/>
        </w:rPr>
      </w:pPr>
    </w:p>
    <w:p>
      <w:pPr>
        <w:ind w:right="320" w:firstLine="987"/>
        <w:spacing w:after="0" w:line="263" w:lineRule="auto"/>
        <w:tabs>
          <w:tab w:leader="none" w:pos="1236" w:val="left"/>
        </w:tabs>
        <w:numPr>
          <w:ilvl w:val="1"/>
          <w:numId w:val="570"/>
        </w:numPr>
        <w:rPr>
          <w:rFonts w:ascii="Arial" w:cs="Arial" w:eastAsia="Arial" w:hAnsi="Arial"/>
          <w:sz w:val="18"/>
          <w:szCs w:val="18"/>
          <w:color w:val="auto"/>
        </w:rPr>
      </w:pPr>
      <w:r>
        <w:rPr>
          <w:rFonts w:ascii="Arial" w:cs="Arial" w:eastAsia="Arial" w:hAnsi="Arial"/>
          <w:sz w:val="18"/>
          <w:szCs w:val="18"/>
          <w:color w:val="auto"/>
        </w:rPr>
        <w:t>The Borrower will not, and will not permit any of its Restricted Subsidiaries to, engage to any material extent in any business other than businesses of the type conducted by the Borrower and its Restricted Subsidiaries on the Restatement Effective Date and businesses reasonably related, complementary thereto.</w:t>
      </w:r>
    </w:p>
    <w:p>
      <w:pPr>
        <w:spacing w:after="0" w:line="18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and will not permit any of its Restricted Subsidiaries to, declare or make, directly or indirectly, any Restricted Payment except:</w:t>
      </w:r>
    </w:p>
    <w:p>
      <w:pPr>
        <w:spacing w:after="0" w:line="62" w:lineRule="exact"/>
        <w:rPr>
          <w:sz w:val="20"/>
          <w:szCs w:val="20"/>
          <w:color w:val="auto"/>
        </w:rPr>
      </w:pPr>
    </w:p>
    <w:p>
      <w:pPr>
        <w:ind w:right="20" w:firstLine="987"/>
        <w:spacing w:after="0" w:line="263" w:lineRule="auto"/>
        <w:tabs>
          <w:tab w:leader="none" w:pos="123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so long as (i) no Default or Event of Default has occurred and is continuing or would result therefrom and (ii) Liquidity (determined on a pro forma basis at the time of (and after giving effect to) such Restricted Payment) is not less than $300,000,000, Restricted Payments in an unlimited amount;</w:t>
      </w:r>
    </w:p>
    <w:p>
      <w:pPr>
        <w:spacing w:after="0" w:line="75"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any Restricted Subsidiary of the Borrower may declare and pay dividends or make other Restricted Payments ratably to (i) its equity holders, (ii) the Borrower or (iii) any Guarantor;</w:t>
      </w:r>
    </w:p>
    <w:p>
      <w:pPr>
        <w:spacing w:after="0" w:line="62" w:lineRule="exact"/>
        <w:rPr>
          <w:rFonts w:ascii="Arial" w:cs="Arial" w:eastAsia="Arial" w:hAnsi="Arial"/>
          <w:sz w:val="18"/>
          <w:szCs w:val="18"/>
          <w:color w:val="auto"/>
        </w:rPr>
      </w:pPr>
    </w:p>
    <w:p>
      <w:pPr>
        <w:ind w:right="20" w:firstLine="987"/>
        <w:spacing w:after="0" w:line="275" w:lineRule="auto"/>
        <w:tabs>
          <w:tab w:leader="none" w:pos="1236" w:val="left"/>
        </w:tabs>
        <w:numPr>
          <w:ilvl w:val="0"/>
          <w:numId w:val="571"/>
        </w:numPr>
        <w:rPr>
          <w:rFonts w:ascii="Arial" w:cs="Arial" w:eastAsia="Arial" w:hAnsi="Arial"/>
          <w:sz w:val="17"/>
          <w:szCs w:val="17"/>
          <w:color w:val="auto"/>
        </w:rPr>
      </w:pPr>
      <w:r>
        <w:rPr>
          <w:rFonts w:ascii="Arial" w:cs="Arial" w:eastAsia="Arial" w:hAnsi="Arial"/>
          <w:sz w:val="17"/>
          <w:szCs w:val="17"/>
          <w:color w:val="auto"/>
        </w:rPr>
        <w:t xml:space="preserve">the Borrower may make Restricted Payments to redeem in whole or in part any of its Equity Interest (including Disqualified Equity Interests) for another class of its Equity Interests or rights to acquire its Equity Interests (other than, in each case, Disqualified Equity Interests) or with proceeds from substantially concurrent equity contributions or issuances of new Equity Interests (other than Disqualified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only consideration paid for any such redemption is Equity Interests of the Borrower or the proceeds of any substantially concurrent equity contribution or issuance of Equity Interest (other than, in each case, Disqualified Equity Interests);</w:t>
      </w:r>
    </w:p>
    <w:p>
      <w:pPr>
        <w:spacing w:after="0" w:line="68" w:lineRule="exact"/>
        <w:rPr>
          <w:rFonts w:ascii="Arial" w:cs="Arial" w:eastAsia="Arial" w:hAnsi="Arial"/>
          <w:sz w:val="17"/>
          <w:szCs w:val="17"/>
          <w:color w:val="auto"/>
        </w:rPr>
      </w:pPr>
    </w:p>
    <w:p>
      <w:pPr>
        <w:ind w:right="100" w:firstLine="987"/>
        <w:spacing w:after="0" w:line="257" w:lineRule="auto"/>
        <w:tabs>
          <w:tab w:leader="none" w:pos="124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Restricted Payments made in connection with equity compensation that consist solely of the withholding of shares to any employee in an amount equal to the employee’s tax obligation on such compensation and the payment in cash to the applicable Governmental Authority of an amount equal to such tax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(A) any such Restricted Payment plus (B) the aggregate amount of all such Restricted Payments made in reliance on this clause (d) prior to or concurrently with such Restricted Payment shall not exceed 10% of Total Market Cap at the time such Restricted Payment is made;</w:t>
      </w:r>
    </w:p>
    <w:p>
      <w:pPr>
        <w:spacing w:after="0" w:line="79" w:lineRule="exact"/>
        <w:rPr>
          <w:rFonts w:ascii="Arial" w:cs="Arial" w:eastAsia="Arial" w:hAnsi="Arial"/>
          <w:sz w:val="18"/>
          <w:szCs w:val="18"/>
          <w:color w:val="auto"/>
        </w:rPr>
      </w:pPr>
    </w:p>
    <w:p>
      <w:pPr>
        <w:ind w:firstLine="987"/>
        <w:spacing w:after="0" w:line="277" w:lineRule="auto"/>
        <w:tabs>
          <w:tab w:leader="none" w:pos="123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Borrower may declare and make dividends payable solely in additional shares of the Borrower’s Qualified Equity Interests and may exchange Equity Interests for its Qualified Equity Interests;</w:t>
      </w:r>
    </w:p>
    <w:p>
      <w:pPr>
        <w:spacing w:after="0" w:line="62" w:lineRule="exact"/>
        <w:rPr>
          <w:rFonts w:ascii="Arial" w:cs="Arial" w:eastAsia="Arial" w:hAnsi="Arial"/>
          <w:sz w:val="18"/>
          <w:szCs w:val="18"/>
          <w:color w:val="auto"/>
        </w:rPr>
      </w:pPr>
    </w:p>
    <w:p>
      <w:pPr>
        <w:ind w:right="20" w:firstLine="987"/>
        <w:spacing w:after="0" w:line="263" w:lineRule="auto"/>
        <w:tabs>
          <w:tab w:leader="none" w:pos="121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the Borrower may make any Restricted Payment that has been declared by the Borrower, so long as (A) such Restricted Payment would be otherwise permitted under clause (a) of this Section 6.4 at the time so declared and (B) such Restricted Payment is made within 60 days of such declaration;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467" w:name="page468"/>
    <w:bookmarkEnd w:id="467"/>
    <w:p>
      <w:pPr>
        <w:ind w:left="4" w:right="360" w:firstLine="987"/>
        <w:spacing w:after="0" w:line="291" w:lineRule="auto"/>
        <w:tabs>
          <w:tab w:leader="none" w:pos="1250" w:val="left"/>
        </w:tabs>
        <w:numPr>
          <w:ilvl w:val="1"/>
          <w:numId w:val="5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Borrower may repurchase Equity Interests pursuant to any accelerated stock repurchase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payments made by the Borrower with respect to such accelerated stock repurchase or similar agreement would be otherwise permitted under clause</w:t>
      </w:r>
    </w:p>
    <w:p>
      <w:pPr>
        <w:ind w:left="244" w:hanging="244"/>
        <w:spacing w:after="0"/>
        <w:tabs>
          <w:tab w:leader="none" w:pos="244"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at the time such agreement is entered into as if it were a Restricted Payment made by the Borrower at such time;</w:t>
      </w:r>
    </w:p>
    <w:p>
      <w:pPr>
        <w:spacing w:after="0" w:line="102" w:lineRule="exact"/>
        <w:rPr>
          <w:rFonts w:ascii="Arial" w:cs="Arial" w:eastAsia="Arial" w:hAnsi="Arial"/>
          <w:sz w:val="18"/>
          <w:szCs w:val="18"/>
          <w:color w:val="auto"/>
        </w:rPr>
      </w:pPr>
    </w:p>
    <w:p>
      <w:pPr>
        <w:ind w:left="4" w:firstLine="987"/>
        <w:spacing w:after="0" w:line="263" w:lineRule="auto"/>
        <w:tabs>
          <w:tab w:leader="none" w:pos="125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the Borrower may repurchase Equity Interests or rights in respect thereof granted to directors, officers, employees or other providers of services to the Borrower and the Subsidiaries at the original purchase price of such Equity Interests or rights in respect thereof pursuant to a right of repurchase set forth in equity compensation plans in connection with a cessation of service;</w:t>
      </w:r>
    </w:p>
    <w:p>
      <w:pPr>
        <w:spacing w:after="0" w:line="75" w:lineRule="exact"/>
        <w:rPr>
          <w:rFonts w:ascii="Arial" w:cs="Arial" w:eastAsia="Arial" w:hAnsi="Arial"/>
          <w:sz w:val="18"/>
          <w:szCs w:val="18"/>
          <w:color w:val="auto"/>
        </w:rPr>
      </w:pPr>
    </w:p>
    <w:p>
      <w:pPr>
        <w:ind w:left="4" w:firstLine="987"/>
        <w:spacing w:after="0" w:line="342" w:lineRule="auto"/>
        <w:tabs>
          <w:tab w:leader="none" w:pos="1210" w:val="left"/>
        </w:tabs>
        <w:numPr>
          <w:ilvl w:val="1"/>
          <w:numId w:val="573"/>
        </w:numPr>
        <w:rPr>
          <w:rFonts w:ascii="Arial" w:cs="Arial" w:eastAsia="Arial" w:hAnsi="Arial"/>
          <w:sz w:val="16"/>
          <w:szCs w:val="16"/>
          <w:color w:val="auto"/>
        </w:rPr>
      </w:pPr>
      <w:r>
        <w:rPr>
          <w:rFonts w:ascii="Arial" w:cs="Arial" w:eastAsia="Arial" w:hAnsi="Arial"/>
          <w:sz w:val="16"/>
          <w:szCs w:val="16"/>
          <w:color w:val="auto"/>
        </w:rPr>
        <w:t>the Borrower may (x) repurchase fractional shares of its Equity Interests arising out of stock dividends, splits or combinations, business combinations or conversions of convertible securities or exercises of warrants or options or (y) “net exercise” or “net share settle” warrants or options;</w:t>
      </w:r>
    </w:p>
    <w:p>
      <w:pPr>
        <w:spacing w:after="0" w:line="15" w:lineRule="exact"/>
        <w:rPr>
          <w:rFonts w:ascii="Arial" w:cs="Arial" w:eastAsia="Arial" w:hAnsi="Arial"/>
          <w:sz w:val="16"/>
          <w:szCs w:val="16"/>
          <w:color w:val="auto"/>
        </w:rPr>
      </w:pPr>
    </w:p>
    <w:p>
      <w:pPr>
        <w:ind w:left="4" w:right="100" w:firstLine="987"/>
        <w:spacing w:after="0" w:line="263" w:lineRule="auto"/>
        <w:tabs>
          <w:tab w:leader="none" w:pos="121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the receipt or acceptance by the Borrower or any Subsidiary of the return of Equity Interests issued by the Borrower or any Subsidiary to the seller of a Person, business or division as consideration for the purchase of such Person, business or division, which return is in settlement of indemnification claims owed by such seller in connection with such acquisition; and</w:t>
      </w:r>
    </w:p>
    <w:p>
      <w:pPr>
        <w:spacing w:after="0" w:line="75" w:lineRule="exact"/>
        <w:rPr>
          <w:rFonts w:ascii="Arial" w:cs="Arial" w:eastAsia="Arial" w:hAnsi="Arial"/>
          <w:sz w:val="18"/>
          <w:szCs w:val="18"/>
          <w:color w:val="auto"/>
        </w:rPr>
      </w:pPr>
    </w:p>
    <w:p>
      <w:pPr>
        <w:ind w:left="4" w:right="480" w:firstLine="987"/>
        <w:spacing w:after="0" w:line="308" w:lineRule="auto"/>
        <w:tabs>
          <w:tab w:leader="none" w:pos="1250" w:val="left"/>
        </w:tabs>
        <w:numPr>
          <w:ilvl w:val="1"/>
          <w:numId w:val="573"/>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is continuing or would result therefrom, the Borrower may purchase, redeem or otherwise acquire its Equity Interest for aggregate consideration not in excess of $25,000,000 in any fiscal year.</w:t>
      </w:r>
    </w:p>
    <w:p>
      <w:pPr>
        <w:spacing w:after="0" w:line="146"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The Borrower will not, and will not permit any of its Restricted Subsidiaries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or assets to secure the Obligations, or (b) the ability of any Restricted Subsidiary to pay dividends or other distributions with respect to any shares of its capital stock or to make or repay loans or advances to the Borrower or any other Restricted Subsidiary or of any Restricted Subsidiary to Guarantee Indebtedness of the Borrower or any other Restricted Subsidiary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restrictions and conditions imposed by law or by this Agreement or any other Loan Document, (ii) the foregoing shall not apply to restrictions and conditions existing on the Restatement Effective Date identified on </w:t>
      </w:r>
      <w:r>
        <w:rPr>
          <w:rFonts w:ascii="Arial" w:cs="Arial" w:eastAsia="Arial" w:hAnsi="Arial"/>
          <w:sz w:val="16"/>
          <w:szCs w:val="16"/>
          <w:u w:val="single" w:color="auto"/>
          <w:color w:val="auto"/>
        </w:rPr>
        <w:t>Schedule 6.5</w:t>
      </w:r>
      <w:r>
        <w:rPr>
          <w:rFonts w:ascii="Arial" w:cs="Arial" w:eastAsia="Arial" w:hAnsi="Arial"/>
          <w:sz w:val="16"/>
          <w:szCs w:val="16"/>
          <w:color w:val="auto"/>
        </w:rPr>
        <w:t xml:space="preserve"> to the Disclosure Letter (and shall apply to any extension or renewal of, or any amendment or modification materially expanding the scope of, any such restrictions or conditions taken as a whole), (iii) the foregoing shall not apply to customary restrictions and conditions contained in agreements relating to the sale of a Restricted Subsidiary or assets of the Borrower or any Restricted Subsidiary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Restricted Subsidiary or assets to be sold</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4"/>
          </w:cols>
          <w:pgMar w:left="436" w:top="274" w:right="499" w:bottom="1440" w:gutter="0" w:footer="0" w:header="0"/>
        </w:sectPr>
      </w:pPr>
    </w:p>
    <w:bookmarkStart w:id="468" w:name="page469"/>
    <w:bookmarkEnd w:id="468"/>
    <w:p>
      <w:pPr>
        <w:ind w:left="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such sale is not prohibited hereunder, (iv) the foregoing shall not apply to any agreement or restriction or condition in effect at the time any Person becomes a Restricted Subsidiary, so long as such agreement was not entered into solely in contemplation of such Person becoming a Restricted Subsidiary,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restricting the assignment thereof or restricting the grant of Liens in such lease, license, sub-lease, sub-license or other contract, (viii) the foregoing shall not apply to restrictions or conditions set forth in any agreement governing Indebtedness not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are customary for such Indebtedness as determined in the good faith judgment of the Board of Directors, and (ix) the foregoing shall not apply to restrictions on cash or other deposits (including escrowed funds) imposed under contracts entered into in the ordinary course of business.</w:t>
      </w:r>
    </w:p>
    <w:p>
      <w:pPr>
        <w:spacing w:after="0" w:line="168"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and will not permit any of its Restricted Subsidiaries to, sell, lease or otherwise transfer any property or assets to, or purchase, lease or otherwise acquire any property or assets from, or otherwise engage in any other transactions with, any of its Affiliates (other than between or among the Borrower and its Restricted Subsidiaries and not involving any other Affiliate except as otherwise permitted hereunder), except (a) on terms and conditions not less favorable to the Borrower or such Restricted Subsidiary than could be obtained on an arm’s-length basis from unrelated third parties as determined in good faith by the independent directors of the Board of Directors,</w:t>
      </w:r>
    </w:p>
    <w:p>
      <w:pPr>
        <w:spacing w:after="0" w:line="2" w:lineRule="exact"/>
        <w:rPr>
          <w:sz w:val="20"/>
          <w:szCs w:val="20"/>
          <w:color w:val="auto"/>
        </w:rPr>
      </w:pPr>
    </w:p>
    <w:p>
      <w:pPr>
        <w:ind w:left="4" w:hanging="4"/>
        <w:spacing w:after="0" w:line="253" w:lineRule="auto"/>
        <w:tabs>
          <w:tab w:leader="none" w:pos="259" w:val="left"/>
        </w:tabs>
        <w:numPr>
          <w:ilvl w:val="0"/>
          <w:numId w:val="574"/>
        </w:numPr>
        <w:rPr>
          <w:rFonts w:ascii="Arial" w:cs="Arial" w:eastAsia="Arial" w:hAnsi="Arial"/>
          <w:sz w:val="18"/>
          <w:szCs w:val="18"/>
          <w:color w:val="auto"/>
        </w:rPr>
      </w:pPr>
      <w:r>
        <w:rPr>
          <w:rFonts w:ascii="Arial" w:cs="Arial" w:eastAsia="Arial" w:hAnsi="Arial"/>
          <w:sz w:val="18"/>
          <w:szCs w:val="18"/>
          <w:color w:val="auto"/>
        </w:rPr>
        <w:t xml:space="preserve">payment of customary directors’ fees, customary out-of-pocket expense reimbursement, indemnities (including the provision of directors and officers insurance) and compensation arrangements for members of the board of directors, officers or other employees of the Borrower or any of its Restricted Subsidiaries, (c) any transaction involving amounts less than $500,000 individually or $5,000,000 in the aggregate in any fiscal year, and (d) any Restricted Payment permitted by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93"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Investments</w:t>
      </w:r>
      <w:r>
        <w:rPr>
          <w:rFonts w:ascii="Arial" w:cs="Arial" w:eastAsia="Arial" w:hAnsi="Arial"/>
          <w:sz w:val="18"/>
          <w:szCs w:val="18"/>
          <w:color w:val="auto"/>
        </w:rPr>
        <w:t>. No Loan Party shall, nor shall it permit any of its Restricted Subsidiaries to, directly or indirectly, make or own any Investment in any Person, including any Joint Venture, except:</w:t>
      </w:r>
    </w:p>
    <w:p>
      <w:pPr>
        <w:spacing w:after="0" w:line="62" w:lineRule="exact"/>
        <w:rPr>
          <w:sz w:val="20"/>
          <w:szCs w:val="20"/>
          <w:color w:val="auto"/>
        </w:rPr>
      </w:pPr>
    </w:p>
    <w:p>
      <w:pPr>
        <w:ind w:left="1244" w:hanging="253"/>
        <w:spacing w:after="0"/>
        <w:tabs>
          <w:tab w:leader="none" w:pos="1244"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17" w:lineRule="exact"/>
        <w:rPr>
          <w:rFonts w:ascii="Arial" w:cs="Arial" w:eastAsia="Arial" w:hAnsi="Arial"/>
          <w:sz w:val="18"/>
          <w:szCs w:val="18"/>
          <w:color w:val="auto"/>
        </w:rPr>
      </w:pPr>
    </w:p>
    <w:p>
      <w:pPr>
        <w:ind w:left="4" w:right="380" w:firstLine="987"/>
        <w:spacing w:after="0" w:line="277" w:lineRule="auto"/>
        <w:tabs>
          <w:tab w:leader="none" w:pos="125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Investments owned as of the Restatement Effective Date in any Restricted Subsidiary and Investments made after the Restatement Effective Date in the Borrower and any wholly owned Restricted Subsidiary of the Borrower which is a Guarantor;</w:t>
      </w:r>
    </w:p>
    <w:p>
      <w:pPr>
        <w:spacing w:after="0" w:line="62" w:lineRule="exact"/>
        <w:rPr>
          <w:rFonts w:ascii="Arial" w:cs="Arial" w:eastAsia="Arial" w:hAnsi="Arial"/>
          <w:sz w:val="18"/>
          <w:szCs w:val="18"/>
          <w:color w:val="auto"/>
        </w:rPr>
      </w:pPr>
    </w:p>
    <w:p>
      <w:pPr>
        <w:ind w:left="4" w:right="240" w:firstLine="987"/>
        <w:spacing w:after="0" w:line="277" w:lineRule="auto"/>
        <w:tabs>
          <w:tab w:leader="none" w:pos="12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 xml:space="preserve">Investments in Unrestricted Subsidiaries and Joint Ventures;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Investments (including through intercompany loans) shall not exceed at any time an aggregate amount of $75,000,000;</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4"/>
          </w:cols>
          <w:pgMar w:left="436" w:top="274" w:right="459" w:bottom="1440" w:gutter="0" w:footer="0" w:header="0"/>
        </w:sectPr>
      </w:pPr>
    </w:p>
    <w:bookmarkStart w:id="469" w:name="page470"/>
    <w:bookmarkEnd w:id="469"/>
    <w:p>
      <w:pPr>
        <w:ind w:right="160" w:firstLine="987"/>
        <w:spacing w:after="0" w:line="286" w:lineRule="auto"/>
        <w:tabs>
          <w:tab w:leader="none" w:pos="1246" w:val="left"/>
        </w:tabs>
        <w:numPr>
          <w:ilvl w:val="0"/>
          <w:numId w:val="5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intercompany loans in accordance with </w:t>
      </w:r>
      <w:r>
        <w:rPr>
          <w:rFonts w:ascii="Arial" w:cs="Arial" w:eastAsia="Arial" w:hAnsi="Arial"/>
          <w:sz w:val="17"/>
          <w:szCs w:val="17"/>
          <w:u w:val="single" w:color="auto"/>
          <w:color w:val="auto"/>
        </w:rPr>
        <w:t>Section 6.1(d)</w:t>
      </w:r>
      <w:r>
        <w:rPr>
          <w:rFonts w:ascii="Arial" w:cs="Arial" w:eastAsia="Arial" w:hAnsi="Arial"/>
          <w:sz w:val="17"/>
          <w:szCs w:val="17"/>
          <w:color w:val="auto"/>
        </w:rPr>
        <w:t xml:space="preserve"> to, and other Investments in, Restricted Subsidiaries which are not Guarantors;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all such Investments (including through such intercompany loans and any Acquisition) shall not exceed, at the time any such Investment is made, the greater of (i) $150,000,000 and (ii) 15% of Consolidated Total Assets at such time;</w:t>
      </w:r>
    </w:p>
    <w:p>
      <w:pPr>
        <w:spacing w:after="0" w:line="57" w:lineRule="exact"/>
        <w:rPr>
          <w:rFonts w:ascii="Arial" w:cs="Arial" w:eastAsia="Arial" w:hAnsi="Arial"/>
          <w:sz w:val="17"/>
          <w:szCs w:val="17"/>
          <w:color w:val="auto"/>
        </w:rPr>
      </w:pPr>
    </w:p>
    <w:p>
      <w:pPr>
        <w:ind w:right="660" w:firstLine="987"/>
        <w:spacing w:after="0" w:line="277" w:lineRule="auto"/>
        <w:tabs>
          <w:tab w:leader="none" w:pos="123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loans and advances to employees of the Borrower and its Restricted Subsidiaries made in the ordinary course of business in an aggregate principal amount not to exceed $10,000,000;</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Investments described in </w:t>
      </w:r>
      <w:r>
        <w:rPr>
          <w:rFonts w:ascii="Arial" w:cs="Arial" w:eastAsia="Arial" w:hAnsi="Arial"/>
          <w:sz w:val="18"/>
          <w:szCs w:val="18"/>
          <w:u w:val="single" w:color="auto"/>
          <w:color w:val="auto"/>
        </w:rPr>
        <w:t>Schedule 6.7</w:t>
      </w:r>
      <w:r>
        <w:rPr>
          <w:rFonts w:ascii="Arial" w:cs="Arial" w:eastAsia="Arial" w:hAnsi="Arial"/>
          <w:sz w:val="18"/>
          <w:szCs w:val="18"/>
          <w:color w:val="auto"/>
        </w:rPr>
        <w:t xml:space="preserve"> to the Disclosure Letter;</w:t>
      </w:r>
    </w:p>
    <w:p>
      <w:pPr>
        <w:spacing w:after="0" w:line="117" w:lineRule="exact"/>
        <w:rPr>
          <w:rFonts w:ascii="Arial" w:cs="Arial" w:eastAsia="Arial" w:hAnsi="Arial"/>
          <w:sz w:val="18"/>
          <w:szCs w:val="18"/>
          <w:color w:val="auto"/>
        </w:rPr>
      </w:pPr>
    </w:p>
    <w:p>
      <w:pPr>
        <w:ind w:right="540" w:firstLine="987"/>
        <w:spacing w:after="0" w:line="277" w:lineRule="auto"/>
        <w:tabs>
          <w:tab w:leader="none" w:pos="124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Swap Agreements (including the purchase of any Permitted Call Spread Transaction by the Borrower and the performance of its obligations thereunder) which constitute Investments;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trade receivables in the ordinary course of business;</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guarantees to insurers required in connection with worker’s compensation and other insurance coverage arranged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102" w:lineRule="exact"/>
        <w:rPr>
          <w:rFonts w:ascii="Arial" w:cs="Arial" w:eastAsia="Arial" w:hAnsi="Arial"/>
          <w:sz w:val="16"/>
          <w:szCs w:val="16"/>
          <w:color w:val="auto"/>
        </w:rPr>
      </w:pPr>
    </w:p>
    <w:p>
      <w:pPr>
        <w:ind w:firstLine="987"/>
        <w:spacing w:after="0" w:line="342" w:lineRule="auto"/>
        <w:tabs>
          <w:tab w:leader="none" w:pos="1206" w:val="left"/>
        </w:tabs>
        <w:numPr>
          <w:ilvl w:val="0"/>
          <w:numId w:val="576"/>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suppliers and customers and in good faith settlement of delinquent obligations of, and other disputes with, customers and suppliers arising in the ordinary course of business;</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intercompany Investments by any Foreign Subsidiary in any other Foreign Subsidiary;</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117" w:lineRule="exact"/>
        <w:rPr>
          <w:rFonts w:ascii="Arial" w:cs="Arial" w:eastAsia="Arial" w:hAnsi="Arial"/>
          <w:sz w:val="18"/>
          <w:szCs w:val="18"/>
          <w:color w:val="auto"/>
        </w:rPr>
      </w:pPr>
    </w:p>
    <w:p>
      <w:pPr>
        <w:ind w:right="240" w:firstLine="987"/>
        <w:spacing w:after="0" w:line="277" w:lineRule="auto"/>
        <w:tabs>
          <w:tab w:leader="none" w:pos="129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Investments of any Person in existence at the time such Person becomes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Investment was not made in connection with or anticipation of such Person becoming a Restricted Subsidiary;</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Investments in the form of non-cash consideration received in connection with Permitted IP Transfers;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Investments consisting of (i) the Guaranteed Obligations and (ii) any Guarantee of obligations permitted by Section 6.1;</w:t>
      </w:r>
    </w:p>
    <w:p>
      <w:pPr>
        <w:spacing w:after="0" w:line="117"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other Investments not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Investments shall not exceed, at the time any such Investment is made, 15% of the Borrower’s Consolidated Total Assets at such time;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Investments in accordance with the Dropbox Investment Policy as approved from time to time by the Board of Directors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470" w:name="page471"/>
    <w:bookmarkEnd w:id="470"/>
    <w:p>
      <w:pPr>
        <w:ind w:right="1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covenant compliance with this </w:t>
      </w:r>
      <w:r>
        <w:rPr>
          <w:rFonts w:ascii="Arial" w:cs="Arial" w:eastAsia="Arial" w:hAnsi="Arial"/>
          <w:sz w:val="18"/>
          <w:szCs w:val="18"/>
          <w:u w:val="single" w:color="auto"/>
          <w:color w:val="auto"/>
        </w:rPr>
        <w:t>Section 6.7</w:t>
      </w:r>
      <w:r>
        <w:rPr>
          <w:rFonts w:ascii="Arial" w:cs="Arial" w:eastAsia="Arial" w:hAnsi="Arial"/>
          <w:sz w:val="18"/>
          <w:szCs w:val="18"/>
          <w:color w:val="auto"/>
        </w:rPr>
        <w:t>,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Notwithstanding anything herein to the contrary, no Loan Party shall, nor shall it permit any of its Restricted Subsidiaries to, (i) allow or cause any U.S. Subsidiary (other than a CFC Holdco) to be a subsidiary of a Foreign Subsidiary (other than any such U.S. Subsidiary that is an existing subsidiary of an acquired Foreign Subsidiary at the time of the Acquisition), (ii) sell, lease (as lessor or sublessor), enter into a sale and leaseback arrangement, exclusively license (as licensor or sublicensor), exchange, transfer or otherwise dispose of any Material IP to any Person other than a Loan Party, except pursuant to a Permitted IP Transfer.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GUARANTY</w:t>
      </w:r>
    </w:p>
    <w:p>
      <w:pPr>
        <w:spacing w:after="0" w:line="225"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Guaranty of the Obligations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7.11</w:t>
      </w:r>
      <w:r>
        <w:rPr>
          <w:rFonts w:ascii="Arial" w:cs="Arial" w:eastAsia="Arial" w:hAnsi="Arial"/>
          <w:sz w:val="17"/>
          <w:szCs w:val="17"/>
          <w:color w:val="auto"/>
        </w:rPr>
        <w:t>, the Guarantors jointly and severally hereby irrevocably and unconditionally guaranty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Guaranteed Obligations of the Borrower in its capacity as a Guarantor shall exclude any Direct Borrower Obligations.</w:t>
      </w:r>
    </w:p>
    <w:p>
      <w:pPr>
        <w:spacing w:after="0" w:line="176"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Payment by Guarantors</w:t>
      </w:r>
      <w:r>
        <w:rPr>
          <w:rFonts w:ascii="Arial" w:cs="Arial" w:eastAsia="Arial" w:hAnsi="Arial"/>
          <w:sz w:val="16"/>
          <w:szCs w:val="16"/>
          <w:color w:val="auto"/>
        </w:rPr>
        <w:t>. The Guarantors hereby jointly and severally agree, in furtherance of the foregoing and not in limitation of any other right which any Beneficiary may have at law or in equity against any Guarantor by virtue hereof, that upon the failure of the Borrower or any other Person to pay any of the Guaranteed Obligations when and as the same shall become due, whether at stated maturity, by required prepayment, declaration, acceleration, demand or otherwise, Guarantors will upon demand pay, or cause to be paid, in cash, to the Administrative Agent for the ratable benefit of the Beneficiaries,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to the Beneficiaries as aforesaid.</w:t>
      </w:r>
    </w:p>
    <w:p>
      <w:pPr>
        <w:spacing w:after="0" w:line="16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Liability of Guarantors Absolute</w:t>
      </w:r>
      <w:r>
        <w:rPr>
          <w:rFonts w:ascii="Arial" w:cs="Arial" w:eastAsia="Arial" w:hAnsi="Arial"/>
          <w:sz w:val="18"/>
          <w:szCs w:val="18"/>
          <w:color w:val="auto"/>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60"/>
          </w:cols>
          <w:pgMar w:left="440" w:top="274" w:right="499" w:bottom="1440" w:gutter="0" w:footer="0" w:header="0"/>
        </w:sectPr>
      </w:pPr>
    </w:p>
    <w:bookmarkStart w:id="471" w:name="page472"/>
    <w:bookmarkEnd w:id="471"/>
    <w:p>
      <w:pPr>
        <w:ind w:left="-20" w:right="100" w:firstLine="987"/>
        <w:spacing w:after="0" w:line="277" w:lineRule="auto"/>
        <w:tabs>
          <w:tab w:leader="none" w:pos="1216" w:val="left"/>
        </w:tabs>
        <w:numPr>
          <w:ilvl w:val="0"/>
          <w:numId w:val="5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Guaranty is a guaranty of payment when due and not of collectability and this Guaranty is a primary obligation of each Guarantor and not merely a contract of surety;</w:t>
      </w:r>
    </w:p>
    <w:p>
      <w:pPr>
        <w:spacing w:after="0" w:line="62" w:lineRule="exact"/>
        <w:rPr>
          <w:rFonts w:ascii="Arial" w:cs="Arial" w:eastAsia="Arial" w:hAnsi="Arial"/>
          <w:sz w:val="18"/>
          <w:szCs w:val="18"/>
          <w:color w:val="auto"/>
        </w:rPr>
      </w:pPr>
    </w:p>
    <w:p>
      <w:pPr>
        <w:ind w:left="-20" w:right="200" w:firstLine="987"/>
        <w:spacing w:after="0" w:line="277" w:lineRule="auto"/>
        <w:tabs>
          <w:tab w:leader="none" w:pos="122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Administrative Agent may enforce this Guaranty during the continuation of an Event of Default notwithstanding the existence of any dispute between the Borrower and any Beneficiary with respect to the existence of such Event of Default;</w:t>
      </w:r>
    </w:p>
    <w:p>
      <w:pPr>
        <w:spacing w:after="0" w:line="62" w:lineRule="exact"/>
        <w:rPr>
          <w:rFonts w:ascii="Arial" w:cs="Arial" w:eastAsia="Arial" w:hAnsi="Arial"/>
          <w:sz w:val="18"/>
          <w:szCs w:val="18"/>
          <w:color w:val="auto"/>
        </w:rPr>
      </w:pPr>
    </w:p>
    <w:p>
      <w:pPr>
        <w:ind w:left="-20" w:right="260" w:firstLine="987"/>
        <w:spacing w:after="0" w:line="279" w:lineRule="auto"/>
        <w:tabs>
          <w:tab w:leader="none" w:pos="1216" w:val="left"/>
        </w:tabs>
        <w:numPr>
          <w:ilvl w:val="0"/>
          <w:numId w:val="577"/>
        </w:numPr>
        <w:rPr>
          <w:rFonts w:ascii="Arial" w:cs="Arial" w:eastAsia="Arial" w:hAnsi="Arial"/>
          <w:sz w:val="17"/>
          <w:szCs w:val="17"/>
          <w:color w:val="auto"/>
        </w:rPr>
      </w:pPr>
      <w:r>
        <w:rPr>
          <w:rFonts w:ascii="Arial" w:cs="Arial" w:eastAsia="Arial" w:hAnsi="Arial"/>
          <w:sz w:val="17"/>
          <w:szCs w:val="17"/>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any such other guarantor or any other Person and whether or not the Borrower, any such other guarantor or any other Person is joined in any such action or actions;</w:t>
      </w:r>
    </w:p>
    <w:p>
      <w:pPr>
        <w:spacing w:after="0" w:line="63" w:lineRule="exact"/>
        <w:rPr>
          <w:rFonts w:ascii="Arial" w:cs="Arial" w:eastAsia="Arial" w:hAnsi="Arial"/>
          <w:sz w:val="17"/>
          <w:szCs w:val="17"/>
          <w:color w:val="auto"/>
        </w:rPr>
      </w:pPr>
    </w:p>
    <w:p>
      <w:pPr>
        <w:ind w:left="-20" w:firstLine="987"/>
        <w:spacing w:after="0" w:line="255" w:lineRule="auto"/>
        <w:tabs>
          <w:tab w:leader="none" w:pos="122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84" w:lineRule="exact"/>
        <w:rPr>
          <w:rFonts w:ascii="Arial" w:cs="Arial" w:eastAsia="Arial" w:hAnsi="Arial"/>
          <w:sz w:val="18"/>
          <w:szCs w:val="18"/>
          <w:color w:val="auto"/>
        </w:rPr>
      </w:pPr>
    </w:p>
    <w:p>
      <w:pPr>
        <w:ind w:left="-20" w:right="40" w:firstLine="987"/>
        <w:spacing w:after="0" w:line="268" w:lineRule="auto"/>
        <w:tabs>
          <w:tab w:leader="none" w:pos="1216" w:val="left"/>
        </w:tabs>
        <w:numPr>
          <w:ilvl w:val="0"/>
          <w:numId w:val="577"/>
        </w:numPr>
        <w:rPr>
          <w:rFonts w:ascii="Arial" w:cs="Arial" w:eastAsia="Arial" w:hAnsi="Arial"/>
          <w:sz w:val="17"/>
          <w:szCs w:val="17"/>
          <w:color w:val="auto"/>
        </w:rPr>
      </w:pPr>
      <w:r>
        <w:rPr>
          <w:rFonts w:ascii="Arial" w:cs="Arial" w:eastAsia="Arial" w:hAnsi="Arial"/>
          <w:sz w:val="17"/>
          <w:szCs w:val="17"/>
          <w:color w:val="auto"/>
        </w:rPr>
        <w:t>any Beneficiary, upon such terms as it deems appropriate under the relevant Loan Document, Secured Swap Agreement or Secured Cash Management Services Agreement,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or any applicable Secured Swap Agreement or Secured Cash Management Services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60"/>
          </w:cols>
          <w:pgMar w:left="460" w:top="274" w:right="479" w:bottom="1440" w:gutter="0" w:footer="0" w:header="0"/>
        </w:sectPr>
      </w:pPr>
    </w:p>
    <w:bookmarkStart w:id="472" w:name="page473"/>
    <w:bookmarkEnd w:id="472"/>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reimbursement or subrogation or other right or remedy of any Guarantor against any other Loan Party or any security for the Guaranteed Obligations; and (vi) exercise any other rights available to it under the Loan Documents or any Secured Swap Agreement or Secured Cash Management Services Agreement; and</w:t>
      </w:r>
    </w:p>
    <w:p>
      <w:pPr>
        <w:spacing w:after="0" w:line="76" w:lineRule="exact"/>
        <w:rPr>
          <w:sz w:val="20"/>
          <w:szCs w:val="20"/>
          <w:color w:val="auto"/>
        </w:rPr>
      </w:pPr>
    </w:p>
    <w:p>
      <w:pPr>
        <w:ind w:firstLine="987"/>
        <w:spacing w:after="0" w:line="284" w:lineRule="auto"/>
        <w:tabs>
          <w:tab w:leader="none" w:pos="1216" w:val="left"/>
        </w:tabs>
        <w:numPr>
          <w:ilvl w:val="0"/>
          <w:numId w:val="578"/>
        </w:numPr>
        <w:rPr>
          <w:rFonts w:ascii="Arial" w:cs="Arial" w:eastAsia="Arial" w:hAnsi="Arial"/>
          <w:sz w:val="16"/>
          <w:szCs w:val="16"/>
          <w:color w:val="auto"/>
        </w:rPr>
      </w:pPr>
      <w:r>
        <w:rPr>
          <w:rFonts w:ascii="Arial" w:cs="Arial" w:eastAsia="Arial" w:hAnsi="Arial"/>
          <w:sz w:val="16"/>
          <w:szCs w:val="16"/>
          <w:color w:val="auto"/>
        </w:rPr>
        <w:t>this Guaranty and the obligations of the Guarantors hereunder shall be valid and enforceable and shall not be subject to any reduction, limitation, impairment, discharge or termination for any reason (other than payment in full of the Guaranteed Obligations (other than contingent indemnification obligations for which no claim has been made and Obligations in respect of Secured Swap Agreements or Secured Cash Management Services) and the cancellation or expiration or cash collateralization of all Letters of Credit in an amount equal to 103% of Letter of Credit Usage at such time on terms satisfactory to the applicable Issuing Banks),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any Secured Swap Agreements, any Secured Cash Management Services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any Secured Swap Agreements, any Secured Cash Management Services Agreements or any agreement or instrument executed pursuant thereto, or of any other guaranty or security for the Guaranteed Obligations, in each case whether or not in accordance with the terms hereof or such Loan Document, such Secured Swap Agreement, such Secured Cash Management Services Agreement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any Secured Swap Agreements or any Secured Cash Management Services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the change, reorganization or termination of the corporate structure or existence of the Borrower or any of its Restricted Subsidiaries and to any corresponding restructuring of the Guaranteed Obligations, whether or not consented to by any Beneficiary; (vi) any failure to perfect or continue perfection of a security interest in any collateral which secures any of the Guaranteed Obligations; (vii) any defenses, set offs or counterclaims which the Borrower or any other Person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473" w:name="page474"/>
    <w:bookmarkEnd w:id="473"/>
    <w:p>
      <w:pPr>
        <w:ind w:left="4"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Anything contained in this Agreement to the contrary notwithstanding, the obligations of each Guarantor in respect of its Guaranty shall be limited to an aggregate amount equal to the largest amount that would not render its obligations under this Agreement subject to avoidance as a fraudulent transfer or conveyance under Section 548 of the Bankruptcy Code of the United States or any comparable provisions of any similar federal or state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limitation shall not apply to the Borrower with respect to its Direct Borrower Obligations.</w:t>
      </w:r>
    </w:p>
    <w:p>
      <w:pPr>
        <w:spacing w:after="0" w:line="157"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Waivers by Guarantors</w:t>
      </w:r>
      <w:r>
        <w:rPr>
          <w:rFonts w:ascii="Arial" w:cs="Arial" w:eastAsia="Arial" w:hAnsi="Arial"/>
          <w:sz w:val="16"/>
          <w:szCs w:val="16"/>
          <w:color w:val="auto"/>
        </w:rPr>
        <w:t>. Each Guarantor hereby waives, for the benefit of the Beneficiaries: (a) any right to require any Beneficiary, as a condition of payment or performance by such Guarantor, to (1) proceed against the Borrower, any other guarantor (including any other Guarantor) of the Guaranteed Obligations or any other Person, (2) proceed against or exhaust any security held from the Borrower, any such other guarantor or any other Person, (3) proceed against or have resort to any balance of any deposit account or credit on the books of any Beneficiary in favor of any Loan Party or any other Person, or (4) pursue any other remedy in the power of any Beneficiary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gross negligence or willful misconduct;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w:t>
      </w:r>
    </w:p>
    <w:p>
      <w:pPr>
        <w:spacing w:after="0" w:line="2" w:lineRule="exact"/>
        <w:rPr>
          <w:sz w:val="20"/>
          <w:szCs w:val="20"/>
          <w:color w:val="auto"/>
        </w:rPr>
      </w:pPr>
    </w:p>
    <w:p>
      <w:pPr>
        <w:ind w:left="4" w:right="20" w:hanging="4"/>
        <w:spacing w:after="0" w:line="288" w:lineRule="auto"/>
        <w:tabs>
          <w:tab w:leader="none" w:pos="309" w:val="left"/>
        </w:tabs>
        <w:numPr>
          <w:ilvl w:val="0"/>
          <w:numId w:val="579"/>
        </w:numPr>
        <w:rPr>
          <w:rFonts w:ascii="Arial" w:cs="Arial" w:eastAsia="Arial" w:hAnsi="Arial"/>
          <w:sz w:val="16"/>
          <w:szCs w:val="16"/>
          <w:color w:val="auto"/>
        </w:rPr>
      </w:pPr>
      <w:r>
        <w:rPr>
          <w:rFonts w:ascii="Arial" w:cs="Arial" w:eastAsia="Arial" w:hAnsi="Arial"/>
          <w:sz w:val="16"/>
          <w:szCs w:val="16"/>
          <w:color w:val="auto"/>
        </w:rPr>
        <w:t xml:space="preserve">promptness, diligence and any requirement that any Beneficiary protect, secure, perfect or insure any security interest or lien or any property subject thereto, and (v) notices, demands, presentments, protests, notices of protest, notices of dishonor and notices of any action or inaction, including acceptance hereof, notices of default hereunder, the Secured Swap Agreements, the Secured Cash Management Services Agreements or any agreement or instrument related thereto, notices of any renewal, extension or modification of the Guaranteed Obligations or any agreement related thereto, notices of any extension of credit to the Borrower and notices of any of the matters referred to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any right to consent to any thereof; and (f) any defenses or benefits that may be derived from or afforded by law which limit the liability of or exonerate guarantors or sureties, or which may conflict with the terms hereof, in each case other than the indefeasible payment in full of the Guaranteed Obligations.</w:t>
      </w:r>
    </w:p>
    <w:p>
      <w:pPr>
        <w:spacing w:after="0" w:line="168" w:lineRule="exact"/>
        <w:rPr>
          <w:sz w:val="20"/>
          <w:szCs w:val="20"/>
          <w:color w:val="auto"/>
        </w:rPr>
      </w:pPr>
    </w:p>
    <w:p>
      <w:pPr>
        <w:ind w:left="4" w:right="20" w:firstLine="991"/>
        <w:spacing w:after="0" w:line="279"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Guarantors’ Rights of Subrogation, Contribution, Etc</w:t>
      </w:r>
      <w:r>
        <w:rPr>
          <w:rFonts w:ascii="Arial" w:cs="Arial" w:eastAsia="Arial" w:hAnsi="Arial"/>
          <w:sz w:val="17"/>
          <w:szCs w:val="17"/>
          <w:color w:val="auto"/>
        </w:rPr>
        <w:t>. Until the Guaranteed Obligations shall have been paid in full (other than contingent indemnification obligations for which no claim has been made and Obligations under or in respect of Secured Swap Agreements or Secured Cash Management Services) and the Commitments shall have terminated, each Guarantor hereby waives any claim, right or remedy, direct or indirect, that such Guarantor now has or may hereafter have against the Borrower or any other Guarantor or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474" w:name="page475"/>
    <w:bookmarkEnd w:id="47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 its assets in connection with this Guaranty or the performance by such Guarantor of its obligations hereunder, in each case whether such claim, right or remedy arises in equity, under contract, by statute, under common law or otherwise and including, (i) any right of subrogation, reimbursement or indemnification that such Guarantor now has or may hereafter have against the Borrower with respect to the Guaranteed Obligations, (ii) any right to enforce, or to participate in, any claim, right or remedy that any Beneficiary now has or may hereafter have against the Borrower, and (iii) any benefit of, and any right to participate in, any collateral or security now or hereafter held by any Beneficiary. In addition, until the Guaranteed Obligations shall have been paid in full (other than contingent indemnification obligations for which no claim has been made and Obligations under or in respect of Secured Swap Agreements or Secured Cash Management Services) and all Letters of Credit shall have expired or been cancelled or cash collateralized in an amount equal to 103% of Letter of Credit Usage at such time on terms satisfactory to the applicable Issuing Banks) and the Commitments shall have terminated, each Guarantor shall withhold exercise of any right of contribution such Guarantor may have against any other guarantor (including any other Guarantor) of the Guaranteed Obligations.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Beneficiary may have against the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(other than contingent indemnification obligations for which no claim has been made and Obligations under or in respect of Secured Swap Agreements or Secured Cash Management Services) shall not have been paid in full, such amount shall be held in trust for the Administrative Agent on behalf of the Beneficiaries and shall forthwith be paid over to the Administrative Agent for the benefit of the Beneficiaries to be credited and applied against the Guaranteed Obligations, whether matured or unmatured, in accordance with the terms hereof. Notwithstanding the foregoing, to the extent that any Guarantor’s right to indemnification or contribution arises from a payment or sale of Collateral made to satisfy Obligations constituting Swap Obligations, only those Loan Parties for whom such Swap Obligations do not constitute Excluded Swap Obligations shall indemnify and/or contribute to such Guarantor with respect to such Swap Obligations and the amount of any indemnity or contribution shall be adjusted accordingly.</w:t>
      </w:r>
    </w:p>
    <w:p>
      <w:pPr>
        <w:spacing w:after="0" w:line="17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Subrogation of Other Obligations</w:t>
      </w:r>
      <w:r>
        <w:rPr>
          <w:rFonts w:ascii="Arial" w:cs="Arial" w:eastAsia="Arial" w:hAnsi="Arial"/>
          <w:sz w:val="18"/>
          <w:szCs w:val="18"/>
          <w:color w:val="auto"/>
        </w:rPr>
        <w:t>. Any Indebtedness of the Borrower or any Guarantor now or hereafter held by any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on behalf of the Beneficiaries and shall forthwith be paid over to the Administrative Agent for the benefit of the Beneficiaries to be credited and applied against the Guaranteed Obligations but without affecting, impairing or limiting in any manner the liability of the Obligee Guarantor under any other provision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475" w:name="page476"/>
    <w:bookmarkEnd w:id="475"/>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7.7 </w:t>
      </w:r>
      <w:r>
        <w:rPr>
          <w:rFonts w:ascii="Arial" w:cs="Arial" w:eastAsia="Arial" w:hAnsi="Arial"/>
          <w:sz w:val="16"/>
          <w:szCs w:val="16"/>
          <w:u w:val="single" w:color="auto"/>
          <w:color w:val="auto"/>
        </w:rPr>
        <w:t>Continuing Guaranty</w:t>
      </w:r>
      <w:r>
        <w:rPr>
          <w:rFonts w:ascii="Arial" w:cs="Arial" w:eastAsia="Arial" w:hAnsi="Arial"/>
          <w:sz w:val="16"/>
          <w:szCs w:val="16"/>
          <w:color w:val="auto"/>
        </w:rPr>
        <w:t>. This Guaranty is a continuing guaranty and shall remain in effect until all of the Guaranteed Obligations (other than contingent indemnification obligations for which no claim has been made and Obligations under or in respect of Secured Swap Agreements or Cash Management Services) shall have been paid in full and the Commitments shall have terminated and all Letters of Credit shall have expired or been cancelled or cash collateralized in an amount equal to 103% of Letter of Credit Usage at such time on terms satisfactory to the applicable Issuing Banks. Each Guarantor hereby irrevocably waives any right to revoke this Guaranty as to future transactions giving rise to any Guaranteed Obligations.</w:t>
      </w:r>
    </w:p>
    <w:p>
      <w:pPr>
        <w:spacing w:after="0" w:line="161"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Authority of Guarantors or the Borrower</w:t>
      </w:r>
      <w:r>
        <w:rPr>
          <w:rFonts w:ascii="Arial" w:cs="Arial" w:eastAsia="Arial" w:hAnsi="Arial"/>
          <w:sz w:val="18"/>
          <w:szCs w:val="18"/>
          <w:color w:val="auto"/>
        </w:rPr>
        <w:t>. It is not necessary for any Beneficiary to inquire into the capacity or powers of any Guarantor or the Borrower or the officers, directors or any agents acting or purporting to act on behalf of any of them.</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Financial Condition of the Borrower</w:t>
      </w:r>
      <w:r>
        <w:rPr>
          <w:rFonts w:ascii="Arial" w:cs="Arial" w:eastAsia="Arial" w:hAnsi="Arial"/>
          <w:sz w:val="17"/>
          <w:szCs w:val="17"/>
          <w:color w:val="auto"/>
        </w:rPr>
        <w:t>. Any Loan may be made to the Borrower or continued from time to time and any Secured Swap Agreement or Secured Cash Management Services Agreement may be entered into from time to time, in each case without notice to or authorization from any Guarantor regardless of the financial or other condition of the Borrower or any other Loan Party at the time of any such grant or continuation or at the time such Secured Swap Agreement or Secured Cash Management Services Agreement is entered into, as the case may be. No Beneficiary shall have any obligation to disclose or discuss with any Guarantor its assessment, or any Guarantor’s assessment, of the financial condition of the Borrower or any other Loan Party. Each Guarantor has adequate means to obtain information from the Borrower and the other Loan Parties on a continuing basis concerning the financial condition of the Borrower and the other Loan Parties and their respective ability to perform their obligations under the Loan Documents and the Secured Swap Agreements and Secured Cash Management Services Agreements, and each Guarantor assumes the responsibility for being and keeping informed of the financial condition of the Borrower and each other Loan Party and of all circumstances bearing upon the risk of nonpayment of the Guaranteed Obligations. Each Guarantor hereby waives and relinquishes any duty on the part of any Beneficiary to disclose any matter, fact or thing relating to the business, operations or conditions of the Borrower or any other Loan Party now known or hereafter known by any Beneficiary.</w:t>
      </w:r>
    </w:p>
    <w:p>
      <w:pPr>
        <w:spacing w:after="0" w:line="17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Bankruptcy, Etc</w:t>
      </w:r>
      <w:r>
        <w:rPr>
          <w:rFonts w:ascii="Arial" w:cs="Arial" w:eastAsia="Arial" w:hAnsi="Arial"/>
          <w:sz w:val="18"/>
          <w:szCs w:val="18"/>
          <w:color w:val="auto"/>
        </w:rPr>
        <w:t>. (a) So long as any Guaranteed Obligations remain outstanding, no Guarantor shall, without the prior written consent of the Administrative Agent acting pursuant to the instructions of Required Lenders, commence or join with any other Person in commencing any bankruptcy, reorganization or insolvency case or proceeding of or against the Borrower or any other Loan Party. The obligations of the Guarantors hereunder shall not be reduced, limited, impaired, discharged, deferred, suspended or terminated by any case or proceeding, voluntary or involuntary, involving the bankruptcy, insolvency, receivership, reorganization, liquidation or arrangement of the Borrower or any other Loan Party or by any defense which the Borrower or any other Loan Party may have by reason of the order, decree or decision of any court or administrative body resulting from any such proceeding.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60"/>
          </w:cols>
          <w:pgMar w:left="440" w:top="274" w:right="499" w:bottom="1440" w:gutter="0" w:footer="0" w:header="0"/>
        </w:sectPr>
      </w:pPr>
    </w:p>
    <w:bookmarkStart w:id="476" w:name="page477"/>
    <w:bookmarkEnd w:id="476"/>
    <w:p>
      <w:pPr>
        <w:ind w:firstLine="987"/>
        <w:spacing w:after="0" w:line="253" w:lineRule="auto"/>
        <w:tabs>
          <w:tab w:leader="none" w:pos="1246" w:val="left"/>
        </w:tabs>
        <w:numPr>
          <w:ilvl w:val="0"/>
          <w:numId w:val="5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Beneficiaries that the Guaranteed Obligations which are guaranteed by Guarantors pursuant hereto should be determined without regard to any rule of law or order which may relieve the Borrower or any other Loan Party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88" w:lineRule="exact"/>
        <w:rPr>
          <w:rFonts w:ascii="Arial" w:cs="Arial" w:eastAsia="Arial" w:hAnsi="Arial"/>
          <w:sz w:val="18"/>
          <w:szCs w:val="18"/>
          <w:color w:val="auto"/>
        </w:rPr>
      </w:pPr>
    </w:p>
    <w:p>
      <w:pPr>
        <w:ind w:right="440" w:firstLine="987"/>
        <w:spacing w:after="0" w:line="279" w:lineRule="auto"/>
        <w:tabs>
          <w:tab w:leader="none" w:pos="1236" w:val="left"/>
        </w:tabs>
        <w:numPr>
          <w:ilvl w:val="0"/>
          <w:numId w:val="580"/>
        </w:numPr>
        <w:rPr>
          <w:rFonts w:ascii="Arial" w:cs="Arial" w:eastAsia="Arial" w:hAnsi="Arial"/>
          <w:sz w:val="17"/>
          <w:szCs w:val="17"/>
          <w:color w:val="auto"/>
        </w:rPr>
      </w:pPr>
      <w:r>
        <w:rPr>
          <w:rFonts w:ascii="Arial" w:cs="Arial" w:eastAsia="Arial" w:hAnsi="Arial"/>
          <w:sz w:val="17"/>
          <w:szCs w:val="17"/>
          <w:color w:val="auto"/>
        </w:rPr>
        <w:t>In the event that all or any portion of the Guaranteed Obligations are paid by the Borrower or any Subsidiary,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71"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Excluded Swap Obligations</w:t>
      </w:r>
      <w:r>
        <w:rPr>
          <w:rFonts w:ascii="Arial" w:cs="Arial" w:eastAsia="Arial" w:hAnsi="Arial"/>
          <w:sz w:val="17"/>
          <w:szCs w:val="17"/>
          <w:color w:val="auto"/>
        </w:rPr>
        <w:t>. (a) Notwithstanding any provision of this Agreement or any other Loan Document, no Guaranty by any Guarantor under any Loan Document shall include a guaranty of any Obligation and no Guaranteed Obligations shall include any Obligation that, as to such Guarantor, is an Excluded Swap Obligation, and no Collateral provided by any Guarantor shall secure any Obligation and no Secured Obligations shall include any Obligation that, as to such Guarantor, is an Excluded Swap Obligation. In the event that any payment is made pursuant to any Guaranty by any Guarantor, or any amount is realized from Collateral of any Guarantor, as to which any Guaranteed Obligations or Secured Obligations, as applicable, are Excluded Swap Obligations, such payment or amount shall be applied to pay the Guaranteed Obligations or Secured Obligations, as applicable, of such Guarantor as otherwise provided herein and in the other Loan Documents without giving effect to such Excluded Swap Obligations, with payments from Guarantors of all Obligations, on the one hand, and Guarantors who cannot guarantee Excluded Swap Obligations, on the other hand, being distributed in such manner (but without applying payments from Guarantors who cannot guarantee Excluded Swap Obligations to such obligations) so as to ensure, as nearly as practicable, the distribution of payments as required by the Loan Documents. Each reference in this Agreement or any other Loan Document to the ratable application of such amounts as among the Guaranteed Obligations, the Secured Obligations or the Obligations or any specified portion thereof that would otherwise include such Excluded Swap Obligations shall be deemed so to provide.</w:t>
      </w:r>
    </w:p>
    <w:p>
      <w:pPr>
        <w:spacing w:after="0" w:line="78" w:lineRule="exact"/>
        <w:rPr>
          <w:sz w:val="20"/>
          <w:szCs w:val="20"/>
          <w:color w:val="auto"/>
        </w:rPr>
      </w:pPr>
    </w:p>
    <w:p>
      <w:pPr>
        <w:ind w:firstLine="987"/>
        <w:spacing w:after="0" w:line="257" w:lineRule="auto"/>
        <w:tabs>
          <w:tab w:leader="none" w:pos="1246"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Each Qualified ECP Guarantor hereby jointly and severally absolutely, unconditionally and irrevocably undertakes to provide such funds or other support as may be needed from time to time to enable each other Loan Party to honor all of its obligations under the Loan Documents in respect of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Qualified ECP Guarantor shall only be liable under this Section for the maximum amount of such liability that can be hereby incurred by such Qualified ECP Guarantor without rendering its obligations under this Section or otherwise its Guaranty voidable under applicable law relating to fraudulent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3" w:right="459" w:bottom="1440" w:gutter="0" w:footer="0" w:header="0"/>
        </w:sectPr>
      </w:pPr>
    </w:p>
    <w:bookmarkStart w:id="477" w:name="page478"/>
    <w:bookmarkEnd w:id="47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conveyance or fraudulent transfer and not for any greater amount. The obligations of each Qualified ECP Guarantor under this Section shall remain in full force and effect until its Guaranty is released. Each Qualified ECP Guarantor intends that this Section shall constitute, and this Section shall be deemed to constitute, a “keepwell, support, or other agreement” for the benefit of each other Loan Party for all purposes of Section 1a(18)(A)(v)(II) of the Commodity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right="240" w:firstLine="987"/>
        <w:spacing w:after="0" w:line="263" w:lineRule="auto"/>
        <w:tabs>
          <w:tab w:leader="none" w:pos="123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Loan when and as the same shall become due and payable or any amount due and payable to any Issuing Bank in reimbursement of any drawing under any Letter of Credit, whether at the due date thereof or at a date fixed for prepayment thereof or otherwise;</w:t>
      </w:r>
    </w:p>
    <w:p>
      <w:pPr>
        <w:spacing w:after="0" w:line="75" w:lineRule="exact"/>
        <w:rPr>
          <w:rFonts w:ascii="Arial" w:cs="Arial" w:eastAsia="Arial" w:hAnsi="Arial"/>
          <w:sz w:val="18"/>
          <w:szCs w:val="18"/>
          <w:color w:val="auto"/>
        </w:rPr>
      </w:pPr>
    </w:p>
    <w:p>
      <w:pPr>
        <w:jc w:val="both"/>
        <w:ind w:firstLine="987"/>
        <w:spacing w:after="0" w:line="263" w:lineRule="auto"/>
        <w:tabs>
          <w:tab w:leader="none" w:pos="124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 clause (a) of this Article) payable under any of the Loan Documents, when and as the same shall become due and payable, and such failure shall continue unremedied for a period of five Business Days;</w:t>
      </w:r>
    </w:p>
    <w:p>
      <w:pPr>
        <w:spacing w:after="0" w:line="75" w:lineRule="exact"/>
        <w:rPr>
          <w:rFonts w:ascii="Arial" w:cs="Arial" w:eastAsia="Arial" w:hAnsi="Arial"/>
          <w:sz w:val="18"/>
          <w:szCs w:val="18"/>
          <w:color w:val="auto"/>
        </w:rPr>
      </w:pPr>
    </w:p>
    <w:p>
      <w:pPr>
        <w:ind w:firstLine="987"/>
        <w:spacing w:after="0" w:line="255" w:lineRule="auto"/>
        <w:tabs>
          <w:tab w:leader="none" w:pos="123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 (other than to the extent qualified by materiality or “Material Adverse Effect”, in which case, such representation or warranty shall prove to have been incorrect in any respect);</w:t>
      </w:r>
    </w:p>
    <w:p>
      <w:pPr>
        <w:spacing w:after="0" w:line="84"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(solely with respect to such Loan Party’s existence),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right="180" w:firstLine="987"/>
        <w:spacing w:after="0" w:line="286" w:lineRule="auto"/>
        <w:tabs>
          <w:tab w:leader="none" w:pos="1236" w:val="left"/>
        </w:tabs>
        <w:numPr>
          <w:ilvl w:val="0"/>
          <w:numId w:val="582"/>
        </w:numPr>
        <w:rPr>
          <w:rFonts w:ascii="Arial" w:cs="Arial" w:eastAsia="Arial" w:hAnsi="Arial"/>
          <w:sz w:val="17"/>
          <w:szCs w:val="17"/>
          <w:color w:val="auto"/>
        </w:rPr>
      </w:pPr>
      <w:r>
        <w:rPr>
          <w:rFonts w:ascii="Arial" w:cs="Arial" w:eastAsia="Arial" w:hAnsi="Arial"/>
          <w:sz w:val="17"/>
          <w:szCs w:val="17"/>
          <w:color w:val="auto"/>
        </w:rPr>
        <w:t>any Loan Party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 (which notice will be given at the request of any Lender);</w:t>
      </w:r>
    </w:p>
    <w:p>
      <w:pPr>
        <w:spacing w:after="0" w:line="57" w:lineRule="exact"/>
        <w:rPr>
          <w:rFonts w:ascii="Arial" w:cs="Arial" w:eastAsia="Arial" w:hAnsi="Arial"/>
          <w:sz w:val="17"/>
          <w:szCs w:val="17"/>
          <w:color w:val="auto"/>
        </w:rPr>
      </w:pPr>
    </w:p>
    <w:p>
      <w:pPr>
        <w:ind w:right="40" w:firstLine="987"/>
        <w:spacing w:after="0" w:line="286" w:lineRule="auto"/>
        <w:tabs>
          <w:tab w:leader="none" w:pos="1216" w:val="left"/>
        </w:tabs>
        <w:numPr>
          <w:ilvl w:val="0"/>
          <w:numId w:val="582"/>
        </w:numPr>
        <w:rPr>
          <w:rFonts w:ascii="Arial" w:cs="Arial" w:eastAsia="Arial" w:hAnsi="Arial"/>
          <w:sz w:val="17"/>
          <w:szCs w:val="17"/>
          <w:color w:val="auto"/>
        </w:rPr>
      </w:pPr>
      <w:r>
        <w:rPr>
          <w:rFonts w:ascii="Arial" w:cs="Arial" w:eastAsia="Arial" w:hAnsi="Arial"/>
          <w:sz w:val="17"/>
          <w:szCs w:val="17"/>
          <w:color w:val="auto"/>
        </w:rPr>
        <w:t>the Borrower or any Restricted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grace period, if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3" w:right="459" w:bottom="1440" w:gutter="0" w:footer="0" w:header="0"/>
        </w:sectPr>
      </w:pPr>
    </w:p>
    <w:bookmarkStart w:id="478" w:name="page479"/>
    <w:bookmarkEnd w:id="478"/>
    <w:p>
      <w:pPr>
        <w:ind w:right="100" w:firstLine="987"/>
        <w:spacing w:after="0" w:line="254" w:lineRule="auto"/>
        <w:tabs>
          <w:tab w:leader="none" w:pos="1246" w:val="left"/>
        </w:tabs>
        <w:numPr>
          <w:ilvl w:val="0"/>
          <w:numId w:val="5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(g) shall not apply to (i) secured Indebtedness that becomes due as a result of the voluntary sale or transfer of the property or assets securing such Indebtedness or (ii) any repurchase, prepayment, defeasance, redemption, conversion or settlement with respect to any Permitted Convertible Indebtedness pursuant to its terms unless such repurchase, prepayment, defeasance, redemption, conversion or settlement results from a default thereunder, fundamental change (or equivalent term thereunder) or an event of the type that constitutes an Event of Default;</w:t>
      </w:r>
    </w:p>
    <w:p>
      <w:pPr>
        <w:spacing w:after="0" w:line="83" w:lineRule="exact"/>
        <w:rPr>
          <w:rFonts w:ascii="Arial" w:cs="Arial" w:eastAsia="Arial" w:hAnsi="Arial"/>
          <w:sz w:val="18"/>
          <w:szCs w:val="18"/>
          <w:color w:val="auto"/>
        </w:rPr>
      </w:pPr>
    </w:p>
    <w:p>
      <w:pPr>
        <w:ind w:right="20" w:firstLine="987"/>
        <w:spacing w:after="0" w:line="257" w:lineRule="auto"/>
        <w:tabs>
          <w:tab w:leader="none" w:pos="1246" w:val="left"/>
        </w:tabs>
        <w:numPr>
          <w:ilvl w:val="0"/>
          <w:numId w:val="583"/>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Restricted Subsidiary or its debts, or of a substantial part of its assets, under any Debtor Relief Law or (ii) the appointment of a receiver, trustee, custodian, sequestrator, conservator or similar official for the Borrower or any Restricted Subsidiary or for a substantial part of its assets, and, in any such case, such proceeding or petition shall continue undismissed for 60 days or an order or decree approving or ordering any of the foregoing shall be entered;</w:t>
      </w:r>
    </w:p>
    <w:p>
      <w:pPr>
        <w:spacing w:after="0" w:line="79" w:lineRule="exact"/>
        <w:rPr>
          <w:rFonts w:ascii="Arial" w:cs="Arial" w:eastAsia="Arial" w:hAnsi="Arial"/>
          <w:sz w:val="18"/>
          <w:szCs w:val="18"/>
          <w:color w:val="auto"/>
        </w:rPr>
      </w:pPr>
    </w:p>
    <w:p>
      <w:pPr>
        <w:ind w:right="40" w:firstLine="987"/>
        <w:spacing w:after="0" w:line="255" w:lineRule="auto"/>
        <w:tabs>
          <w:tab w:leader="none" w:pos="1206"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Borrower or any Restricted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84" w:lineRule="exact"/>
        <w:rPr>
          <w:rFonts w:ascii="Arial" w:cs="Arial" w:eastAsia="Arial" w:hAnsi="Arial"/>
          <w:sz w:val="18"/>
          <w:szCs w:val="18"/>
          <w:color w:val="auto"/>
        </w:rPr>
      </w:pPr>
    </w:p>
    <w:p>
      <w:pPr>
        <w:ind w:left="1200" w:hanging="213"/>
        <w:spacing w:after="0"/>
        <w:tabs>
          <w:tab w:leader="none" w:pos="120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Borrower or any Restricted Subsidiary shall become unable, admit in writing its inability or fail generally to pay its debts as they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become due;</w:t>
      </w:r>
    </w:p>
    <w:p>
      <w:pPr>
        <w:spacing w:after="0" w:line="102" w:lineRule="exact"/>
        <w:rPr>
          <w:rFonts w:ascii="Arial" w:cs="Arial" w:eastAsia="Arial" w:hAnsi="Arial"/>
          <w:sz w:val="17"/>
          <w:szCs w:val="17"/>
          <w:color w:val="auto"/>
        </w:rPr>
      </w:pPr>
    </w:p>
    <w:p>
      <w:pPr>
        <w:ind w:firstLine="987"/>
        <w:spacing w:after="0" w:line="289" w:lineRule="auto"/>
        <w:tabs>
          <w:tab w:leader="none" w:pos="1246" w:val="left"/>
        </w:tabs>
        <w:numPr>
          <w:ilvl w:val="0"/>
          <w:numId w:val="583"/>
        </w:numPr>
        <w:rPr>
          <w:rFonts w:ascii="Arial" w:cs="Arial" w:eastAsia="Arial" w:hAnsi="Arial"/>
          <w:sz w:val="16"/>
          <w:szCs w:val="16"/>
          <w:color w:val="auto"/>
        </w:rPr>
      </w:pPr>
      <w:r>
        <w:rPr>
          <w:rFonts w:ascii="Arial" w:cs="Arial" w:eastAsia="Arial" w:hAnsi="Arial"/>
          <w:sz w:val="16"/>
          <w:szCs w:val="16"/>
          <w:color w:val="auto"/>
        </w:rPr>
        <w:t>(i) one or more judgments for the payment of money in excess of $25,000,000 in the aggregate shall be rendered against the Borrower, any Restricted Subsidiary or any combination thereof (to the extent not paid or covered by a reputable and solvent independent third-party insurance company which has not disputed coverage) and the same shall remain undischarged for a period of 30 consecutive days during which execution shall not be effectively stayed (or an action of similar effect in any jurisdiction outside the U.S.), or any action shall be legally taken by a judgment creditor to attach or levy upon any assets of the Borrower or any Restricted Subsidiary to enforce any such judgment and such action shall not be stayed (or an action of similar effect in any jurisdiction outside the U.S.) or (ii) any non-monetary judgment, writ or warrant of attachment or similar process shall be entered or filed against the Borrower, any Restricted Subsidiary or any combination thereof or any of their respective assets and shall remain undischarged, unvacated, unbonded or unstayed (or an action of similar effect in any jurisdiction outside the U.S.) for a period of 30 consecutive days and such non-monetary judgment, writ, warrant of attachment or similar process would reasonably be expected to have a Material Adverse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3" w:right="459" w:bottom="1440" w:gutter="0" w:footer="0" w:header="0"/>
        </w:sectPr>
      </w:pPr>
    </w:p>
    <w:bookmarkStart w:id="479" w:name="page480"/>
    <w:bookmarkEnd w:id="479"/>
    <w:p>
      <w:pPr>
        <w:ind w:left="1200" w:hanging="213"/>
        <w:spacing w:after="0"/>
        <w:tabs>
          <w:tab w:leader="none" w:pos="12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ERISA Events shall have occurred;</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117"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 any Loan Document, at any time after its execution and delivery and for any reason other than as expressly permitted hereunder or thereunder or satisfaction in full of all the obligations hereunder or thereunder, ceases to be in full force and effect; or any Loan Party contests in any manner the validity or enforceability of any Loan Document, (ii) the Collateral Agent shall not have or shall cease to have a valid and perfected Lien in any material portion of the Collateral purported to be covered by the Collateral Documents with the priority required by the relevant Collateral Document for any reason other than the failure of the Collateral Agent or any Secured Party to take any action within its control or (iii) any Loan Party shall contest in any manner the validity or perfection of any Lien in any material portion of the Collateral purported to be covered by the Collateral Documents;</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and the obligation of the Issuing Banks to issue any Letters of Credit, and thereupon the Commitments and such obligations shall terminate immediately, (ii) the Administrative Agent may cause the Collateral Agent to enforce any and all Liens and security interests created pursuant to the Collateral Documents, (iii) direct the Borrower to pay (and the Borrower hereby agrees upon receipt of such notice, or upon the occurrence of any Event of Default specified in </w:t>
      </w:r>
      <w:r>
        <w:rPr>
          <w:rFonts w:ascii="Arial" w:cs="Arial" w:eastAsia="Arial" w:hAnsi="Arial"/>
          <w:sz w:val="17"/>
          <w:szCs w:val="17"/>
          <w:u w:val="single" w:color="auto"/>
          <w:color w:val="auto"/>
        </w:rPr>
        <w:t>Article VIII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to pay) to the Administrative Agent such additional amounts of cash as are reasonably requested by the applicable Issuing Banks, to be held as security for the Borrower’s reimbursement Obligations in respect of Letters of Credit then outstanding as set forth in </w:t>
      </w:r>
      <w:r>
        <w:rPr>
          <w:rFonts w:ascii="Arial" w:cs="Arial" w:eastAsia="Arial" w:hAnsi="Arial"/>
          <w:sz w:val="17"/>
          <w:szCs w:val="17"/>
          <w:u w:val="single" w:color="auto"/>
          <w:color w:val="auto"/>
        </w:rPr>
        <w:t>Section 2.4(j)</w:t>
      </w:r>
      <w:r>
        <w:rPr>
          <w:rFonts w:ascii="Arial" w:cs="Arial" w:eastAsia="Arial" w:hAnsi="Arial"/>
          <w:sz w:val="17"/>
          <w:szCs w:val="17"/>
          <w:color w:val="auto"/>
        </w:rPr>
        <w:t xml:space="preserve"> and (iv)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any amounts required to be deposited in respect of Letters of Credit pursuant to </w:t>
      </w:r>
      <w:r>
        <w:rPr>
          <w:rFonts w:ascii="Arial" w:cs="Arial" w:eastAsia="Arial" w:hAnsi="Arial"/>
          <w:sz w:val="17"/>
          <w:szCs w:val="17"/>
          <w:u w:val="single" w:color="auto"/>
          <w:color w:val="auto"/>
        </w:rPr>
        <w:t>Section 2.4(j)</w:t>
      </w:r>
      <w:r>
        <w:rPr>
          <w:rFonts w:ascii="Arial" w:cs="Arial" w:eastAsia="Arial" w:hAnsi="Arial"/>
          <w:sz w:val="17"/>
          <w:szCs w:val="17"/>
          <w:color w:val="auto"/>
        </w:rPr>
        <w:t xml:space="preserve">),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w:t>
      </w:r>
      <w:r>
        <w:rPr>
          <w:rFonts w:ascii="Arial" w:cs="Arial" w:eastAsia="Arial" w:hAnsi="Arial"/>
          <w:sz w:val="17"/>
          <w:szCs w:val="17"/>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20"/>
          </w:cols>
          <w:pgMar w:left="440" w:top="273" w:right="539" w:bottom="1440" w:gutter="0" w:footer="0" w:header="0"/>
        </w:sectPr>
      </w:pPr>
    </w:p>
    <w:bookmarkStart w:id="480" w:name="page481"/>
    <w:bookmarkEnd w:id="4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91" w:lineRule="auto"/>
        <w:tabs>
          <w:tab w:leader="none" w:pos="1216" w:val="left"/>
        </w:tabs>
        <w:numPr>
          <w:ilvl w:val="0"/>
          <w:numId w:val="585"/>
        </w:numPr>
        <w:rPr>
          <w:rFonts w:ascii="Arial" w:cs="Arial" w:eastAsia="Arial" w:hAnsi="Arial"/>
          <w:sz w:val="16"/>
          <w:szCs w:val="16"/>
          <w:color w:val="auto"/>
        </w:rPr>
      </w:pPr>
      <w:r>
        <w:rPr>
          <w:rFonts w:ascii="Arial" w:cs="Arial" w:eastAsia="Arial" w:hAnsi="Arial"/>
          <w:sz w:val="16"/>
          <w:szCs w:val="16"/>
          <w:color w:val="auto"/>
        </w:rPr>
        <w:t>Each of the Lenders (including in its capacity as a potential counterparty under a Secured Swap Agreement or a provider of Secured Cash Management Services), Secured Parties and Issuing Banks hereby irrevocably appoints JPMCB as the Administrative Agent and Collateral Agent (and JPMCB hereby accepts such appointment) and authorizes the Administrative Agent and the Collateral Agent to take such actions on its behalf and to exercise such powers as are delegated to the Administrative Agent and the Collateral Agent by the terms hereof and under the other Loan Documents, together with such actions and powers as are reasonably incidental thereto. Without limiting the foregoing, each Lender, Secured Party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58" w:lineRule="exact"/>
        <w:rPr>
          <w:rFonts w:ascii="Arial" w:cs="Arial" w:eastAsia="Arial" w:hAnsi="Arial"/>
          <w:sz w:val="16"/>
          <w:szCs w:val="16"/>
          <w:color w:val="auto"/>
        </w:rPr>
      </w:pPr>
    </w:p>
    <w:p>
      <w:pPr>
        <w:ind w:left="-20" w:firstLine="987"/>
        <w:spacing w:after="0" w:line="285" w:lineRule="auto"/>
        <w:tabs>
          <w:tab w:leader="none" w:pos="1226" w:val="left"/>
        </w:tabs>
        <w:numPr>
          <w:ilvl w:val="0"/>
          <w:numId w:val="585"/>
        </w:numPr>
        <w:rPr>
          <w:rFonts w:ascii="Arial" w:cs="Arial" w:eastAsia="Arial" w:hAnsi="Arial"/>
          <w:sz w:val="16"/>
          <w:szCs w:val="16"/>
          <w:color w:val="auto"/>
        </w:rPr>
      </w:pPr>
      <w:r>
        <w:rPr>
          <w:rFonts w:ascii="Arial" w:cs="Arial" w:eastAsia="Arial" w:hAnsi="Arial"/>
          <w:sz w:val="16"/>
          <w:szCs w:val="16"/>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0"/>
          </w:cols>
          <w:pgMar w:left="460" w:top="273" w:right="479" w:bottom="1440" w:gutter="0" w:footer="0" w:header="0"/>
        </w:sectPr>
      </w:pPr>
    </w:p>
    <w:bookmarkStart w:id="481" w:name="page482"/>
    <w:bookmarkEnd w:id="481"/>
    <w:p>
      <w:pPr>
        <w:ind w:left="-40" w:right="60" w:firstLine="987"/>
        <w:spacing w:after="0" w:line="286" w:lineRule="auto"/>
        <w:tabs>
          <w:tab w:leader="none" w:pos="1196" w:val="left"/>
        </w:tabs>
        <w:numPr>
          <w:ilvl w:val="1"/>
          <w:numId w:val="5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57" w:lineRule="exact"/>
        <w:rPr>
          <w:rFonts w:ascii="Arial" w:cs="Arial" w:eastAsia="Arial" w:hAnsi="Arial"/>
          <w:sz w:val="17"/>
          <w:szCs w:val="17"/>
          <w:color w:val="auto"/>
        </w:rPr>
      </w:pPr>
    </w:p>
    <w:p>
      <w:pPr>
        <w:ind w:left="400" w:firstLine="419"/>
        <w:spacing w:after="0" w:line="290" w:lineRule="auto"/>
        <w:tabs>
          <w:tab w:leader="none" w:pos="1038" w:val="left"/>
        </w:tabs>
        <w:numPr>
          <w:ilvl w:val="0"/>
          <w:numId w:val="587"/>
        </w:numPr>
        <w:rPr>
          <w:rFonts w:ascii="Arial" w:cs="Arial" w:eastAsia="Arial" w:hAnsi="Arial"/>
          <w:sz w:val="16"/>
          <w:szCs w:val="16"/>
          <w:color w:val="auto"/>
        </w:rPr>
      </w:pPr>
      <w:r>
        <w:rPr>
          <w:rFonts w:ascii="Arial" w:cs="Arial" w:eastAsia="Arial" w:hAnsi="Arial"/>
          <w:sz w:val="16"/>
          <w:szCs w:val="16"/>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agency or fiduciary duty by the Administrative Agent in connection with this Agreement and/or the transactions contemplated hereby;</w:t>
      </w:r>
    </w:p>
    <w:p>
      <w:pPr>
        <w:spacing w:after="0" w:line="57" w:lineRule="exact"/>
        <w:rPr>
          <w:rFonts w:ascii="Arial" w:cs="Arial" w:eastAsia="Arial" w:hAnsi="Arial"/>
          <w:sz w:val="16"/>
          <w:szCs w:val="16"/>
          <w:color w:val="auto"/>
        </w:rPr>
      </w:pPr>
    </w:p>
    <w:p>
      <w:pPr>
        <w:jc w:val="both"/>
        <w:ind w:left="400" w:right="180" w:firstLine="419"/>
        <w:spacing w:after="0" w:line="259" w:lineRule="auto"/>
        <w:tabs>
          <w:tab w:leader="none" w:pos="1088" w:val="left"/>
        </w:tabs>
        <w:numPr>
          <w:ilvl w:val="0"/>
          <w:numId w:val="587"/>
        </w:numPr>
        <w:rPr>
          <w:rFonts w:ascii="Arial" w:cs="Arial" w:eastAsia="Arial" w:hAnsi="Arial"/>
          <w:sz w:val="18"/>
          <w:szCs w:val="18"/>
          <w:color w:val="auto"/>
        </w:rPr>
      </w:pPr>
      <w:r>
        <w:rPr>
          <w:rFonts w:ascii="Arial" w:cs="Arial" w:eastAsia="Arial" w:hAnsi="Arial"/>
          <w:sz w:val="18"/>
          <w:szCs w:val="18"/>
          <w:color w:val="auto"/>
        </w:rPr>
        <w:t>where the Administrative Agent is required or deemed to act as a trustee in respect of any Collateral over which a security interest has been created pursuant to a Loan Document, or is required or deemed to hold any Collateral “on trust” pursuant to the foregoing, the obligations and liabilities of the Administrative Agent to the Secured Parties in its capacity as trustee shall be excluded to the fullest extent permitted by applicable law;</w:t>
      </w:r>
    </w:p>
    <w:p>
      <w:pPr>
        <w:spacing w:after="0" w:line="78" w:lineRule="exact"/>
        <w:rPr>
          <w:rFonts w:ascii="Arial" w:cs="Arial" w:eastAsia="Arial" w:hAnsi="Arial"/>
          <w:sz w:val="18"/>
          <w:szCs w:val="18"/>
          <w:color w:val="auto"/>
        </w:rPr>
      </w:pPr>
    </w:p>
    <w:p>
      <w:pPr>
        <w:ind w:left="400" w:firstLine="419"/>
        <w:spacing w:after="0" w:line="255" w:lineRule="auto"/>
        <w:tabs>
          <w:tab w:leader="none" w:pos="1138"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spacing w:after="0" w:line="84" w:lineRule="exact"/>
        <w:rPr>
          <w:rFonts w:ascii="Arial" w:cs="Arial" w:eastAsia="Arial" w:hAnsi="Arial"/>
          <w:sz w:val="18"/>
          <w:szCs w:val="18"/>
          <w:color w:val="auto"/>
        </w:rPr>
      </w:pPr>
    </w:p>
    <w:p>
      <w:pPr>
        <w:ind w:left="400" w:right="200" w:firstLine="419"/>
        <w:spacing w:after="0" w:line="277" w:lineRule="auto"/>
        <w:tabs>
          <w:tab w:leader="none" w:pos="1128" w:val="left"/>
        </w:tabs>
        <w:numPr>
          <w:ilvl w:val="0"/>
          <w:numId w:val="587"/>
        </w:numPr>
        <w:rPr>
          <w:rFonts w:ascii="Arial" w:cs="Arial" w:eastAsia="Arial" w:hAnsi="Arial"/>
          <w:sz w:val="18"/>
          <w:szCs w:val="18"/>
          <w:color w:val="auto"/>
        </w:rPr>
      </w:pPr>
      <w:r>
        <w:rPr>
          <w:rFonts w:ascii="Arial" w:cs="Arial" w:eastAsia="Arial" w:hAnsi="Arial"/>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62" w:lineRule="exact"/>
        <w:rPr>
          <w:rFonts w:ascii="Arial" w:cs="Arial" w:eastAsia="Arial" w:hAnsi="Arial"/>
          <w:sz w:val="18"/>
          <w:szCs w:val="18"/>
          <w:color w:val="auto"/>
        </w:rPr>
      </w:pPr>
    </w:p>
    <w:p>
      <w:pPr>
        <w:ind w:left="-40" w:right="240" w:firstLine="987"/>
        <w:spacing w:after="0" w:line="259" w:lineRule="auto"/>
        <w:tabs>
          <w:tab w:leader="none" w:pos="1206" w:val="left"/>
        </w:tabs>
        <w:numPr>
          <w:ilvl w:val="1"/>
          <w:numId w:val="587"/>
        </w:numPr>
        <w:rPr>
          <w:rFonts w:ascii="Arial" w:cs="Arial" w:eastAsia="Arial" w:hAnsi="Arial"/>
          <w:sz w:val="18"/>
          <w:szCs w:val="18"/>
          <w:color w:val="auto"/>
        </w:rPr>
      </w:pPr>
      <w:r>
        <w:rPr>
          <w:rFonts w:ascii="Arial" w:cs="Arial" w:eastAsia="Arial" w:hAnsi="Arial"/>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20"/>
          </w:cols>
          <w:pgMar w:left="480" w:top="273" w:right="499" w:bottom="1440" w:gutter="0" w:footer="0" w:header="0"/>
        </w:sectPr>
      </w:pPr>
    </w:p>
    <w:bookmarkStart w:id="482" w:name="page483"/>
    <w:bookmarkEnd w:id="482"/>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79" w:lineRule="exact"/>
        <w:rPr>
          <w:sz w:val="20"/>
          <w:szCs w:val="20"/>
          <w:color w:val="auto"/>
        </w:rPr>
      </w:pPr>
    </w:p>
    <w:p>
      <w:pPr>
        <w:ind w:right="80" w:firstLine="987"/>
        <w:spacing w:after="0" w:line="263" w:lineRule="auto"/>
        <w:tabs>
          <w:tab w:leader="none" w:pos="1236" w:val="left"/>
        </w:tabs>
        <w:numPr>
          <w:ilvl w:val="1"/>
          <w:numId w:val="588"/>
        </w:numPr>
        <w:rPr>
          <w:rFonts w:ascii="Arial" w:cs="Arial" w:eastAsia="Arial" w:hAnsi="Arial"/>
          <w:sz w:val="18"/>
          <w:szCs w:val="18"/>
          <w:color w:val="auto"/>
        </w:rPr>
      </w:pPr>
      <w:r>
        <w:rPr>
          <w:rFonts w:ascii="Arial" w:cs="Arial" w:eastAsia="Arial" w:hAnsi="Arial"/>
          <w:sz w:val="18"/>
          <w:szCs w:val="18"/>
          <w:color w:val="auto"/>
        </w:rPr>
        <w:t>None of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75" w:lineRule="exact"/>
        <w:rPr>
          <w:rFonts w:ascii="Arial" w:cs="Arial" w:eastAsia="Arial" w:hAnsi="Arial"/>
          <w:sz w:val="18"/>
          <w:szCs w:val="18"/>
          <w:color w:val="auto"/>
        </w:rPr>
      </w:pPr>
    </w:p>
    <w:p>
      <w:pPr>
        <w:ind w:right="40" w:firstLine="987"/>
        <w:spacing w:after="0" w:line="301" w:lineRule="auto"/>
        <w:tabs>
          <w:tab w:leader="none" w:pos="1216" w:val="left"/>
        </w:tabs>
        <w:numPr>
          <w:ilvl w:val="1"/>
          <w:numId w:val="588"/>
        </w:numPr>
        <w:rPr>
          <w:rFonts w:ascii="Arial" w:cs="Arial" w:eastAsia="Arial" w:hAnsi="Arial"/>
          <w:sz w:val="16"/>
          <w:szCs w:val="16"/>
          <w:color w:val="auto"/>
        </w:rPr>
      </w:pPr>
      <w:r>
        <w:rPr>
          <w:rFonts w:ascii="Arial" w:cs="Arial" w:eastAsia="Arial" w:hAnsi="Arial"/>
          <w:sz w:val="16"/>
          <w:szCs w:val="16"/>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49" w:lineRule="exact"/>
        <w:rPr>
          <w:rFonts w:ascii="Arial" w:cs="Arial" w:eastAsia="Arial" w:hAnsi="Arial"/>
          <w:sz w:val="16"/>
          <w:szCs w:val="16"/>
          <w:color w:val="auto"/>
        </w:rPr>
      </w:pPr>
    </w:p>
    <w:p>
      <w:pPr>
        <w:ind w:left="440" w:right="180" w:firstLine="419"/>
        <w:spacing w:after="0" w:line="311" w:lineRule="auto"/>
        <w:tabs>
          <w:tab w:leader="none" w:pos="1078"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Letter of Credit disbursements and all other Obligations that are owing and unpaid and to file such other documents as may be necessary or advisable in order to have the claims of the Lenders, the Issuing Banks and the Administrative Agent allowed in such judicial proceeding; and</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10.3).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58" w:lineRule="exact"/>
        <w:rPr>
          <w:sz w:val="20"/>
          <w:szCs w:val="20"/>
          <w:color w:val="auto"/>
        </w:rPr>
      </w:pPr>
    </w:p>
    <w:p>
      <w:pPr>
        <w:ind w:firstLine="987"/>
        <w:spacing w:after="0" w:line="257" w:lineRule="auto"/>
        <w:tabs>
          <w:tab w:leader="none" w:pos="1246"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Guaranteed Obligations provided under the Loan Documents, to have agreed to the provisions of this Article.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3" w:right="459" w:bottom="1440" w:gutter="0" w:footer="0" w:header="0"/>
        </w:sectPr>
      </w:pPr>
    </w:p>
    <w:bookmarkStart w:id="483" w:name="page484"/>
    <w:bookmarkEnd w:id="48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9.2 </w:t>
      </w:r>
      <w:r>
        <w:rPr>
          <w:rFonts w:ascii="Arial" w:cs="Arial" w:eastAsia="Arial" w:hAnsi="Arial"/>
          <w:sz w:val="18"/>
          <w:szCs w:val="18"/>
          <w:u w:val="single" w:color="auto"/>
          <w:color w:val="auto"/>
        </w:rPr>
        <w:t>Administrative Agent’s Reliance, Limitation of Liability, Etc</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69" w:lineRule="auto"/>
        <w:tabs>
          <w:tab w:leader="none" w:pos="1240" w:val="left"/>
        </w:tabs>
        <w:numPr>
          <w:ilvl w:val="1"/>
          <w:numId w:val="591"/>
        </w:numPr>
        <w:rPr>
          <w:rFonts w:ascii="Arial" w:cs="Arial" w:eastAsia="Arial" w:hAnsi="Arial"/>
          <w:sz w:val="17"/>
          <w:szCs w:val="17"/>
          <w:color w:val="auto"/>
        </w:rPr>
      </w:pPr>
      <w:r>
        <w:rPr>
          <w:rFonts w:ascii="Arial" w:cs="Arial" w:eastAsia="Arial" w:hAnsi="Arial"/>
          <w:sz w:val="17"/>
          <w:szCs w:val="17"/>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70" w:lineRule="exact"/>
        <w:rPr>
          <w:rFonts w:ascii="Arial" w:cs="Arial" w:eastAsia="Arial" w:hAnsi="Arial"/>
          <w:sz w:val="17"/>
          <w:szCs w:val="17"/>
          <w:color w:val="auto"/>
        </w:rPr>
      </w:pPr>
    </w:p>
    <w:p>
      <w:pPr>
        <w:ind w:left="4" w:right="40" w:firstLine="987"/>
        <w:spacing w:after="0" w:line="285" w:lineRule="auto"/>
        <w:tabs>
          <w:tab w:leader="none" w:pos="1250" w:val="left"/>
        </w:tabs>
        <w:numPr>
          <w:ilvl w:val="1"/>
          <w:numId w:val="591"/>
        </w:numPr>
        <w:rPr>
          <w:rFonts w:ascii="Arial" w:cs="Arial" w:eastAsia="Arial" w:hAnsi="Arial"/>
          <w:sz w:val="16"/>
          <w:szCs w:val="16"/>
          <w:color w:val="auto"/>
        </w:rPr>
      </w:pPr>
      <w:r>
        <w:rPr>
          <w:rFonts w:ascii="Arial" w:cs="Arial" w:eastAsia="Arial" w:hAnsi="Arial"/>
          <w:sz w:val="16"/>
          <w:szCs w:val="16"/>
          <w:color w:val="auto"/>
        </w:rPr>
        <w:t xml:space="preserve">The Administrative Agent shall be deemed not to have knowledge of any (i) notice of any of the events or circumstances set forth or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unless and until written notice thereof stating that it is a “notice under Section 5.2”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w:t>
      </w:r>
    </w:p>
    <w:p>
      <w:pPr>
        <w:spacing w:after="0" w:line="1" w:lineRule="exact"/>
        <w:rPr>
          <w:rFonts w:ascii="Arial" w:cs="Arial" w:eastAsia="Arial" w:hAnsi="Arial"/>
          <w:sz w:val="16"/>
          <w:szCs w:val="16"/>
          <w:color w:val="auto"/>
        </w:rPr>
      </w:pPr>
    </w:p>
    <w:p>
      <w:pPr>
        <w:ind w:left="4" w:hanging="4"/>
        <w:spacing w:after="0" w:line="286" w:lineRule="auto"/>
        <w:tabs>
          <w:tab w:leader="none" w:pos="219" w:val="left"/>
        </w:tabs>
        <w:numPr>
          <w:ilvl w:val="0"/>
          <w:numId w:val="592"/>
        </w:numPr>
        <w:rPr>
          <w:rFonts w:ascii="Arial" w:cs="Arial" w:eastAsia="Arial" w:hAnsi="Arial"/>
          <w:sz w:val="16"/>
          <w:szCs w:val="16"/>
          <w:color w:val="auto"/>
        </w:rPr>
      </w:pPr>
      <w:r>
        <w:rPr>
          <w:rFonts w:ascii="Arial" w:cs="Arial" w:eastAsia="Arial" w:hAnsi="Arial"/>
          <w:sz w:val="16"/>
          <w:szCs w:val="16"/>
          <w:color w:val="auto"/>
        </w:rPr>
        <w:t>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the Amendment and Restatement Agreement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Exposure, any of the component amounts thereof or any portion thereof attributable to each Lender or Issuing Bank, or any Exchange Rate or Dollar Equivalent.</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4"/>
          </w:cols>
          <w:pgMar w:left="436" w:top="273" w:right="479" w:bottom="1440" w:gutter="0" w:footer="0" w:header="0"/>
        </w:sectPr>
      </w:pPr>
    </w:p>
    <w:bookmarkStart w:id="484" w:name="page485"/>
    <w:bookmarkEnd w:id="484"/>
    <w:p>
      <w:pPr>
        <w:ind w:firstLine="987"/>
        <w:spacing w:after="0" w:line="286" w:lineRule="auto"/>
        <w:tabs>
          <w:tab w:leader="none" w:pos="1236" w:val="left"/>
        </w:tabs>
        <w:numPr>
          <w:ilvl w:val="0"/>
          <w:numId w:val="5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limiting the foregoing, the Administrative Agent (i) may treat the payee of any promissory note as its holder until such promissory note has been assigned in accordance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(ii) may rely on the Register to the extent set forth in </w:t>
      </w:r>
      <w:r>
        <w:rPr>
          <w:rFonts w:ascii="Arial" w:cs="Arial" w:eastAsia="Arial" w:hAnsi="Arial"/>
          <w:sz w:val="16"/>
          <w:szCs w:val="16"/>
          <w:u w:val="single" w:color="auto"/>
          <w:color w:val="auto"/>
        </w:rPr>
        <w:t>Section 10.4</w:t>
      </w:r>
      <w:r>
        <w:rPr>
          <w:rFonts w:ascii="Arial" w:cs="Arial" w:eastAsia="Arial" w:hAnsi="Arial"/>
          <w:sz w:val="16"/>
          <w:szCs w:val="16"/>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4"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The Administrative Agent Individually</w:t>
      </w:r>
      <w:r>
        <w:rPr>
          <w:rFonts w:ascii="Arial" w:cs="Arial" w:eastAsia="Arial" w:hAnsi="Arial"/>
          <w:sz w:val="16"/>
          <w:szCs w:val="16"/>
          <w:color w:val="auto"/>
        </w:rPr>
        <w:t>. With respect to its Commitment, Loans (including Swing Line Loans) and Letters of Credit, the Person serving as the Administrative Agent and the Collateral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9" w:lineRule="auto"/>
        <w:tabs>
          <w:tab w:leader="none" w:pos="1236" w:val="left"/>
        </w:tabs>
        <w:numPr>
          <w:ilvl w:val="0"/>
          <w:numId w:val="594"/>
        </w:numPr>
        <w:rPr>
          <w:rFonts w:ascii="Arial" w:cs="Arial" w:eastAsia="Arial" w:hAnsi="Arial"/>
          <w:sz w:val="17"/>
          <w:szCs w:val="17"/>
          <w:color w:val="auto"/>
        </w:rPr>
      </w:pPr>
      <w:r>
        <w:rPr>
          <w:rFonts w:ascii="Arial" w:cs="Arial" w:eastAsia="Arial" w:hAnsi="Arial"/>
          <w:sz w:val="17"/>
          <w:szCs w:val="17"/>
          <w:color w:val="auto"/>
        </w:rPr>
        <w:t>The Administrative Agent shall have the right to resign at any time by giving prior written notice thereof to the Lenders and the Borrower. The Administrative Agent shall have the right to appoint a financial institution to act as the Administrative Agent and/or the Collateral Agent hereunder, subject to the reasonable satisfaction of the Borrower and the Required Lenders, and the Administrative Agent’s resignation shall become effective on the earliest of (i) 30 days after delivery of the notice of resignation, (ii) the acceptance of such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80"/>
          </w:cols>
          <w:pgMar w:left="440" w:top="273" w:right="479" w:bottom="1440" w:gutter="0" w:footer="0" w:header="0"/>
        </w:sectPr>
      </w:pPr>
    </w:p>
    <w:bookmarkStart w:id="485" w:name="page486"/>
    <w:bookmarkEnd w:id="48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successor Administrative Agent by the Borrower and the Required Lenders or (iii) such other date, if any, agreed to by the Borrower and the Required Lenders. Upon any such notice of resignation, if a successor Administrative Agent has not already been appointed by the retiring Administrative Agent, the Required Lenders shall have the right, in consultation with the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a successor Administrative Agent is so appointed by the Required Lenders or the Administrative Agent, any collateral security held by the Administrative Agent in its role as the Collateral Agent on behalf of the Lenders and the Issuing Banks under any of the Loan Documents shall continue to be held by the retiring Collateral Agent as nominee until such time as a successor Collateral Agent is appointed. Any successor Administrative Agent shall be a bank with an office in the United States or an Affiliate of any such bank with an office in the United States.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(x) 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Loan Documents, and (y)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Except as provided above, any resignation of JPMCB or its successor as the Administrative Agent pursuant to this Article shall also constitute the resignation of JPMCB or its successor as the Collateral Agent. After any retiring Administrative Agent’s resignation hereunder as Administrative Agent and Collateral Agent,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inure to its benefit as to any actions taken or omitted to be taken by it while it was Administrative Agent and Collateral Agent hereunder and while it continues to hold any collateral security as nominee until a successor Collateral Agent is appointed. Any successor Administrative Agent appointed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upon its acceptance of such appointment, become the successor Collateral Agent for all purposes hereunder.</w:t>
      </w:r>
    </w:p>
    <w:p>
      <w:pPr>
        <w:spacing w:after="0" w:line="288" w:lineRule="exact"/>
        <w:rPr>
          <w:sz w:val="20"/>
          <w:szCs w:val="20"/>
          <w:color w:val="auto"/>
        </w:rPr>
      </w:pPr>
    </w:p>
    <w:p>
      <w:pPr>
        <w:ind w:firstLine="987"/>
        <w:spacing w:after="0" w:line="291" w:lineRule="auto"/>
        <w:tabs>
          <w:tab w:leader="none" w:pos="1246" w:val="left"/>
        </w:tabs>
        <w:numPr>
          <w:ilvl w:val="0"/>
          <w:numId w:val="595"/>
        </w:numPr>
        <w:rPr>
          <w:rFonts w:ascii="Arial" w:cs="Arial" w:eastAsia="Arial" w:hAnsi="Arial"/>
          <w:sz w:val="16"/>
          <w:szCs w:val="16"/>
          <w:color w:val="auto"/>
        </w:rPr>
      </w:pPr>
      <w:r>
        <w:rPr>
          <w:rFonts w:ascii="Arial" w:cs="Arial" w:eastAsia="Arial" w:hAnsi="Arial"/>
          <w:sz w:val="16"/>
          <w:szCs w:val="16"/>
          <w:color w:val="auto"/>
        </w:rPr>
        <w:t>In addition to the foregoing, the Collateral Agent may resign at any time by giving prior written notice thereof to the Lenders and the Grantors. The Administrative Agent shall have the right to appoint a financial institution as the Collateral Agent hereunder, subject to the reasonable satisfaction of the Borrower and the Required Lenders and the Collateral Agent’s resignation shall become effective on the earliest of (i) 30 days after delivery of the notice of resignation, (ii) the acceptance of such successor Collateral Agent by the Borrower and the Required Lenders or (iii) such other date, if any, agreed to by the Required Lenders and the Borrower. Upon any such notice of resignation, the Required Lenders shall have the right, upon five Business Days’ notice to the Administrative Agent and in consultation with the Borrower, to appoint a successor Collateral Agent. Until a successor Collateral Agent is so appointed by the Required Lenders or the Administrative Agent, any collateral security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80"/>
          </w:cols>
          <w:pgMar w:left="440" w:top="273" w:right="479" w:bottom="1440" w:gutter="0" w:footer="0" w:header="0"/>
        </w:sectPr>
      </w:pPr>
    </w:p>
    <w:bookmarkStart w:id="486" w:name="page487"/>
    <w:bookmarkEnd w:id="486"/>
    <w:p>
      <w:pPr>
        <w:ind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held by the Collateral Agent on behalf of the Lenders and/or the Issuing Banks under any of the Loan Documents shall continue to be held by the retiring Collateral Agent as nominee until such time as a successor Collateral Agent is appointed. Upon the acceptance of any appointment as the Collateral Agent hereunder by a successor Collateral Agent, that successor Collateral Agent shall thereupon succeed to and become vested with all the rights, powers, privileges and duties of the retiring Collateral Agent under this Agreement and the Collateral Documents, and the retiring Collateral Agent under this Agreement shall promptly (x) transfer to such successor Collateral Agent all sums, securities and other items of Collateral held hereunder or under the Collateral Documents, together with all records and other documents necessary or appropriate in connection with the performance of the duties of the successor Collateral Agent under this Agreement and the Collateral Documents, and (y) execute and deliver to such successor Collateral Agent or otherwise authorize the filing of such amendments to financing statements, and take such other actions, as may be necessary or appropriate in connection with the assignment to such successor Collateral Agent of the security interests created under the Collateral Documents, whereupon such retiring Collateral Agent shall be discharged from its duties and obligations under this Agreement and the Collateral Documents. After any retiring Collateral Agent’s resignation hereunder as the Collateral Agent, the provisions of this Agreement and the Collateral Documents shall inure to its benefit as to any actions taken or omitted to be taken by it under this Agreement or the Collateral Documents while it was the Collateral Agent hereunder and while it continues to hold any collateral security as nominee until a successor Collateral Agent is appointed.</w:t>
      </w:r>
    </w:p>
    <w:p>
      <w:pPr>
        <w:spacing w:after="0" w:line="66" w:lineRule="exact"/>
        <w:rPr>
          <w:sz w:val="20"/>
          <w:szCs w:val="20"/>
          <w:color w:val="auto"/>
        </w:rPr>
      </w:pPr>
    </w:p>
    <w:p>
      <w:pPr>
        <w:ind w:firstLine="987"/>
        <w:spacing w:after="0" w:line="269" w:lineRule="auto"/>
        <w:tabs>
          <w:tab w:leader="none" w:pos="1236" w:val="left"/>
        </w:tabs>
        <w:numPr>
          <w:ilvl w:val="0"/>
          <w:numId w:val="596"/>
        </w:numPr>
        <w:rPr>
          <w:rFonts w:ascii="Arial" w:cs="Arial" w:eastAsia="Arial" w:hAnsi="Arial"/>
          <w:sz w:val="17"/>
          <w:szCs w:val="17"/>
          <w:color w:val="auto"/>
        </w:rPr>
      </w:pPr>
      <w:r>
        <w:rPr>
          <w:rFonts w:ascii="Arial" w:cs="Arial" w:eastAsia="Arial" w:hAnsi="Arial"/>
          <w:sz w:val="17"/>
          <w:szCs w:val="17"/>
          <w:color w:val="auto"/>
        </w:rPr>
        <w:t xml:space="preserve">Any resignation of JPMCB or its successor as the Administrative Agent pursuant to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also constitute the resignation of JPMCB or its successor as Swing Line Lender and Issuing Bank, and any successor Administrative Agent appointed pursuant to this Section shall, upon its acceptance of such appointment, become successor Swing Line Lender and Issuing Bank for all purposes hereunder. In such event (i) the Borrower shall prepay any outstanding Swing Line Loans made by the retiring Administrative Agent in its capacity as Swing Line Lender, (ii) upon such prepayment, the retiring Administrative Agent and Swing Line Lender shall surrender any Swing Line Note held by it to the Borrower for cancellation, and (iii) the Borrower shall issue, if so requested by successor Administrative Agent and Swing Line Lender, a new Swing Line Note to the successor Administrative Agent and Swing Line Lender, in the principal amount of the Swing Line Sublimit then in effect and with other appropriate insertions. After such resignation of JPMCB as an Issuing Bank hereunder, JPMCB shall remain a party hereto to the extent that Letters of Credit issued by it remain outstanding and shall continue to have all the rights and obligations of an Issuing Bank under this Agreement with respect to Letters of Credit issued by it prior to such resignation, but shall not be required to issue additional Letters of Credit.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Acknowledgments of Lenders and Issuing Banks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9" w:lineRule="auto"/>
        <w:tabs>
          <w:tab w:leader="none" w:pos="1236" w:val="left"/>
        </w:tabs>
        <w:numPr>
          <w:ilvl w:val="0"/>
          <w:numId w:val="597"/>
        </w:numPr>
        <w:rPr>
          <w:rFonts w:ascii="Arial" w:cs="Arial" w:eastAsia="Arial" w:hAnsi="Arial"/>
          <w:sz w:val="17"/>
          <w:szCs w:val="17"/>
          <w:color w:val="auto"/>
        </w:rPr>
      </w:pPr>
      <w:r>
        <w:rPr>
          <w:rFonts w:ascii="Arial" w:cs="Arial" w:eastAsia="Arial" w:hAnsi="Arial"/>
          <w:sz w:val="17"/>
          <w:szCs w:val="17"/>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3" w:right="459" w:bottom="1440" w:gutter="0" w:footer="0" w:header="0"/>
        </w:sectPr>
      </w:pPr>
    </w:p>
    <w:bookmarkStart w:id="487" w:name="page488"/>
    <w:bookmarkEnd w:id="48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foregoing), (iii) it has, independently and without reliance upon the Administrative Agent, any Arranger, any Co-Documentation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Co-Documentation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64" w:lineRule="exact"/>
        <w:rPr>
          <w:sz w:val="20"/>
          <w:szCs w:val="20"/>
          <w:color w:val="auto"/>
        </w:rPr>
      </w:pPr>
    </w:p>
    <w:p>
      <w:pPr>
        <w:ind w:right="140" w:firstLine="987"/>
        <w:spacing w:after="0" w:line="279" w:lineRule="auto"/>
        <w:tabs>
          <w:tab w:leader="none" w:pos="1246" w:val="left"/>
        </w:tabs>
        <w:numPr>
          <w:ilvl w:val="0"/>
          <w:numId w:val="598"/>
        </w:numPr>
        <w:rPr>
          <w:rFonts w:ascii="Arial" w:cs="Arial" w:eastAsia="Arial" w:hAnsi="Arial"/>
          <w:sz w:val="17"/>
          <w:szCs w:val="17"/>
          <w:color w:val="auto"/>
        </w:rPr>
      </w:pPr>
      <w:r>
        <w:rPr>
          <w:rFonts w:ascii="Arial" w:cs="Arial" w:eastAsia="Arial" w:hAnsi="Arial"/>
          <w:sz w:val="17"/>
          <w:szCs w:val="17"/>
          <w:color w:val="auto"/>
        </w:rPr>
        <w:t>Each Lender, by delivering its signature page to this Agreement or the Amendment and Restatement Agreement,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Restatement Effective Date.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117" w:lineRule="exact"/>
        <w:rPr>
          <w:sz w:val="20"/>
          <w:szCs w:val="20"/>
          <w:color w:val="auto"/>
        </w:rPr>
      </w:pPr>
    </w:p>
    <w:p>
      <w:pPr>
        <w:ind w:right="220" w:firstLine="987"/>
        <w:spacing w:after="0" w:line="279" w:lineRule="auto"/>
        <w:tabs>
          <w:tab w:leader="none" w:pos="1236" w:val="left"/>
        </w:tabs>
        <w:numPr>
          <w:ilvl w:val="0"/>
          <w:numId w:val="599"/>
        </w:numPr>
        <w:rPr>
          <w:rFonts w:ascii="Arial" w:cs="Arial" w:eastAsia="Arial" w:hAnsi="Arial"/>
          <w:sz w:val="17"/>
          <w:szCs w:val="17"/>
          <w:color w:val="auto"/>
        </w:rPr>
      </w:pPr>
      <w:r>
        <w:rPr>
          <w:rFonts w:ascii="Arial" w:cs="Arial" w:eastAsia="Arial" w:hAnsi="Arial"/>
          <w:sz w:val="17"/>
          <w:szCs w:val="17"/>
          <w:color w:val="auto"/>
        </w:rPr>
        <w:t>Except with respect to the exercise of setoff rights in accordance with Section 10.8 or with respect to a Secured Party’s right to file a proof of claim in an insolvency proceeding, no Secured Party shall have any right individually to realize upon any of the Collateral or to enforce any Guarantee of the Guaranteed Obligations, it being understood and agreed that all powers, rights and remedies under the Loan Documents may be exercised solely by the Administrative Agent on behalf of the Secured Parties in accordance with the terms thereof.</w:t>
      </w:r>
    </w:p>
    <w:p>
      <w:pPr>
        <w:spacing w:after="0" w:line="63" w:lineRule="exact"/>
        <w:rPr>
          <w:rFonts w:ascii="Arial" w:cs="Arial" w:eastAsia="Arial" w:hAnsi="Arial"/>
          <w:sz w:val="17"/>
          <w:szCs w:val="17"/>
          <w:color w:val="auto"/>
        </w:rPr>
      </w:pPr>
    </w:p>
    <w:p>
      <w:pPr>
        <w:ind w:right="40" w:firstLine="987"/>
        <w:spacing w:after="0" w:line="291" w:lineRule="auto"/>
        <w:tabs>
          <w:tab w:leader="none" w:pos="1246" w:val="left"/>
        </w:tabs>
        <w:numPr>
          <w:ilvl w:val="0"/>
          <w:numId w:val="599"/>
        </w:numPr>
        <w:rPr>
          <w:rFonts w:ascii="Arial" w:cs="Arial" w:eastAsia="Arial" w:hAnsi="Arial"/>
          <w:sz w:val="16"/>
          <w:szCs w:val="16"/>
          <w:color w:val="auto"/>
        </w:rPr>
      </w:pPr>
      <w:r>
        <w:rPr>
          <w:rFonts w:ascii="Arial" w:cs="Arial" w:eastAsia="Arial" w:hAnsi="Arial"/>
          <w:sz w:val="16"/>
          <w:szCs w:val="16"/>
          <w:color w:val="auto"/>
        </w:rPr>
        <w:t>In furtherance of the foregoing and not in limitation thereof, no arrangements in respect of Secured Cash Management Services the obligations under which constitute Secured Obligations and no Secured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Secured Cash Management Services or any Secured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3" w:right="479" w:bottom="1440" w:gutter="0" w:footer="0" w:header="0"/>
        </w:sectPr>
      </w:pPr>
    </w:p>
    <w:bookmarkStart w:id="488" w:name="page489"/>
    <w:bookmarkEnd w:id="488"/>
    <w:p>
      <w:pPr>
        <w:ind w:right="20" w:firstLine="987"/>
        <w:spacing w:after="0" w:line="273" w:lineRule="auto"/>
        <w:tabs>
          <w:tab w:leader="none" w:pos="1236" w:val="left"/>
        </w:tabs>
        <w:numPr>
          <w:ilvl w:val="0"/>
          <w:numId w:val="6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6.2(a).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78"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Credit Bidding</w:t>
      </w:r>
      <w:r>
        <w:rPr>
          <w:rFonts w:ascii="Arial" w:cs="Arial" w:eastAsia="Arial" w:hAnsi="Arial"/>
          <w:sz w:val="16"/>
          <w:szCs w:val="16"/>
          <w:color w:val="auto"/>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3" w:right="459" w:bottom="1440" w:gutter="0" w:footer="0" w:header="0"/>
        </w:sectPr>
      </w:pPr>
    </w:p>
    <w:bookmarkStart w:id="489" w:name="page490"/>
    <w:bookmarkEnd w:id="48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and other communications provided for herein shall be in writing and shall be delivered by hand or overnight courier service, mailed by certified or registered mail or sent by telecopy (or other facsimile transmission or other electronic transmission (e.g., .pdf via e-mail)), as follows:</w:t>
      </w:r>
    </w:p>
    <w:p>
      <w:pPr>
        <w:spacing w:after="0" w:line="76" w:lineRule="exact"/>
        <w:rPr>
          <w:sz w:val="20"/>
          <w:szCs w:val="20"/>
          <w:color w:val="auto"/>
        </w:rPr>
      </w:pPr>
    </w:p>
    <w:p>
      <w:pPr>
        <w:ind w:left="440" w:right="460" w:firstLine="419"/>
        <w:spacing w:after="0" w:line="277" w:lineRule="auto"/>
        <w:tabs>
          <w:tab w:leader="none" w:pos="1078" w:val="left"/>
        </w:tabs>
        <w:numPr>
          <w:ilvl w:val="0"/>
          <w:numId w:val="601"/>
        </w:numPr>
        <w:rPr>
          <w:rFonts w:ascii="Arial" w:cs="Arial" w:eastAsia="Arial" w:hAnsi="Arial"/>
          <w:sz w:val="18"/>
          <w:szCs w:val="18"/>
          <w:color w:val="auto"/>
        </w:rPr>
      </w:pPr>
      <w:r>
        <w:rPr>
          <w:rFonts w:ascii="Arial" w:cs="Arial" w:eastAsia="Arial" w:hAnsi="Arial"/>
          <w:sz w:val="18"/>
          <w:szCs w:val="18"/>
          <w:color w:val="auto"/>
        </w:rPr>
        <w:t>if to the Borrower, to it at Dropbox Holding, LLC, 1800 Owens Street, San Francisco, CA 94158, Attention: Bart Volkmer, General Counsel (email: [***]);</w:t>
      </w:r>
    </w:p>
    <w:p>
      <w:pPr>
        <w:spacing w:after="0" w:line="62" w:lineRule="exact"/>
        <w:rPr>
          <w:rFonts w:ascii="Arial" w:cs="Arial" w:eastAsia="Arial" w:hAnsi="Arial"/>
          <w:sz w:val="18"/>
          <w:szCs w:val="18"/>
          <w:color w:val="auto"/>
        </w:rPr>
      </w:pPr>
    </w:p>
    <w:p>
      <w:pPr>
        <w:ind w:left="440" w:right="280" w:firstLine="419"/>
        <w:spacing w:after="0" w:line="277" w:lineRule="auto"/>
        <w:tabs>
          <w:tab w:leader="none" w:pos="1128" w:val="left"/>
        </w:tabs>
        <w:numPr>
          <w:ilvl w:val="0"/>
          <w:numId w:val="601"/>
        </w:numPr>
        <w:rPr>
          <w:rFonts w:ascii="Arial" w:cs="Arial" w:eastAsia="Arial" w:hAnsi="Arial"/>
          <w:sz w:val="18"/>
          <w:szCs w:val="18"/>
          <w:color w:val="auto"/>
        </w:rPr>
      </w:pPr>
      <w:r>
        <w:rPr>
          <w:rFonts w:ascii="Arial" w:cs="Arial" w:eastAsia="Arial" w:hAnsi="Arial"/>
          <w:sz w:val="18"/>
          <w:szCs w:val="18"/>
          <w:color w:val="auto"/>
        </w:rPr>
        <w:t>if to the Administrative Agent, to it at JPMorgan Chase Bank, N.A., Loan and Agency Services Group, 500 Stanton Christiana Road, Ops 2, 3rd Floor, Newark, DE 19713, Attention of Nicholas Papa, Account Manager (email: [***]);</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601"/>
        </w:numPr>
        <w:rPr>
          <w:rFonts w:ascii="Arial" w:cs="Arial" w:eastAsia="Arial" w:hAnsi="Arial"/>
          <w:sz w:val="17"/>
          <w:szCs w:val="17"/>
          <w:color w:val="auto"/>
        </w:rPr>
      </w:pPr>
      <w:r>
        <w:rPr>
          <w:rFonts w:ascii="Arial" w:cs="Arial" w:eastAsia="Arial" w:hAnsi="Arial"/>
          <w:sz w:val="17"/>
          <w:szCs w:val="17"/>
          <w:color w:val="auto"/>
        </w:rPr>
        <w:t>if to the Collateral Agent, to it at CIB DMO WLO, Mail code NY1-C413, 4 Chase Metrotech Center, Brooklyn, NY 11245 (email:</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left="440" w:right="100" w:firstLine="419"/>
        <w:spacing w:after="0" w:line="277" w:lineRule="auto"/>
        <w:tabs>
          <w:tab w:leader="none" w:pos="1168" w:val="left"/>
        </w:tabs>
        <w:numPr>
          <w:ilvl w:val="0"/>
          <w:numId w:val="601"/>
        </w:numPr>
        <w:rPr>
          <w:rFonts w:ascii="Arial" w:cs="Arial" w:eastAsia="Arial" w:hAnsi="Arial"/>
          <w:sz w:val="18"/>
          <w:szCs w:val="18"/>
          <w:color w:val="auto"/>
        </w:rPr>
      </w:pPr>
      <w:r>
        <w:rPr>
          <w:rFonts w:ascii="Arial" w:cs="Arial" w:eastAsia="Arial" w:hAnsi="Arial"/>
          <w:sz w:val="18"/>
          <w:szCs w:val="18"/>
          <w:color w:val="auto"/>
        </w:rPr>
        <w:t>if to the Swing Line Lender, to it at JPMorgan Chase Bank, N.A., Loan and Agency Services Group, 500 Stanton Christiana Road, Ops 2, 3rd Floor, Newark, DE 19713, Attention of Nicholas Papa, Account Manager (email: [***]);</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01"/>
        </w:numPr>
        <w:rPr>
          <w:rFonts w:ascii="Arial" w:cs="Arial" w:eastAsia="Arial" w:hAnsi="Arial"/>
          <w:sz w:val="17"/>
          <w:szCs w:val="17"/>
          <w:color w:val="auto"/>
        </w:rPr>
      </w:pPr>
      <w:r>
        <w:rPr>
          <w:rFonts w:ascii="Arial" w:cs="Arial" w:eastAsia="Arial" w:hAnsi="Arial"/>
          <w:sz w:val="17"/>
          <w:szCs w:val="17"/>
          <w:color w:val="auto"/>
        </w:rPr>
        <w:t>if to any Issuing Bank, to it at its address (or telecopy or other facsimile transmission or other electronic transmission (e.g., .pdf via</w:t>
      </w:r>
    </w:p>
    <w:p>
      <w:pPr>
        <w:spacing w:after="0" w:line="35" w:lineRule="exact"/>
        <w:rPr>
          <w:sz w:val="20"/>
          <w:szCs w:val="20"/>
          <w:color w:val="auto"/>
        </w:rPr>
      </w:pPr>
    </w:p>
    <w:p>
      <w:pPr>
        <w:ind w:left="440"/>
        <w:spacing w:after="0" w:line="277" w:lineRule="auto"/>
        <w:rPr>
          <w:sz w:val="20"/>
          <w:szCs w:val="20"/>
          <w:color w:val="auto"/>
        </w:rPr>
      </w:pPr>
      <w:r>
        <w:rPr>
          <w:rFonts w:ascii="Arial" w:cs="Arial" w:eastAsia="Arial" w:hAnsi="Arial"/>
          <w:sz w:val="17"/>
          <w:szCs w:val="17"/>
          <w:color w:val="auto"/>
        </w:rPr>
        <w:t>e-mail) number or address) most recently specified by it in a notice delivered to the Administrative Agent and the Borrower (or, in the absence of any such notice, to the address (or telecopy or other facsimile or other electronic transmission (e.g., .pdf via e-mail) number or address) set forth in the Administrative Questionnaire of the Lender that is serving as such Issuing Bank or is an Affiliate thereof);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3" w:right="459" w:bottom="1440" w:gutter="0" w:footer="0" w:header="0"/>
        </w:sectPr>
      </w:pPr>
    </w:p>
    <w:bookmarkStart w:id="490" w:name="page491"/>
    <w:bookmarkEnd w:id="490"/>
    <w:p>
      <w:pPr>
        <w:ind w:left="440" w:right="20" w:firstLine="419"/>
        <w:spacing w:after="0" w:line="277" w:lineRule="auto"/>
        <w:tabs>
          <w:tab w:leader="none" w:pos="1168" w:val="left"/>
        </w:tabs>
        <w:numPr>
          <w:ilvl w:val="0"/>
          <w:numId w:val="6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any other Lender, to it at its address (or telecopy or other facsimile or other electronic transmission (e.g., .pdf via e-mail) number or address) set forth in its Administrative Questionnaire.</w:t>
      </w:r>
    </w:p>
    <w:p>
      <w:pPr>
        <w:spacing w:after="0" w:line="170"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telecopy (or other facsimile transmission or other electronic transmission (e.g., .pdf via e-mail))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53" w:lineRule="exact"/>
        <w:rPr>
          <w:sz w:val="20"/>
          <w:szCs w:val="20"/>
          <w:color w:val="auto"/>
        </w:rPr>
      </w:pPr>
    </w:p>
    <w:p>
      <w:pPr>
        <w:ind w:firstLine="987"/>
        <w:spacing w:after="0" w:line="255" w:lineRule="auto"/>
        <w:tabs>
          <w:tab w:leader="none" w:pos="124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Swing Line Lender and Issuing Banks hereunder may be delivered or furnished by electronic communications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unless otherwise agreed by the Administrative Agent and the applicable Lender, Swing Line Lender and applicable Issuing Bank.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84" w:lineRule="exact"/>
        <w:rPr>
          <w:rFonts w:ascii="Arial" w:cs="Arial" w:eastAsia="Arial" w:hAnsi="Arial"/>
          <w:sz w:val="18"/>
          <w:szCs w:val="18"/>
          <w:color w:val="auto"/>
        </w:rPr>
      </w:pPr>
    </w:p>
    <w:p>
      <w:pPr>
        <w:ind w:right="160" w:firstLine="987"/>
        <w:spacing w:after="0" w:line="286" w:lineRule="auto"/>
        <w:tabs>
          <w:tab w:leader="none" w:pos="1236" w:val="left"/>
        </w:tabs>
        <w:numPr>
          <w:ilvl w:val="0"/>
          <w:numId w:val="603"/>
        </w:numPr>
        <w:rPr>
          <w:rFonts w:ascii="Arial" w:cs="Arial" w:eastAsia="Arial" w:hAnsi="Arial"/>
          <w:sz w:val="17"/>
          <w:szCs w:val="17"/>
          <w:color w:val="auto"/>
        </w:rPr>
      </w:pPr>
      <w:r>
        <w:rPr>
          <w:rFonts w:ascii="Arial" w:cs="Arial" w:eastAsia="Arial" w:hAnsi="Arial"/>
          <w:sz w:val="17"/>
          <w:szCs w:val="17"/>
          <w:color w:val="auto"/>
        </w:rPr>
        <w:t>Any party hereto may change its address or telecopy (or other facsimile transmission or other electronic transmission) number or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The Borrower agrees that the Administrative Agent may make the Communications (as defined below) available to the Lenders by posting the Communications on Debt Domain, IntraLinks, Syndtrak, ClearPar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PLATFORM IS PROVIDED “AS IS” AND “AS AVAILABLE.” The Agent Parties (as defined below) do not warrant the adequacy of the Platform and expressly disclaim liability for errors or omissions in the communications effected thereby (the “</w:t>
      </w:r>
      <w:r>
        <w:rPr>
          <w:rFonts w:ascii="Arial" w:cs="Arial" w:eastAsia="Arial" w:hAnsi="Arial"/>
          <w:sz w:val="16"/>
          <w:szCs w:val="16"/>
          <w:u w:val="single" w:color="auto"/>
          <w:color w:val="auto"/>
        </w:rPr>
        <w:t>Communications</w:t>
      </w:r>
      <w:r>
        <w:rPr>
          <w:rFonts w:ascii="Arial" w:cs="Arial" w:eastAsia="Arial" w:hAnsi="Arial"/>
          <w:sz w:val="16"/>
          <w:szCs w:val="16"/>
          <w:color w:val="auto"/>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 Each Lender and each Issuing Bank agrees that notice to it (as provided in the next sentence)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3" w:right="459" w:bottom="1440" w:gutter="0" w:footer="0" w:header="0"/>
        </w:sectPr>
      </w:pPr>
    </w:p>
    <w:bookmarkStart w:id="491" w:name="page492"/>
    <w:bookmarkEnd w:id="491"/>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71"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any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 the Issuing Banks and the Lenders hereunder are cumulative and are not exclusive of any rights or remedies that they would otherwise have. No waiver of any provision of this Agreement or any other Loan Document or consent to any departure by the Borrower or other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amendment, extension or increase of a Letter of Credit shall not be construed as a waiver of any Default, regardless of whether any Agent, any Lender or the applicable Issuing Bank may have had notice or knowledge of such Default at the time.</w:t>
      </w:r>
    </w:p>
    <w:p>
      <w:pPr>
        <w:spacing w:after="0" w:line="58" w:lineRule="exact"/>
        <w:rPr>
          <w:sz w:val="20"/>
          <w:szCs w:val="20"/>
          <w:color w:val="auto"/>
        </w:rPr>
      </w:pPr>
    </w:p>
    <w:p>
      <w:pPr>
        <w:ind w:firstLine="987"/>
        <w:spacing w:after="0" w:line="286" w:lineRule="auto"/>
        <w:tabs>
          <w:tab w:leader="none" w:pos="1246" w:val="left"/>
        </w:tabs>
        <w:numPr>
          <w:ilvl w:val="0"/>
          <w:numId w:val="604"/>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none of this Agreement, any other Loan Document 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no such amendment, waiver or consent shall: (i) extend or increase the Commitment of any Lender without the written consent of such Lender, (ii) reduce the principal amount of any Loan, reduce the rate of interest thereon, or reduce any reimbursement obligation in respect of any Letter of Credit, or reduce any fees payable hereunder, without the written consent of each Lender and Issuing Bank directly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clause (ii) or (iii) of this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only the consent of the Required Lenders shall be necessary to waive any obligation of the Borrower to pay interest at the default rate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(iv) change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or any other Section hereof providing for the ratable treatment of the Lenders, in each case in a manner that would alter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sharing of payments required thereby, without the written consent of each Lender, (v) release all or substantially all of the value of any Guaranty or the Collateral, without the written consent of each Lender, except to the extent the release of any Guarantor or any Collateral is permitted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(in which case such release may be made by the Administrative Agent or the Collateral Agent, as applicable, acting alone), (vi) change any of the provisions of this Section or the percentage referred to in the definition of “Required Lenders” or any other provision hereof specifying the number or percentage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80"/>
          </w:cols>
          <w:pgMar w:left="440" w:top="273" w:right="479" w:bottom="1440" w:gutter="0" w:footer="0" w:header="0"/>
        </w:sectPr>
      </w:pPr>
    </w:p>
    <w:bookmarkStart w:id="492" w:name="page493"/>
    <w:bookmarkEnd w:id="49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Lenders required to waive, amend or modify any rights hereunder or make any determination or grant any consent hereunder, without the written consent of each Lender, (vii) extend the stated expiration date of any Letter of Credit beyond the Maturity Date without the written consent of the applicable Issuing Bank, each Lender directly affected thereby, and the beneficiary(ies) of such Letter of Credit or (viii) change the definition of “Pro Rata Share” without the written consent of each Lender. Notwithstanding anything to the contrary herein, (A) no such agreement shall amend, modify or otherwise affect the rights or duties of the Agent hereunder without the prior written consent of such Agent, (B) no such amendment shall amend, modify, terminate or waive any obligation of Lenders relating to the purchase of participations in Letters of Credit as provided in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without the written consent of the Administrative Agent and of each Issuing Bank, and no such agreement shall amend, modify or otherwise affect the rights or duties of any Issuing Bank hereunder without the prior written consent of such Issuing Bank, (C) no such amendment shall amend, modify, terminate or waive any provision hereof relating to the Swing Line Sublimit or the Swing Line Loans without the consent of Swing Line Lender, (D)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the termination thereof extended without the consent of such Lender, (y) the principal amount of any Defaulting Lender’s Loan, or the interest rate thereon or any fees payable hereunder to any Defaulting Lender may not be reduced without the consent of such Lender and (z) any waiver, amendment or modification requiring the consent of all Lenders or each affected Lender that by its terms affects any Defaulting Lender more adversely than other affected Lenders shall require the consent of such Defaulting Lender, (E) this Agreement may be amended to provide for a Commitment Increase in the manner contemplated by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and the extension of the Maturity Date as contemplated by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(F) the provisions of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requiring the Borrower to offer a Commitment Increase to the Lenders prior to any other Person may be amended or waived with the consent of the Required Lenders and (G) any provision of this Agreement or any other Loan Document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78"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Borrower shall pay (i) all reasonable and documented out-of-pocket expenses incurred by the Agents, the Arranger, the Joint Bookrunners and their respective Affiliates, including the reasonable and documented fees, disbursements and other charges of one firm of counsel for the Agents, the Arranger and the Joint Bookrunners, taken as a whole, (and if reasonably necessary (as determined by the Administrative Agent in consultation with the Borrower), of a single local counsel in each appropriate jurisdiction)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and (ii) all documented out-of-pocket expenses incurred by the Agents, the Arranger, the Joint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3" w:right="459" w:bottom="1440" w:gutter="0" w:footer="0" w:header="0"/>
        </w:sectPr>
      </w:pPr>
    </w:p>
    <w:bookmarkStart w:id="493" w:name="page494"/>
    <w:bookmarkEnd w:id="49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Bookrunners, each Issuing Bank and each Lender, including the fees, disbursements and other charges of one firm of counsel for the Agents and the Lenders, taken as a whole, (and if reasonably necessary (as determined by the Administrative Agent in consultation with the Borrower), of a single local counsel in each appropriate jurisdiction and in the case of an actual or potential conflict of interest where the Agents or any Lender affected by such conflict informs the Borrower of such conflict and thereafter retains its own counsel, of another firm of counsel for such affected person), in connection with the enforcement or protection of its rights in connection with this Agreement or any other Loan Document, including its rights under this Section, or in connection with the Loans made, or Letters of Credit issued hereunder, including all such out-of pocket expenses incurred during any workout, restructuring or negotiations in respect of such Loans or Letters of Credit.</w:t>
      </w:r>
    </w:p>
    <w:p>
      <w:pPr>
        <w:spacing w:after="0" w:line="69" w:lineRule="exact"/>
        <w:rPr>
          <w:sz w:val="20"/>
          <w:szCs w:val="20"/>
          <w:color w:val="auto"/>
        </w:rPr>
      </w:pPr>
    </w:p>
    <w:p>
      <w:pPr>
        <w:ind w:firstLine="987"/>
        <w:spacing w:after="0" w:line="284" w:lineRule="auto"/>
        <w:tabs>
          <w:tab w:leader="none" w:pos="1246" w:val="left"/>
        </w:tabs>
        <w:numPr>
          <w:ilvl w:val="0"/>
          <w:numId w:val="605"/>
        </w:numPr>
        <w:rPr>
          <w:rFonts w:ascii="Arial" w:cs="Arial" w:eastAsia="Arial" w:hAnsi="Arial"/>
          <w:sz w:val="16"/>
          <w:szCs w:val="16"/>
          <w:color w:val="auto"/>
        </w:rPr>
      </w:pPr>
      <w:r>
        <w:rPr>
          <w:rFonts w:ascii="Arial" w:cs="Arial" w:eastAsia="Arial" w:hAnsi="Arial"/>
          <w:sz w:val="16"/>
          <w:szCs w:val="16"/>
          <w:color w:val="auto"/>
        </w:rPr>
        <w:t>Each Loan Party shall indemnify the Agents, the Arranger, the Joint Bookrunners,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costs or reasonable and documented expenses, including the fees, charges and disbursements of any counsel for any Indemnitee, incurred by or asserted against any Indemnitee by any third party or by the Borrower or any other Loan Party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thereof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the Borrower or any Affiliate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(w) with respect to Taxes (and amounts relating thereto), the indemnification for which shall be governed solely and exclusively by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other than any Taxes that represent losses, claims or damages arising from any non-Tax claim, (x) to the extent that such losses, claims, damages, liabilities, costs or reasonable and documented expenses are determined by a court of competent jurisdiction by final and non-appealable judgment to have resulted from the gross negligence or willful misconduct of such Indemnitee, (y) if arising from a material breach by such Indemnitee or one of its Affiliates of its express obligations under this Agreement or any other Loan Document (as determined by a court of competent jurisdiction by final and non-appealable judgment) or (z) if arising from any dispute between and among Indemnitees that does not involve an act or omission by the direct parent of the Borrower, the Borrower or any of its Subsidiaries (as determined by a court of competent jurisdiction by final and non-appealable judgment) other than any proceeding against any Agent, the Collateral Agent, the Arranger, the Joint Bookrunners or the Issuing Banks in such capacity.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60"/>
          </w:cols>
          <w:pgMar w:left="440" w:top="273" w:right="499" w:bottom="1440" w:gutter="0" w:footer="0" w:header="0"/>
        </w:sectPr>
      </w:pPr>
    </w:p>
    <w:bookmarkStart w:id="494" w:name="page495"/>
    <w:bookmarkEnd w:id="494"/>
    <w:p>
      <w:pPr>
        <w:ind w:left="1244" w:hanging="253"/>
        <w:spacing w:after="0"/>
        <w:tabs>
          <w:tab w:leader="none" w:pos="1244" w:val="left"/>
        </w:tabs>
        <w:numPr>
          <w:ilvl w:val="1"/>
          <w:numId w:val="6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that any Loan Party fails to pay any amount required to be paid by it to the Agents or the Issuing Banks under paragraph</w:t>
      </w:r>
    </w:p>
    <w:p>
      <w:pPr>
        <w:spacing w:after="0" w:line="46" w:lineRule="exact"/>
        <w:rPr>
          <w:rFonts w:ascii="Arial" w:cs="Arial" w:eastAsia="Arial" w:hAnsi="Arial"/>
          <w:sz w:val="16"/>
          <w:szCs w:val="16"/>
          <w:color w:val="auto"/>
        </w:rPr>
      </w:pPr>
    </w:p>
    <w:p>
      <w:pPr>
        <w:ind w:left="4" w:right="140" w:hanging="4"/>
        <w:spacing w:after="0" w:line="253" w:lineRule="auto"/>
        <w:tabs>
          <w:tab w:leader="none" w:pos="249" w:val="left"/>
        </w:tabs>
        <w:numPr>
          <w:ilvl w:val="0"/>
          <w:numId w:val="607"/>
        </w:numPr>
        <w:rPr>
          <w:rFonts w:ascii="Arial" w:cs="Arial" w:eastAsia="Arial" w:hAnsi="Arial"/>
          <w:sz w:val="18"/>
          <w:szCs w:val="18"/>
          <w:color w:val="auto"/>
        </w:rPr>
      </w:pPr>
      <w:r>
        <w:rPr>
          <w:rFonts w:ascii="Arial" w:cs="Arial" w:eastAsia="Arial" w:hAnsi="Arial"/>
          <w:sz w:val="18"/>
          <w:szCs w:val="18"/>
          <w:color w:val="auto"/>
        </w:rPr>
        <w:t xml:space="preserve">or (b) of this Section, each Lender severally agrees to pay to the Issuing Bank or such Agent,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such Agent or the Issuing Banks in its capacity as such.</w:t>
      </w:r>
    </w:p>
    <w:p>
      <w:pPr>
        <w:spacing w:after="0" w:line="84" w:lineRule="exact"/>
        <w:rPr>
          <w:rFonts w:ascii="Arial" w:cs="Arial" w:eastAsia="Arial" w:hAnsi="Arial"/>
          <w:sz w:val="18"/>
          <w:szCs w:val="18"/>
          <w:color w:val="auto"/>
        </w:rPr>
      </w:pPr>
    </w:p>
    <w:p>
      <w:pPr>
        <w:ind w:left="4" w:firstLine="987"/>
        <w:spacing w:after="0" w:line="287" w:lineRule="auto"/>
        <w:tabs>
          <w:tab w:leader="none" w:pos="1250" w:val="left"/>
        </w:tabs>
        <w:numPr>
          <w:ilvl w:val="1"/>
          <w:numId w:val="607"/>
        </w:numPr>
        <w:rPr>
          <w:rFonts w:ascii="Arial" w:cs="Arial" w:eastAsia="Arial" w:hAnsi="Arial"/>
          <w:sz w:val="16"/>
          <w:szCs w:val="16"/>
          <w:color w:val="auto"/>
        </w:rPr>
      </w:pPr>
      <w:r>
        <w:rPr>
          <w:rFonts w:ascii="Arial" w:cs="Arial" w:eastAsia="Arial" w:hAnsi="Arial"/>
          <w:sz w:val="16"/>
          <w:szCs w:val="16"/>
          <w:color w:val="auto"/>
        </w:rPr>
        <w:t xml:space="preserve">Without limiting in any way the indemnification obligations of the Loan Parties pursuant to </w:t>
      </w:r>
      <w:r>
        <w:rPr>
          <w:rFonts w:ascii="Arial" w:cs="Arial" w:eastAsia="Arial" w:hAnsi="Arial"/>
          <w:sz w:val="16"/>
          <w:szCs w:val="16"/>
          <w:u w:val="single" w:color="auto"/>
          <w:color w:val="auto"/>
        </w:rPr>
        <w:t>Section 10.3(b)</w:t>
      </w:r>
      <w:r>
        <w:rPr>
          <w:rFonts w:ascii="Arial" w:cs="Arial" w:eastAsia="Arial" w:hAnsi="Arial"/>
          <w:sz w:val="16"/>
          <w:szCs w:val="16"/>
          <w:color w:val="auto"/>
        </w:rPr>
        <w:t xml:space="preserve"> or of the Lenders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to the extent permitted by applicable law, each party hereto shall not assert, and hereby waives, any claim against any Indemnitee or the Borrower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any Loan or Letter of Credit or the use of the proceeds thereof. No Indemnitee shall be liable for (i) any indirect, special, exemplary, incidental, punitive or consequential damages (including any loss of profits, business or anticipated savings) which may be alleged as a result of this Agreement, any other Loan Document or any agreement or instrument contemplated hereby, the Transactions, any Loan or Letter of Credit or the use of the proceeds thereof and (ii)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63" w:lineRule="exact"/>
        <w:rPr>
          <w:rFonts w:ascii="Arial" w:cs="Arial" w:eastAsia="Arial" w:hAnsi="Arial"/>
          <w:sz w:val="16"/>
          <w:szCs w:val="16"/>
          <w:color w:val="auto"/>
        </w:rPr>
      </w:pPr>
    </w:p>
    <w:p>
      <w:pPr>
        <w:ind w:left="1244" w:hanging="253"/>
        <w:spacing w:after="0"/>
        <w:tabs>
          <w:tab w:leader="none" w:pos="1244" w:val="left"/>
        </w:tabs>
        <w:numPr>
          <w:ilvl w:val="1"/>
          <w:numId w:val="607"/>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each Issuing Bank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Agent and the Lenders) any legal or equitable right, remedy or claim under or by reason of this Agreement.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4"/>
          </w:cols>
          <w:pgMar w:left="436" w:top="273" w:right="459" w:bottom="1440" w:gutter="0" w:footer="0" w:header="0"/>
        </w:sectPr>
      </w:pPr>
    </w:p>
    <w:bookmarkStart w:id="495" w:name="page496"/>
    <w:bookmarkEnd w:id="495"/>
    <w:p>
      <w:pPr>
        <w:ind w:right="40" w:firstLine="987"/>
        <w:spacing w:after="0" w:line="311" w:lineRule="auto"/>
        <w:tabs>
          <w:tab w:leader="none" w:pos="1246" w:val="left"/>
        </w:tabs>
        <w:numPr>
          <w:ilvl w:val="1"/>
          <w:numId w:val="6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Subject to the conditions set forth in paragraph (b)(ii) below, any Lender may assign to one or more assignees (but not to the Borrower or an Affiliate thereof or any natural person)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40" w:lineRule="exact"/>
        <w:rPr>
          <w:rFonts w:ascii="Arial" w:cs="Arial" w:eastAsia="Arial" w:hAnsi="Arial"/>
          <w:sz w:val="16"/>
          <w:szCs w:val="16"/>
          <w:color w:val="auto"/>
        </w:rPr>
      </w:pPr>
    </w:p>
    <w:p>
      <w:pPr>
        <w:ind w:left="440" w:right="60" w:firstLine="948"/>
        <w:spacing w:after="0" w:line="287" w:lineRule="auto"/>
        <w:tabs>
          <w:tab w:leader="none" w:pos="1687" w:val="left"/>
        </w:tabs>
        <w:numPr>
          <w:ilvl w:val="2"/>
          <w:numId w:val="608"/>
        </w:numPr>
        <w:rPr>
          <w:rFonts w:ascii="Arial" w:cs="Arial" w:eastAsia="Arial" w:hAnsi="Arial"/>
          <w:sz w:val="16"/>
          <w:szCs w:val="16"/>
          <w:color w:val="auto"/>
        </w:rPr>
      </w:pPr>
      <w:r>
        <w:rPr>
          <w:rFonts w:ascii="Arial" w:cs="Arial" w:eastAsia="Arial" w:hAnsi="Arial"/>
          <w:sz w:val="16"/>
          <w:szCs w:val="16"/>
          <w:color w:val="auto"/>
        </w:rPr>
        <w:t xml:space="preserve">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to a Lender, an Affiliate of a Lender, an Approved Fund or, if an Event of Default has occurred and is continuing, any other assignee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w:t>
      </w:r>
    </w:p>
    <w:p>
      <w:pPr>
        <w:spacing w:after="0" w:line="2" w:lineRule="exact"/>
        <w:rPr>
          <w:rFonts w:ascii="Arial" w:cs="Arial" w:eastAsia="Arial" w:hAnsi="Arial"/>
          <w:sz w:val="16"/>
          <w:szCs w:val="16"/>
          <w:color w:val="auto"/>
        </w:rPr>
      </w:pPr>
    </w:p>
    <w:p>
      <w:pPr>
        <w:ind w:left="700" w:hanging="264"/>
        <w:spacing w:after="0"/>
        <w:tabs>
          <w:tab w:leader="none" w:pos="70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Business Days after having received notice thereof; and</w:t>
      </w:r>
    </w:p>
    <w:p>
      <w:pPr>
        <w:spacing w:after="0" w:line="102" w:lineRule="exact"/>
        <w:rPr>
          <w:rFonts w:ascii="Arial" w:cs="Arial" w:eastAsia="Arial" w:hAnsi="Arial"/>
          <w:sz w:val="18"/>
          <w:szCs w:val="18"/>
          <w:color w:val="auto"/>
        </w:rPr>
      </w:pPr>
    </w:p>
    <w:p>
      <w:pPr>
        <w:ind w:left="1680" w:hanging="292"/>
        <w:spacing w:after="0"/>
        <w:tabs>
          <w:tab w:leader="none" w:pos="1680" w:val="left"/>
        </w:tabs>
        <w:numPr>
          <w:ilvl w:val="2"/>
          <w:numId w:val="609"/>
        </w:numPr>
        <w:rPr>
          <w:rFonts w:ascii="Arial" w:cs="Arial" w:eastAsia="Arial" w:hAnsi="Arial"/>
          <w:sz w:val="18"/>
          <w:szCs w:val="18"/>
          <w:color w:val="auto"/>
        </w:rPr>
      </w:pPr>
      <w:r>
        <w:rPr>
          <w:rFonts w:ascii="Arial" w:cs="Arial" w:eastAsia="Arial" w:hAnsi="Arial"/>
          <w:sz w:val="18"/>
          <w:szCs w:val="18"/>
          <w:color w:val="auto"/>
        </w:rPr>
        <w:t>the Administrative Agent, each Issuing Bank and Swing Line Lender.</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117" w:lineRule="exact"/>
        <w:rPr>
          <w:sz w:val="20"/>
          <w:szCs w:val="20"/>
          <w:color w:val="auto"/>
        </w:rPr>
      </w:pPr>
    </w:p>
    <w:p>
      <w:pPr>
        <w:ind w:left="440" w:right="100" w:firstLine="948"/>
        <w:spacing w:after="0" w:line="296" w:lineRule="auto"/>
        <w:tabs>
          <w:tab w:leader="none" w:pos="1687" w:val="left"/>
        </w:tabs>
        <w:numPr>
          <w:ilvl w:val="1"/>
          <w:numId w:val="610"/>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53" w:lineRule="exact"/>
        <w:rPr>
          <w:rFonts w:ascii="Arial" w:cs="Arial" w:eastAsia="Arial" w:hAnsi="Arial"/>
          <w:sz w:val="16"/>
          <w:szCs w:val="16"/>
          <w:color w:val="auto"/>
        </w:rPr>
      </w:pPr>
    </w:p>
    <w:p>
      <w:pPr>
        <w:ind w:left="440" w:right="840" w:firstLine="948"/>
        <w:spacing w:after="0" w:line="277" w:lineRule="auto"/>
        <w:tabs>
          <w:tab w:leader="none" w:pos="1677" w:val="left"/>
        </w:tabs>
        <w:numPr>
          <w:ilvl w:val="1"/>
          <w:numId w:val="610"/>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62" w:lineRule="exact"/>
        <w:rPr>
          <w:rFonts w:ascii="Arial" w:cs="Arial" w:eastAsia="Arial" w:hAnsi="Arial"/>
          <w:sz w:val="18"/>
          <w:szCs w:val="18"/>
          <w:color w:val="auto"/>
        </w:rPr>
      </w:pPr>
    </w:p>
    <w:p>
      <w:pPr>
        <w:ind w:left="440" w:right="260" w:firstLine="948"/>
        <w:spacing w:after="0" w:line="277" w:lineRule="auto"/>
        <w:tabs>
          <w:tab w:leader="none" w:pos="1677"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62" w:lineRule="exact"/>
        <w:rPr>
          <w:rFonts w:ascii="Arial" w:cs="Arial" w:eastAsia="Arial" w:hAnsi="Arial"/>
          <w:sz w:val="18"/>
          <w:szCs w:val="18"/>
          <w:color w:val="auto"/>
        </w:rPr>
      </w:pPr>
    </w:p>
    <w:p>
      <w:pPr>
        <w:ind w:left="440" w:firstLine="948"/>
        <w:spacing w:after="0" w:line="257" w:lineRule="auto"/>
        <w:tabs>
          <w:tab w:leader="none" w:pos="1687"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any tax forms required by Section 2.16(e) and an Administrative Questionnaire in which the assignee designates one or more credit contacts to whom all syndicate-level information (which may contain material non-public information about the Borrower and its Related Parties or their respective securities) will be made available and who may receive such information in accordance with the assignee’s compliance procedures and applicable laws, including Federal and state securities laws;</w:t>
      </w:r>
    </w:p>
    <w:p>
      <w:pPr>
        <w:spacing w:after="0" w:line="79" w:lineRule="exact"/>
        <w:rPr>
          <w:rFonts w:ascii="Arial" w:cs="Arial" w:eastAsia="Arial" w:hAnsi="Arial"/>
          <w:sz w:val="18"/>
          <w:szCs w:val="18"/>
          <w:color w:val="auto"/>
        </w:rPr>
      </w:pPr>
    </w:p>
    <w:p>
      <w:pPr>
        <w:jc w:val="both"/>
        <w:ind w:left="440" w:right="20" w:firstLine="948"/>
        <w:spacing w:after="0" w:line="291" w:lineRule="auto"/>
        <w:tabs>
          <w:tab w:leader="none" w:pos="1667" w:val="left"/>
        </w:tabs>
        <w:numPr>
          <w:ilvl w:val="1"/>
          <w:numId w:val="610"/>
        </w:numPr>
        <w:rPr>
          <w:rFonts w:ascii="Arial" w:cs="Arial" w:eastAsia="Arial" w:hAnsi="Arial"/>
          <w:sz w:val="16"/>
          <w:szCs w:val="16"/>
          <w:color w:val="auto"/>
        </w:rPr>
      </w:pPr>
      <w:r>
        <w:rPr>
          <w:rFonts w:ascii="Arial" w:cs="Arial" w:eastAsia="Arial" w:hAnsi="Arial"/>
          <w:sz w:val="16"/>
          <w:szCs w:val="16"/>
          <w:color w:val="auto"/>
        </w:rPr>
        <w:t>no such assignment shall be made to (i) any Loan Party nor any Affiliate of a Loan Party, (ii) any Defaulting Lender or any of its subsidiaries, or any Person, who, upon becoming a Lender hereunder, would constitute any of the foregoing Persons described in this clause (ii) or</w:t>
      </w:r>
    </w:p>
    <w:p>
      <w:pPr>
        <w:ind w:left="760" w:hanging="324"/>
        <w:spacing w:after="0"/>
        <w:tabs>
          <w:tab w:leader="none" w:pos="76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any Disqualified Lender;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3" w:right="459" w:bottom="1440" w:gutter="0" w:footer="0" w:header="0"/>
        </w:sectPr>
      </w:pPr>
    </w:p>
    <w:bookmarkStart w:id="496" w:name="page497"/>
    <w:bookmarkEnd w:id="496"/>
    <w:p>
      <w:pPr>
        <w:ind w:left="440" w:firstLine="948"/>
        <w:spacing w:after="0" w:line="269" w:lineRule="auto"/>
        <w:tabs>
          <w:tab w:leader="none" w:pos="1657" w:val="left"/>
        </w:tabs>
        <w:numPr>
          <w:ilvl w:val="0"/>
          <w:numId w:val="6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purposes of this Section, the term “Approved Fund” has the following meaning:</w:t>
      </w:r>
    </w:p>
    <w:p>
      <w:pPr>
        <w:spacing w:after="0" w:line="225"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76" w:lineRule="exact"/>
        <w:rPr>
          <w:sz w:val="20"/>
          <w:szCs w:val="20"/>
          <w:color w:val="auto"/>
        </w:rPr>
      </w:pPr>
    </w:p>
    <w:p>
      <w:pPr>
        <w:ind w:left="440" w:right="20" w:firstLine="419"/>
        <w:spacing w:after="0" w:line="288" w:lineRule="auto"/>
        <w:tabs>
          <w:tab w:leader="none" w:pos="1178" w:val="left"/>
        </w:tabs>
        <w:numPr>
          <w:ilvl w:val="0"/>
          <w:numId w:val="613"/>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440" w:top="273" w:right="439" w:bottom="1440" w:gutter="0" w:footer="0" w:header="0"/>
        </w:sectPr>
      </w:pPr>
    </w:p>
    <w:bookmarkStart w:id="497" w:name="page498"/>
    <w:bookmarkEnd w:id="497"/>
    <w:p>
      <w:pPr>
        <w:ind w:left="420" w:firstLine="419"/>
        <w:spacing w:after="0" w:line="286" w:lineRule="auto"/>
        <w:tabs>
          <w:tab w:leader="none" w:pos="1148" w:val="left"/>
        </w:tabs>
        <w:numPr>
          <w:ilvl w:val="1"/>
          <w:numId w:val="6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amounts on the Loans owing to, and drawings under Letters of Credit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is intended to establish that each Commitment, Loan, Letter of Credit or other obligation is in registered form under Section 5f.103-1(c) of the United States Treasury Regulations. The Register shall be available for inspection by the Borrower, any Issuing Bank and any Lender, at any reasonable time and from time to time upon reasonable prior notice. The Borrower agrees to indemnify the Administrative Agent from and against any and all losses, claims, damages and liabilities of whatsoever nature which may be imposed on, asserted against or incurred by the Administrative Agent in performing its duties under this </w:t>
      </w:r>
      <w:r>
        <w:rPr>
          <w:rFonts w:ascii="Arial" w:cs="Arial" w:eastAsia="Arial" w:hAnsi="Arial"/>
          <w:sz w:val="16"/>
          <w:szCs w:val="16"/>
          <w:u w:val="single" w:color="auto"/>
          <w:color w:val="auto"/>
        </w:rPr>
        <w:t>Section 10.4(b)(iv)</w:t>
      </w:r>
      <w:r>
        <w:rPr>
          <w:rFonts w:ascii="Arial" w:cs="Arial" w:eastAsia="Arial" w:hAnsi="Arial"/>
          <w:sz w:val="16"/>
          <w:szCs w:val="16"/>
          <w:color w:val="auto"/>
        </w:rPr>
        <w:t>, except to the extent that such losses, claims, damages or liabilities are determined by a court of competent jurisdiction by final and non-appealable judgment to have resulted from the gross negligence or willful misconduct of the Administrative Agent. The Loans (including principal and interest) are registered obligations and the right, title, and interest of any Lender or its assigns in and to such Loans shall be transferable only upon notation of such transfer in the Register.</w:t>
      </w:r>
    </w:p>
    <w:p>
      <w:pPr>
        <w:spacing w:after="0" w:line="62" w:lineRule="exact"/>
        <w:rPr>
          <w:rFonts w:ascii="Arial" w:cs="Arial" w:eastAsia="Arial" w:hAnsi="Arial"/>
          <w:sz w:val="16"/>
          <w:szCs w:val="16"/>
          <w:color w:val="auto"/>
        </w:rPr>
      </w:pPr>
    </w:p>
    <w:p>
      <w:pPr>
        <w:ind w:left="420" w:right="60" w:firstLine="419"/>
        <w:spacing w:after="0" w:line="287" w:lineRule="auto"/>
        <w:tabs>
          <w:tab w:leader="none" w:pos="1098" w:val="left"/>
        </w:tabs>
        <w:numPr>
          <w:ilvl w:val="1"/>
          <w:numId w:val="614"/>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and any tax forms required by Section 2.16(e) (unless the assignee shall already be a Lender hereunder), the processing and recordation fee referred to in paragraph (b) of this Section and any written consent to such assignment required by paragraph</w:t>
      </w:r>
    </w:p>
    <w:p>
      <w:pPr>
        <w:spacing w:after="0" w:line="2" w:lineRule="exact"/>
        <w:rPr>
          <w:rFonts w:ascii="Arial" w:cs="Arial" w:eastAsia="Arial" w:hAnsi="Arial"/>
          <w:sz w:val="16"/>
          <w:szCs w:val="16"/>
          <w:color w:val="auto"/>
        </w:rPr>
      </w:pPr>
    </w:p>
    <w:p>
      <w:pPr>
        <w:ind w:left="420" w:right="20" w:hanging="4"/>
        <w:spacing w:after="0" w:line="292" w:lineRule="auto"/>
        <w:tabs>
          <w:tab w:leader="none" w:pos="675" w:val="left"/>
        </w:tabs>
        <w:numPr>
          <w:ilvl w:val="0"/>
          <w:numId w:val="615"/>
        </w:numPr>
        <w:rPr>
          <w:rFonts w:ascii="Arial" w:cs="Arial" w:eastAsia="Arial" w:hAnsi="Arial"/>
          <w:sz w:val="16"/>
          <w:szCs w:val="16"/>
          <w:color w:val="auto"/>
        </w:rPr>
      </w:pPr>
      <w:r>
        <w:rPr>
          <w:rFonts w:ascii="Arial" w:cs="Arial" w:eastAsia="Arial" w:hAnsi="Arial"/>
          <w:sz w:val="16"/>
          <w:szCs w:val="16"/>
          <w:color w:val="auto"/>
        </w:rPr>
        <w:t xml:space="preserve">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10.3(c)</w:t>
      </w:r>
      <w:r>
        <w:rPr>
          <w:rFonts w:ascii="Arial" w:cs="Arial" w:eastAsia="Arial" w:hAnsi="Arial"/>
          <w:sz w:val="16"/>
          <w:szCs w:val="16"/>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54" w:lineRule="exact"/>
        <w:rPr>
          <w:rFonts w:ascii="Arial" w:cs="Arial" w:eastAsia="Arial" w:hAnsi="Arial"/>
          <w:sz w:val="16"/>
          <w:szCs w:val="16"/>
          <w:color w:val="auto"/>
        </w:rPr>
      </w:pPr>
    </w:p>
    <w:p>
      <w:pPr>
        <w:ind w:left="-20" w:right="120" w:firstLine="987"/>
        <w:spacing w:after="0" w:line="254" w:lineRule="auto"/>
        <w:tabs>
          <w:tab w:leader="none" w:pos="1216" w:val="left"/>
        </w:tabs>
        <w:numPr>
          <w:ilvl w:val="2"/>
          <w:numId w:val="615"/>
        </w:numPr>
        <w:rPr>
          <w:rFonts w:ascii="Arial" w:cs="Arial" w:eastAsia="Arial" w:hAnsi="Arial"/>
          <w:sz w:val="18"/>
          <w:szCs w:val="18"/>
          <w:color w:val="auto"/>
        </w:rPr>
      </w:pPr>
      <w:r>
        <w:rPr>
          <w:rFonts w:ascii="Arial" w:cs="Arial" w:eastAsia="Arial" w:hAnsi="Arial"/>
          <w:sz w:val="18"/>
          <w:szCs w:val="18"/>
          <w:color w:val="auto"/>
        </w:rPr>
        <w:t>(i) Any Lender may, without the consent of, or notice to, the Borrower, the Administrative Agent, sell participations to one or more banks or other entities (but not to the Borrower or an Affiliate thereof or any natural person)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60"/>
          </w:cols>
          <w:pgMar w:left="460" w:top="273" w:right="479" w:bottom="1440" w:gutter="0" w:footer="0" w:header="0"/>
        </w:sectPr>
      </w:pPr>
    </w:p>
    <w:bookmarkStart w:id="498" w:name="page499"/>
    <w:bookmarkEnd w:id="49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shall retain the sole right to enforce this Agreement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that affects such Participant. Subject to paragraph (c)(ii) of this Section, the Borrower agrees that each Participant shall be entitled to the benefits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(subject to the requirements and limitations therein, including the requirements under Section 2.16(e) (it being understood and agreed that the documentation required under Section 2.16(e) shall be delivered to the participating Lender)) to the same extent as if it were a Lender and had acquired its interest by assignment pursuant to paragraph (b) of this Section; provided that such Participant agrees to be subject to the provisions of Section 10.12 as if it were an assignee under paragraph (b) of this Section. To the extent permitted by law, each Participant also shall be entitled to the benefits of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as though it were a Lender.</w:t>
      </w:r>
    </w:p>
    <w:p>
      <w:pPr>
        <w:spacing w:after="0" w:line="58" w:lineRule="exact"/>
        <w:rPr>
          <w:sz w:val="20"/>
          <w:szCs w:val="20"/>
          <w:color w:val="auto"/>
        </w:rPr>
      </w:pPr>
    </w:p>
    <w:p>
      <w:pPr>
        <w:ind w:left="440" w:right="180" w:firstLine="419"/>
        <w:spacing w:after="0" w:line="293" w:lineRule="auto"/>
        <w:tabs>
          <w:tab w:leader="none" w:pos="1128" w:val="left"/>
        </w:tabs>
        <w:numPr>
          <w:ilvl w:val="0"/>
          <w:numId w:val="616"/>
        </w:numPr>
        <w:rPr>
          <w:rFonts w:ascii="Arial" w:cs="Arial" w:eastAsia="Arial" w:hAnsi="Arial"/>
          <w:sz w:val="16"/>
          <w:szCs w:val="16"/>
          <w:color w:val="auto"/>
        </w:rPr>
      </w:pPr>
      <w:r>
        <w:rPr>
          <w:rFonts w:ascii="Arial" w:cs="Arial" w:eastAsia="Arial" w:hAnsi="Arial"/>
          <w:sz w:val="16"/>
          <w:szCs w:val="16"/>
          <w:color w:val="auto"/>
        </w:rPr>
        <w:t xml:space="preserve">The Borrower agrees that each Participant shall be entitled to the benefits of Sections 2.14 and 2.16 (subject to the requirements and limitations therein, including the requirements under Section 2.16(e) (it being understood that the documentation required under Section 2.16(e)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that a Participant shall not be entitled to receive any greater payment under Section 2.14 or Section 2.16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56" w:lineRule="exact"/>
        <w:rPr>
          <w:rFonts w:ascii="Arial" w:cs="Arial" w:eastAsia="Arial" w:hAnsi="Arial"/>
          <w:sz w:val="16"/>
          <w:szCs w:val="16"/>
          <w:color w:val="auto"/>
        </w:rPr>
      </w:pPr>
    </w:p>
    <w:p>
      <w:pPr>
        <w:ind w:left="440" w:right="20" w:firstLine="419"/>
        <w:spacing w:after="0" w:line="269" w:lineRule="auto"/>
        <w:tabs>
          <w:tab w:leader="none" w:pos="1178" w:val="left"/>
        </w:tabs>
        <w:numPr>
          <w:ilvl w:val="0"/>
          <w:numId w:val="616"/>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United States federal income tax purposes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77" w:lineRule="exact"/>
        <w:rPr>
          <w:rFonts w:ascii="Arial" w:cs="Arial" w:eastAsia="Arial" w:hAnsi="Arial"/>
          <w:sz w:val="17"/>
          <w:szCs w:val="17"/>
          <w:color w:val="auto"/>
        </w:rPr>
      </w:pPr>
    </w:p>
    <w:p>
      <w:pPr>
        <w:ind w:right="120" w:firstLine="987"/>
        <w:spacing w:after="0" w:line="279" w:lineRule="auto"/>
        <w:tabs>
          <w:tab w:leader="none" w:pos="1246" w:val="left"/>
        </w:tabs>
        <w:numPr>
          <w:ilvl w:val="1"/>
          <w:numId w:val="616"/>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3" w:right="459" w:bottom="1440" w:gutter="0" w:footer="0" w:header="0"/>
        </w:sectPr>
      </w:pPr>
    </w:p>
    <w:bookmarkStart w:id="499" w:name="page500"/>
    <w:bookmarkEnd w:id="499"/>
    <w:p>
      <w:pPr>
        <w:ind w:left="-20" w:right="20" w:firstLine="987"/>
        <w:spacing w:after="0" w:line="269" w:lineRule="auto"/>
        <w:tabs>
          <w:tab w:leader="none" w:pos="1216" w:val="left"/>
        </w:tabs>
        <w:numPr>
          <w:ilvl w:val="1"/>
          <w:numId w:val="6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No assignment or participation shall be made to any Person that was a Disqualified Lender (other than, in the case of participations (but not assignments), a Person who was a Disqualified Institution solely as a result of clause (c) of the definition thereof) as of the date (the “</w:t>
      </w:r>
      <w:r>
        <w:rPr>
          <w:rFonts w:ascii="Arial" w:cs="Arial" w:eastAsia="Arial" w:hAnsi="Arial"/>
          <w:sz w:val="17"/>
          <w:szCs w:val="17"/>
          <w:u w:val="single" w:color="auto"/>
          <w:color w:val="auto"/>
        </w:rPr>
        <w:t>Trade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on 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Lender for the purpose of such assignment or participation). For the avoidance of doubt, with respect to any assignee that becomes a Disqualified Lender after the applicable Trade Date (including as a result of the delivery of a notice pursuant to, and/or the expiration of the notice period referred to in, the definition of “Disqualified Lender”), (A) such assignee shall not retroactively be disqualified from becoming a Lender and (B) the execution by the Borrower of an Assignment and Assumption with respect to such assignee will not by itself result in such assignee no longer being considered a Disqualified Lender. Any assignment in violation of this clause (e)(i) shall not be void, but the other provisions of this clause (e) shall apply.</w:t>
      </w:r>
    </w:p>
    <w:p>
      <w:pPr>
        <w:spacing w:after="0" w:line="77" w:lineRule="exact"/>
        <w:rPr>
          <w:rFonts w:ascii="Arial" w:cs="Arial" w:eastAsia="Arial" w:hAnsi="Arial"/>
          <w:sz w:val="17"/>
          <w:szCs w:val="17"/>
          <w:color w:val="auto"/>
        </w:rPr>
      </w:pPr>
    </w:p>
    <w:p>
      <w:pPr>
        <w:ind w:left="420" w:right="60" w:firstLine="419"/>
        <w:spacing w:after="0" w:line="289" w:lineRule="auto"/>
        <w:tabs>
          <w:tab w:leader="none" w:pos="1108" w:val="left"/>
        </w:tabs>
        <w:numPr>
          <w:ilvl w:val="0"/>
          <w:numId w:val="618"/>
        </w:numPr>
        <w:rPr>
          <w:rFonts w:ascii="Arial" w:cs="Arial" w:eastAsia="Arial" w:hAnsi="Arial"/>
          <w:sz w:val="16"/>
          <w:szCs w:val="16"/>
          <w:color w:val="auto"/>
        </w:rPr>
      </w:pPr>
      <w:r>
        <w:rPr>
          <w:rFonts w:ascii="Arial" w:cs="Arial" w:eastAsia="Arial" w:hAnsi="Arial"/>
          <w:sz w:val="16"/>
          <w:szCs w:val="16"/>
          <w:color w:val="auto"/>
        </w:rPr>
        <w:t>If any assignment or participation is made to any Disqualified Lender without the Borrower’s sole prior written consent in violation of clause (e)(i) above, or if any Person becomes a Disqualified Lender after the applicable Trade Date, the Borrower may, at its sole expense and effort, upon notice to the applicable Disqualified Lender and the Administrative Agent, (A) in the case of outstanding Loans held by Disqualified Lenders, purchase or prepay such Loans by paying the lesser of (x) the principal amount thereof and (y) the amount that such Disqualified Lender paid to acquire such Loans, in each case plus accrued interest, accrued fees and all other amounts (other than principal amounts) payable to it hereunder and/or (B) require such Disqualified Lender to assign, without recourse (in accordance with and subject to the restrictions contained in this Section 10.4), all of its interest, rights and obligations under this Agreement to one or more Persons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58" w:lineRule="exact"/>
        <w:rPr>
          <w:rFonts w:ascii="Arial" w:cs="Arial" w:eastAsia="Arial" w:hAnsi="Arial"/>
          <w:sz w:val="16"/>
          <w:szCs w:val="16"/>
          <w:color w:val="auto"/>
        </w:rPr>
      </w:pPr>
    </w:p>
    <w:p>
      <w:pPr>
        <w:ind w:left="420" w:firstLine="419"/>
        <w:spacing w:after="0" w:line="272" w:lineRule="auto"/>
        <w:tabs>
          <w:tab w:leader="none" w:pos="1158" w:val="left"/>
        </w:tabs>
        <w:numPr>
          <w:ilvl w:val="0"/>
          <w:numId w:val="61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80"/>
          </w:cols>
          <w:pgMar w:left="460" w:top="273" w:right="459" w:bottom="1440" w:gutter="0" w:footer="0" w:header="0"/>
        </w:sectPr>
      </w:pPr>
    </w:p>
    <w:bookmarkStart w:id="500" w:name="page501"/>
    <w:bookmarkEnd w:id="500"/>
    <w:p>
      <w:pPr>
        <w:ind w:left="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Disqualified Lenders consented to such matter, and (y) for purposes of voting on any plan of reorganization or plan of liquidation pursuant to any Debtor Relief Laws, each Disqualified Lender party hereto hereby agrees (1) not to vote on such plan, (2) if such Disqualified Lender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69" w:lineRule="exact"/>
        <w:rPr>
          <w:sz w:val="20"/>
          <w:szCs w:val="20"/>
          <w:color w:val="auto"/>
        </w:rPr>
      </w:pPr>
    </w:p>
    <w:p>
      <w:pPr>
        <w:ind w:left="440" w:right="20" w:firstLine="419"/>
        <w:spacing w:after="0" w:line="273" w:lineRule="auto"/>
        <w:tabs>
          <w:tab w:leader="none" w:pos="1168" w:val="left"/>
        </w:tabs>
        <w:numPr>
          <w:ilvl w:val="0"/>
          <w:numId w:val="619"/>
        </w:numPr>
        <w:rPr>
          <w:rFonts w:ascii="Arial" w:cs="Arial" w:eastAsia="Arial" w:hAnsi="Arial"/>
          <w:sz w:val="17"/>
          <w:szCs w:val="17"/>
          <w:color w:val="auto"/>
        </w:rPr>
      </w:pPr>
      <w:r>
        <w:rPr>
          <w:rFonts w:ascii="Arial" w:cs="Arial" w:eastAsia="Arial" w:hAnsi="Arial"/>
          <w:sz w:val="17"/>
          <w:szCs w:val="17"/>
          <w:color w:val="auto"/>
        </w:rPr>
        <w:t>The Administrative Agent shall have the right, and the Borrower hereby expressly authorizes the Administrative Agent to (1) post the list of Disqualified Lenders provided by the Borrower and any updates thereto from time to time (collectively, the “</w:t>
      </w:r>
      <w:r>
        <w:rPr>
          <w:rFonts w:ascii="Arial" w:cs="Arial" w:eastAsia="Arial" w:hAnsi="Arial"/>
          <w:sz w:val="17"/>
          <w:szCs w:val="17"/>
          <w:u w:val="single" w:color="auto"/>
          <w:color w:val="auto"/>
        </w:rPr>
        <w:t>DQ List</w:t>
      </w:r>
      <w:r>
        <w:rPr>
          <w:rFonts w:ascii="Arial" w:cs="Arial" w:eastAsia="Arial" w:hAnsi="Arial"/>
          <w:sz w:val="17"/>
          <w:szCs w:val="17"/>
          <w:color w:val="auto"/>
        </w:rPr>
        <w:t>”) on the Platform and/or (2) provide the DQ List to each Lender requesting the same (including for the purpose of sharing with potential assignees and participants). The parties to this Agreement hereby acknowledge and agree that the Administrative Agent will not have any duty to ascertain, monitor or enforce compliance with the DQ List or any duty, responsibility or liability to monitor or enforce assignments, participations or other actions in respect of Disqualified Lenders, or otherwise take (or omit to take) any action with respect thereto.</w:t>
      </w:r>
    </w:p>
    <w:p>
      <w:pPr>
        <w:spacing w:after="0" w:line="178" w:lineRule="exact"/>
        <w:rPr>
          <w:sz w:val="20"/>
          <w:szCs w:val="20"/>
          <w:color w:val="auto"/>
        </w:rPr>
      </w:pPr>
    </w:p>
    <w:p>
      <w:pPr>
        <w:ind w:right="80" w:firstLine="991"/>
        <w:spacing w:after="0" w:line="284"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herein or in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or any Letters of Credit, regardless of any investigation made by any such other party or on its behalf and notwithstanding that the Agent, the Issuing Bank or any Lender may have had notice or knowledge of any Default or incorrect representation or warranty at the time any Loan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the expiration or termination of the Commitments, the cancellation or expiration of the Letters of Credit and the reimbursement of any amounts drawn thereunder, the resignation of any Agent, the replacement of any Lender, or the termination of this Agreement or any provision hereof.</w:t>
      </w:r>
    </w:p>
    <w:p>
      <w:pPr>
        <w:spacing w:after="0" w:line="193"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Integration; Effectiveness</w:t>
      </w:r>
      <w:r>
        <w:rPr>
          <w:rFonts w:ascii="Arial" w:cs="Arial" w:eastAsia="Arial" w:hAnsi="Arial"/>
          <w:sz w:val="18"/>
          <w:szCs w:val="18"/>
          <w:color w:val="auto"/>
        </w:rPr>
        <w:t>. This Agreement, the other Loan Documents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This Agreement shall become effective as provided in the Amendment and Restatement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3" w:right="459" w:bottom="1440" w:gutter="0" w:footer="0" w:header="0"/>
        </w:sectPr>
      </w:pPr>
    </w:p>
    <w:bookmarkStart w:id="501" w:name="page502"/>
    <w:bookmarkEnd w:id="501"/>
    <w:p>
      <w:pPr>
        <w:ind w:right="10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9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each Issuing Bank and each of its respective Affiliates is hereby authorized at any time and from time to time, to the fullest extent permitted by applicable law, to set off and apply any and all deposits (general or special, time or demand, provisional or final, in whatever currency) or other amounts at any time held by, and other obligations (in whatever currency) at any time owing by such Lender, Issuing Bank or Affiliate to or for the credit or the account of any Loan Party against any of and all the obligations of such Loan Party now or hereafter existing under this Agreement or any other Loan Document held by such Lender or Issuing Bank, irrespective of whether or not such Lender or Issuing Bank shall have made any demand under this Agreement or such other Loan Document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and Issuing Bank under this Section are in addition to other rights and remedies (including other rights of setoff) which such Lender or Issuing Bank may have. Each Lender and Issuing Bank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xml:space="preserve">. (a) </w:t>
      </w:r>
      <w:r>
        <w:rPr>
          <w:rFonts w:ascii="Arial" w:cs="Arial" w:eastAsia="Arial" w:hAnsi="Arial"/>
          <w:sz w:val="18"/>
          <w:szCs w:val="18"/>
          <w:b w:val="1"/>
          <w:bCs w:val="1"/>
          <w:color w:val="auto"/>
        </w:rPr>
        <w:t>THIS AGREEMENT AND THE OTHER LOAN</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DOCUMENTS AND ANY CLAIM, CONTROVERSY OR DISPUTE UNDER, ARISING OUT OF OR RELATING TO THIS AGREEMENT OR THE OTHER LOAN DOCUMENTS AND THE TRANSACTIONS CONTEMPLATED HEREBY AND THEREBY, WHETHER BASED IN CONTRACT (AT LAW OR IN EQUITY), TORT OR ANY OTHER THEORY, SHALL BE GOVERNED BY, AND CONSTRUED IN ACCORDANCE WITH AND GOVERNED BY THE LAW OF THE STATE OF NEW YORK.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3" w:right="459" w:bottom="1440" w:gutter="0" w:footer="0" w:header="0"/>
        </w:sectPr>
      </w:pPr>
    </w:p>
    <w:bookmarkStart w:id="502" w:name="page503"/>
    <w:bookmarkEnd w:id="502"/>
    <w:p>
      <w:pPr>
        <w:ind w:firstLine="987"/>
        <w:spacing w:after="0" w:line="289" w:lineRule="auto"/>
        <w:tabs>
          <w:tab w:leader="none" w:pos="1246" w:val="left"/>
        </w:tabs>
        <w:numPr>
          <w:ilvl w:val="0"/>
          <w:numId w:val="6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parties hereto hereby irrevocably and unconditionally submits, for itself and its property, to the exclusive jurisdiction of the United States District Court for the Southern District of New York sitting in the borough of Manhattan (or if such court lacks jurisdiction, the Supreme Court of the State of New York sitting in the borough of Manhattan)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shall be heard and determined, exclusively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Agent, the Issuing Bank or any Lender may otherwise have to bring any action or proceeding relating to this Agreement against any Loan Party or its properties in the courts of any jurisdiction.</w:t>
      </w:r>
    </w:p>
    <w:p>
      <w:pPr>
        <w:spacing w:after="0" w:line="58"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620"/>
        </w:numPr>
        <w:rPr>
          <w:rFonts w:ascii="Arial" w:cs="Arial" w:eastAsia="Arial" w:hAnsi="Arial"/>
          <w:sz w:val="18"/>
          <w:szCs w:val="18"/>
          <w:color w:val="auto"/>
        </w:rPr>
      </w:pPr>
      <w:r>
        <w:rPr>
          <w:rFonts w:ascii="Arial" w:cs="Arial" w:eastAsia="Arial" w:hAnsi="Arial"/>
          <w:sz w:val="18"/>
          <w:szCs w:val="18"/>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10.1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HEREBY IRREVOCABLY WAIVES, TO THE FULLEST</w:t>
      </w:r>
      <w:r>
        <w:rPr>
          <w:rFonts w:ascii="Arial" w:cs="Arial" w:eastAsia="Arial" w:hAnsi="Arial"/>
          <w:sz w:val="18"/>
          <w:szCs w:val="18"/>
          <w:color w:val="auto"/>
        </w:rPr>
        <w:t xml:space="preserve"> </w:t>
      </w:r>
      <w:r>
        <w:rPr>
          <w:rFonts w:ascii="Arial" w:cs="Arial" w:eastAsia="Arial" w:hAnsi="Arial"/>
          <w:sz w:val="18"/>
          <w:szCs w:val="18"/>
          <w:b w:val="1"/>
          <w:bCs w:val="1"/>
          <w:color w:val="auto"/>
        </w:rPr>
        <w:t>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3" w:right="459" w:bottom="1440" w:gutter="0" w:footer="0" w:header="0"/>
        </w:sectPr>
      </w:pPr>
    </w:p>
    <w:bookmarkStart w:id="503" w:name="page504"/>
    <w:bookmarkEnd w:id="503"/>
    <w:p>
      <w:pPr>
        <w:ind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(a) Each of the Agents and the Lenders (which term shall for the purposes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includes the Issuing Banks) agrees to (i) maintain the confidentiality of the Information (as defined below), (ii) not disclose any Information to any individual or organization, either internally or externally, without the prior written consent of the Borrower (which consent shall not be unreasonably withheld, conditioned or delayed), and (iii) not use the Information for any purpose except in connection with the Loan Documents, except that Information may be disclosed (A) to its Affiliates and its and its Affiliates’ directors, officers, employees and agents, including accountants, legal counsel and other advisors, or to any credit insurance provider relating to any Loan Party and its obligations, in each case whom it reasonably determines needs to know such information in connection with this Agreement and the transactions contemplated hereby (it being understood that the Persons to whom such disclosure is made will be informed of the confidential nature of such Information and instructed to keep such Information confidential), (B) to the extent requested by any regulatory authority or any Governmental Authority or self-regulatory body claiming oversight over any Lender or any of its Affiliates, (C) to the extent required by applicable laws or regulations or by any subpoena or similar legal process (in which case such Agent or such Lender, as applicable, agrees, to the extent permitted by applicable law, to inform the Borrower promptly thereof), (D) to any other party to this Agreement, (E) in connection with the exercise of any remedies hereunder or under any Loan Document or any suit, action or proceeding relating to this Agreement or the enforcement of rights hereunder or under any Loan Document, (F) subject to an agreement containing provisions substantially the same as those of this Section, to any assignee of any of its rights or obligations under this Agreement, (G) with the consent of the Borrower, (H) to the extent such Information (x) becomes publicly available other than as a result of a breach of this Section or (y) becomes available to any Agent or any Lender on a non-confidential basis from a source other than the Borrower, (I) to any Participant or “bona fide” prospective Participant in, or any “bona fide” prospective assignee of, the Commitments, the Loans or any Lender’s rights or obligations under this Agreement (in each case other than any Disqualified Lender) or (J) to any actual or prospective counterparty (or its advisors) to any swap or derivative transaction relating to the Borrower and its obligations in each case other than any Disqualified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(I) and (J)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(x) such Participant, prospective Participant, prospective assignee, actual or prospective counterparty or advisor is advised of and agrees, in advance of such disclosure, in writing (including pursuant to customary “click-through” procedures), to be bound by either the provisions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or other provisions that are at least as restrictive as the provisions contained in this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and (y) no consent of Borrower shall be required (I) with respect to the provision of Limited Information to a Participant or assignee if the Borrower shall have consented to the initial provision of Information or Limited Information to such Participant or assignee, (II) with respect to any administrative notices from the Administrative Agent to any Lender and (III) during any time that a Default or Event of Default has occurred and is continuing.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the Borrower, or from any of its Affiliates, representatives or advisors on behalf of the Borrower, relating to the Borrower or its business (including, for the avoidance of doubt, the DQ List), other than any such information that is available to the Administrative Agent or any Lender on a non-confidential basis prior to disclosure by the Borrower, or by any of its Affiliates, representatives or advisors on behalf of the Borrower and other than customary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3" w:right="459" w:bottom="1440" w:gutter="0" w:footer="0" w:header="0"/>
        </w:sectPr>
      </w:pPr>
    </w:p>
    <w:bookmarkStart w:id="504" w:name="page505"/>
    <w:bookmarkEnd w:id="504"/>
    <w:p>
      <w:pPr>
        <w:ind w:left="1120" w:hanging="261"/>
        <w:spacing w:after="0"/>
        <w:tabs>
          <w:tab w:leader="none" w:pos="1120" w:val="left"/>
        </w:tabs>
        <w:numPr>
          <w:ilvl w:val="0"/>
          <w:numId w:val="6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LENDER AND EACH ISSUING BANK ACKNOWLEDGES THAT INFORMATION AS DEFINED IN </w:t>
      </w:r>
      <w:r>
        <w:rPr>
          <w:rFonts w:ascii="Arial" w:cs="Arial" w:eastAsia="Arial" w:hAnsi="Arial"/>
          <w:sz w:val="17"/>
          <w:szCs w:val="17"/>
          <w:u w:val="single" w:color="auto"/>
          <w:color w:val="auto"/>
        </w:rPr>
        <w:t>SECTION 10.12(a)</w:t>
      </w:r>
    </w:p>
    <w:p>
      <w:pPr>
        <w:spacing w:after="0" w:line="34" w:lineRule="exact"/>
        <w:rPr>
          <w:rFonts w:ascii="Arial" w:cs="Arial" w:eastAsia="Arial" w:hAnsi="Arial"/>
          <w:sz w:val="17"/>
          <w:szCs w:val="17"/>
          <w:color w:val="auto"/>
        </w:rPr>
      </w:pPr>
    </w:p>
    <w:p>
      <w:pPr>
        <w:ind w:left="440" w:right="60"/>
        <w:spacing w:after="0" w:line="253" w:lineRule="auto"/>
        <w:rPr>
          <w:rFonts w:ascii="Arial" w:cs="Arial" w:eastAsia="Arial" w:hAnsi="Arial"/>
          <w:sz w:val="17"/>
          <w:szCs w:val="17"/>
          <w:color w:val="auto"/>
        </w:rPr>
      </w:pPr>
      <w:r>
        <w:rPr>
          <w:rFonts w:ascii="Arial" w:cs="Arial" w:eastAsia="Arial" w:hAnsi="Arial"/>
          <w:sz w:val="18"/>
          <w:szCs w:val="18"/>
          <w:color w:val="auto"/>
        </w:rPr>
        <w:t>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82" w:lineRule="exact"/>
        <w:rPr>
          <w:rFonts w:ascii="Arial" w:cs="Arial" w:eastAsia="Arial" w:hAnsi="Arial"/>
          <w:sz w:val="17"/>
          <w:szCs w:val="17"/>
          <w:color w:val="auto"/>
        </w:rPr>
      </w:pPr>
    </w:p>
    <w:p>
      <w:pPr>
        <w:ind w:left="440" w:right="60" w:firstLine="419"/>
        <w:spacing w:after="0" w:line="254" w:lineRule="auto"/>
        <w:tabs>
          <w:tab w:leader="none" w:pos="1108"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AND EACH ISSUING BANK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95"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7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each Loan Party acknowledges and agrees, and acknowledges its subsidiaries’ understanding, that: (i) (A) the arranging and other services regarding this Agreement provided by the Agent, the Arranger, the Joint Bookrunners and the Lenders (which term shall for the purposes of this Section include the Issuing Banks) are arm’s-length commercial transactions between such Loan Party and its Affiliates, on the one hand, and the Agent, the Arranger, the Joint Bookrunners and the Lenders,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80"/>
          </w:cols>
          <w:pgMar w:left="440" w:top="273" w:right="479" w:bottom="1440" w:gutter="0" w:footer="0" w:header="0"/>
        </w:sectPr>
      </w:pPr>
    </w:p>
    <w:bookmarkStart w:id="505" w:name="page506"/>
    <w:bookmarkEnd w:id="50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other hand, (B) such Loan Party has consulted its own legal, accounting, regulatory and tax advisors to the extent it has deemed appropriate, and</w:t>
      </w:r>
    </w:p>
    <w:p>
      <w:pPr>
        <w:spacing w:after="0" w:line="46" w:lineRule="exact"/>
        <w:rPr>
          <w:sz w:val="20"/>
          <w:szCs w:val="20"/>
          <w:color w:val="auto"/>
        </w:rPr>
      </w:pPr>
    </w:p>
    <w:p>
      <w:pPr>
        <w:ind w:left="4" w:hanging="4"/>
        <w:spacing w:after="0" w:line="285" w:lineRule="auto"/>
        <w:tabs>
          <w:tab w:leader="none" w:pos="289" w:val="left"/>
        </w:tabs>
        <w:numPr>
          <w:ilvl w:val="0"/>
          <w:numId w:val="622"/>
        </w:numPr>
        <w:rPr>
          <w:rFonts w:ascii="Arial" w:cs="Arial" w:eastAsia="Arial" w:hAnsi="Arial"/>
          <w:sz w:val="16"/>
          <w:szCs w:val="16"/>
          <w:color w:val="auto"/>
        </w:rPr>
      </w:pPr>
      <w:r>
        <w:rPr>
          <w:rFonts w:ascii="Arial" w:cs="Arial" w:eastAsia="Arial" w:hAnsi="Arial"/>
          <w:sz w:val="16"/>
          <w:szCs w:val="16"/>
          <w:color w:val="auto"/>
        </w:rPr>
        <w:t>such Loan Party is capable of evaluating, and understands and accepts, the terms, risks and conditions of the Transactions contemplated hereby and by the other Loan Documents; (ii) (A) each of the Agent, the Arranger, the Joint Bookrunners and the Lenders is and has been acting solely as a principal and, except as expressly agreed in writing by the relevant parties, has not been, is not, and will not be acting as an advisor, agent or fiduciary for any Loan Party or any of its subsidiaries, or any other Person and (B) none of any Agent, the Arrangers, any Joint Bookrunner or any Lender has any obligation to any Loan Party or any of its Affiliates with respect to the Transactions contemplated hereby except those obligations expressly set forth herein and in the other Loan Documents; and (iii) the Agents, the Arranger, the Joint Bookrunners and the Lenders and their respective Affiliates may be engaged in a broad range of transactions that involve interests that differ from those of such Loan Party and its Affiliates, and neither any Agent, the Arranger, any Joint Bookrunner nor any Lender has any obligation to disclose any of such interests to such Loan Party or its Affiliates. The Borrower, on behalf of itself and each of its Subsidiaries and Affiliates, agrees that nothing in the Loan Documents or otherwise will be deemed to create an advisory, fiduciary or agency relationship or fiduciary or other implied duty between the Administrative Agent, any Issuing Bank, any Arranger or any Lender, on the one hand, and the Borrower, any of its Subsidiaries, or their respective equityholders or Affiliates, on the other. The Borrower agrees that it will not assert any claim against any Agent, any Issuing Bank or any Lender based on an alleged breach of agency or fiduciary duty by any such Agent, Issuing Bank or Lender in connection with this Agreement and the transactions contemplated hereby.</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71" w:lineRule="auto"/>
        <w:tabs>
          <w:tab w:leader="none" w:pos="124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by the Borrower or any other Loan Party or the Issuing Bank Sublimit of any Issuing Bank constitute the entire contract among the parties relating to the subject matter hereof and supersede any and all previous agreements and understandings, oral or written, relating to the subject matter hereof. Except as provided in Section 4.01 and the Amendment and Restatement Agreement,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70" w:lineRule="exact"/>
        <w:rPr>
          <w:rFonts w:ascii="Arial" w:cs="Arial" w:eastAsia="Arial" w:hAnsi="Arial"/>
          <w:sz w:val="17"/>
          <w:szCs w:val="17"/>
          <w:color w:val="auto"/>
        </w:rPr>
      </w:pPr>
    </w:p>
    <w:p>
      <w:pPr>
        <w:ind w:left="4" w:right="80" w:firstLine="987"/>
        <w:spacing w:after="0" w:line="296" w:lineRule="auto"/>
        <w:tabs>
          <w:tab w:leader="none" w:pos="1250" w:val="left"/>
        </w:tabs>
        <w:numPr>
          <w:ilvl w:val="0"/>
          <w:numId w:val="623"/>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(x) this Agreement, (y) any other Loan Document and/or (z) any document, amendment, approval, consent, information, notice, certificate, request, statement, disclosure or authorization related to this Agreement, any other Loan Document and/or the transactions contemplated hereby and/or thereby (each, an “</w:t>
      </w:r>
      <w:r>
        <w:rPr>
          <w:rFonts w:ascii="Arial" w:cs="Arial" w:eastAsia="Arial" w:hAnsi="Arial"/>
          <w:sz w:val="16"/>
          <w:szCs w:val="16"/>
          <w:u w:val="single" w:color="auto"/>
          <w:color w:val="auto"/>
        </w:rPr>
        <w:t>Ancillary Document</w:t>
      </w:r>
      <w:r>
        <w:rPr>
          <w:rFonts w:ascii="Arial" w:cs="Arial" w:eastAsia="Arial" w:hAnsi="Arial"/>
          <w:sz w:val="16"/>
          <w:szCs w:val="16"/>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4"/>
          </w:cols>
          <w:pgMar w:left="436" w:top="273" w:right="459" w:bottom="1440" w:gutter="0" w:footer="0" w:header="0"/>
        </w:sectPr>
      </w:pPr>
    </w:p>
    <w:bookmarkStart w:id="506" w:name="page507"/>
    <w:bookmarkEnd w:id="506"/>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w:t>
      </w:r>
    </w:p>
    <w:p>
      <w:pPr>
        <w:spacing w:after="0" w:line="1" w:lineRule="exact"/>
        <w:rPr>
          <w:sz w:val="20"/>
          <w:szCs w:val="20"/>
          <w:color w:val="auto"/>
        </w:rPr>
      </w:pPr>
    </w:p>
    <w:p>
      <w:pPr>
        <w:ind w:left="4" w:hanging="4"/>
        <w:spacing w:after="0" w:line="281" w:lineRule="auto"/>
        <w:tabs>
          <w:tab w:leader="none" w:pos="269" w:val="left"/>
        </w:tabs>
        <w:numPr>
          <w:ilvl w:val="0"/>
          <w:numId w:val="624"/>
        </w:numPr>
        <w:rPr>
          <w:rFonts w:ascii="Arial" w:cs="Arial" w:eastAsia="Arial" w:hAnsi="Arial"/>
          <w:sz w:val="16"/>
          <w:szCs w:val="16"/>
          <w:color w:val="auto"/>
        </w:rPr>
      </w:pPr>
      <w:r>
        <w:rPr>
          <w:rFonts w:ascii="Arial" w:cs="Arial" w:eastAsia="Arial" w:hAnsi="Arial"/>
          <w:sz w:val="16"/>
          <w:szCs w:val="16"/>
          <w:color w:val="auto"/>
        </w:rPr>
        <w:t>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w:t>
      </w:r>
    </w:p>
    <w:p>
      <w:pPr>
        <w:spacing w:after="0" w:line="3" w:lineRule="exact"/>
        <w:rPr>
          <w:rFonts w:ascii="Arial" w:cs="Arial" w:eastAsia="Arial" w:hAnsi="Arial"/>
          <w:sz w:val="16"/>
          <w:szCs w:val="16"/>
          <w:color w:val="auto"/>
        </w:rPr>
      </w:pPr>
    </w:p>
    <w:p>
      <w:pPr>
        <w:ind w:left="4" w:right="140" w:hanging="4"/>
        <w:spacing w:after="0" w:line="273" w:lineRule="auto"/>
        <w:tabs>
          <w:tab w:leader="none" w:pos="309" w:val="left"/>
        </w:tabs>
        <w:numPr>
          <w:ilvl w:val="0"/>
          <w:numId w:val="625"/>
        </w:numPr>
        <w:rPr>
          <w:rFonts w:ascii="Arial" w:cs="Arial" w:eastAsia="Arial" w:hAnsi="Arial"/>
          <w:sz w:val="17"/>
          <w:szCs w:val="17"/>
          <w:color w:val="auto"/>
        </w:rPr>
      </w:pPr>
      <w:r>
        <w:rPr>
          <w:rFonts w:ascii="Arial" w:cs="Arial" w:eastAsia="Arial" w:hAnsi="Arial"/>
          <w:sz w:val="17"/>
          <w:szCs w:val="17"/>
          <w:color w:val="auto"/>
        </w:rPr>
        <w:t>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76"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USA PATRIOT Act and Beneficial Ownership</w:t>
      </w:r>
      <w:r>
        <w:rPr>
          <w:rFonts w:ascii="Arial" w:cs="Arial" w:eastAsia="Arial" w:hAnsi="Arial"/>
          <w:sz w:val="18"/>
          <w:szCs w:val="18"/>
          <w:color w:val="auto"/>
        </w:rPr>
        <w:t>. Each Lender (which term shall for the purposes of this Section include the Issuing Banks) that is subject to the requirements of the USA Patriot Act and/or the Beneficial Ownership Regulation and the Administrative Agent (for itself and not on behalf of any Lenders) hereby notifies each Loan Party that pursuant to the requirements of the USA Patriot Act and the Beneficial Ownership Regulation, it is required to obtain, verify and record information that identifies such Loan Party, which information includes the name, address and tax information number of such Loan Party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4"/>
          </w:cols>
          <w:pgMar w:left="436" w:top="273" w:right="439" w:bottom="1440" w:gutter="0" w:footer="0" w:header="0"/>
        </w:sectPr>
      </w:pPr>
    </w:p>
    <w:bookmarkStart w:id="507" w:name="page508"/>
    <w:bookmarkEnd w:id="507"/>
    <w:p>
      <w:pPr>
        <w:jc w:val="both"/>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other information that will allow such Lender or the Administrative Agent, as applicable, to identify such Loan Party in accordance with the USA Patriot Act and the Beneficial Ownership Regulation.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Release of Liens and Guarantors</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275" w:lineRule="auto"/>
        <w:tabs>
          <w:tab w:leader="none" w:pos="1240" w:val="left"/>
        </w:tabs>
        <w:numPr>
          <w:ilvl w:val="1"/>
          <w:numId w:val="626"/>
        </w:numPr>
        <w:rPr>
          <w:rFonts w:ascii="Arial" w:cs="Arial" w:eastAsia="Arial" w:hAnsi="Arial"/>
          <w:sz w:val="17"/>
          <w:szCs w:val="17"/>
          <w:color w:val="auto"/>
        </w:rPr>
      </w:pPr>
      <w:r>
        <w:rPr>
          <w:rFonts w:ascii="Arial" w:cs="Arial" w:eastAsia="Arial" w:hAnsi="Arial"/>
          <w:sz w:val="17"/>
          <w:szCs w:val="17"/>
          <w:color w:val="auto"/>
        </w:rPr>
        <w:t>In the event that all the Equity Interests in any Guarantor are sold, transferred or otherwise disposed of to a Person other than the Borrower or its Restricted Subsidiaries in a transaction permitted under this Agreement or a Guarantor is designated as an Unrestricted Subsidiary in compliance with this Agreement, the Administrative Agent shall, at the Borrower’s expense, promptly take such action and execute such documents as the Borrower may reasonably request to terminate the Guaranty of such Guarantor, and all securities interests and Liens created by the Collateral Documents in the Collateral owned by such Guarantor shall automatically be released.</w:t>
      </w:r>
    </w:p>
    <w:p>
      <w:pPr>
        <w:spacing w:after="0" w:line="68" w:lineRule="exact"/>
        <w:rPr>
          <w:rFonts w:ascii="Arial" w:cs="Arial" w:eastAsia="Arial" w:hAnsi="Arial"/>
          <w:sz w:val="17"/>
          <w:szCs w:val="17"/>
          <w:color w:val="auto"/>
        </w:rPr>
      </w:pPr>
    </w:p>
    <w:p>
      <w:pPr>
        <w:ind w:left="4" w:right="140" w:firstLine="987"/>
        <w:spacing w:after="0" w:line="286" w:lineRule="auto"/>
        <w:tabs>
          <w:tab w:leader="none" w:pos="1250" w:val="left"/>
        </w:tabs>
        <w:numPr>
          <w:ilvl w:val="1"/>
          <w:numId w:val="626"/>
        </w:numPr>
        <w:rPr>
          <w:rFonts w:ascii="Arial" w:cs="Arial" w:eastAsia="Arial" w:hAnsi="Arial"/>
          <w:sz w:val="16"/>
          <w:szCs w:val="16"/>
          <w:color w:val="auto"/>
        </w:rPr>
      </w:pPr>
      <w:r>
        <w:rPr>
          <w:rFonts w:ascii="Arial" w:cs="Arial" w:eastAsia="Arial" w:hAnsi="Arial"/>
          <w:sz w:val="16"/>
          <w:szCs w:val="16"/>
          <w:color w:val="auto"/>
        </w:rPr>
        <w:t>Upon termination of the aggregate Commitments and payment in full of all Obligations (other than contingent indemnification obligations for which no claim has been made and Obligations under or in respect of Secured Swap Agreements or Cash Management Services) under any Loan Document have been paid in full and all Letters of Credit have expired or been terminated (unless such Letters of Credit have been (i) cash collateralized in an amount equal to 103% of Letter of Credit Usage at such time on terms reasonably satisfactory to the applicable Issuing Bank,</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627"/>
        </w:numPr>
        <w:rPr>
          <w:rFonts w:ascii="Arial" w:cs="Arial" w:eastAsia="Arial" w:hAnsi="Arial"/>
          <w:sz w:val="17"/>
          <w:szCs w:val="17"/>
          <w:color w:val="auto"/>
        </w:rPr>
      </w:pPr>
      <w:r>
        <w:rPr>
          <w:rFonts w:ascii="Arial" w:cs="Arial" w:eastAsia="Arial" w:hAnsi="Arial"/>
          <w:sz w:val="17"/>
          <w:szCs w:val="17"/>
          <w:color w:val="auto"/>
        </w:rPr>
        <w:t>backstopped by a letter of credit in form, amount and substance and by an institution reasonably satisfactory to the applicable Issuing Bank or</w:t>
      </w:r>
    </w:p>
    <w:p>
      <w:pPr>
        <w:spacing w:after="0" w:line="20" w:lineRule="exact"/>
        <w:rPr>
          <w:rFonts w:ascii="Arial" w:cs="Arial" w:eastAsia="Arial" w:hAnsi="Arial"/>
          <w:sz w:val="17"/>
          <w:szCs w:val="17"/>
          <w:color w:val="auto"/>
        </w:rPr>
      </w:pPr>
    </w:p>
    <w:p>
      <w:pPr>
        <w:ind w:left="4" w:right="240" w:hanging="4"/>
        <w:spacing w:after="0" w:line="260" w:lineRule="auto"/>
        <w:tabs>
          <w:tab w:leader="none" w:pos="319" w:val="left"/>
        </w:tabs>
        <w:numPr>
          <w:ilvl w:val="0"/>
          <w:numId w:val="627"/>
        </w:numPr>
        <w:rPr>
          <w:rFonts w:ascii="Arial" w:cs="Arial" w:eastAsia="Arial" w:hAnsi="Arial"/>
          <w:sz w:val="18"/>
          <w:szCs w:val="18"/>
          <w:color w:val="auto"/>
        </w:rPr>
      </w:pPr>
      <w:r>
        <w:rPr>
          <w:rFonts w:ascii="Arial" w:cs="Arial" w:eastAsia="Arial" w:hAnsi="Arial"/>
          <w:sz w:val="18"/>
          <w:szCs w:val="18"/>
          <w:color w:val="auto"/>
        </w:rPr>
        <w:t>deemed reissued under another facility reasonably acceptable to the applicable Issuing Bank), all obligations under the Loan Documents shall be automatically released.</w:t>
      </w:r>
    </w:p>
    <w:p>
      <w:pPr>
        <w:spacing w:after="0" w:line="77" w:lineRule="exact"/>
        <w:rPr>
          <w:rFonts w:ascii="Arial" w:cs="Arial" w:eastAsia="Arial" w:hAnsi="Arial"/>
          <w:sz w:val="18"/>
          <w:szCs w:val="18"/>
          <w:color w:val="auto"/>
        </w:rPr>
      </w:pPr>
    </w:p>
    <w:p>
      <w:pPr>
        <w:ind w:left="4" w:firstLine="987"/>
        <w:spacing w:after="0" w:line="289" w:lineRule="auto"/>
        <w:tabs>
          <w:tab w:leader="none" w:pos="1240" w:val="left"/>
        </w:tabs>
        <w:numPr>
          <w:ilvl w:val="1"/>
          <w:numId w:val="627"/>
        </w:numPr>
        <w:rPr>
          <w:rFonts w:ascii="Arial" w:cs="Arial" w:eastAsia="Arial" w:hAnsi="Arial"/>
          <w:sz w:val="16"/>
          <w:szCs w:val="16"/>
          <w:color w:val="auto"/>
        </w:rPr>
      </w:pPr>
      <w:r>
        <w:rPr>
          <w:rFonts w:ascii="Arial" w:cs="Arial" w:eastAsia="Arial" w:hAnsi="Arial"/>
          <w:sz w:val="16"/>
          <w:szCs w:val="16"/>
          <w:color w:val="auto"/>
        </w:rPr>
        <w:t>If the Borrower receives at least two of the following corporate credit ratings, the Liens created by the Collateral Documents in the Collateral shall automatically be released (for so long as such ratings are maintained at such levels or higher) except to the extent that any such Collateral remains subject to any other Lien in respect of any other Material Indebtedness (in which case the Liens created by the Collateral Documents shall remain in effect until any such Liens with respect to any other Material Indebtedness are released or otherwise terminated): Baa3 or higher by Moody’s (with stable or better outlook), BBB- or higher by S&amp;P (with stable or better outlook) and BBB- or higher by Fitch (with stable or better outlook). If such ratings are not maintained at such levels or higher, the Liens created by the Collateral Documents shall automatically be reinstated, and the Administrative Agent and Collateral Agent are authorized to file all documents the Administrative Agent or Collateral Agent reasonably determines are necessary to create, perfect and/or evidence such Liens, and each Loan Party shall execute and deliver to the Administrative Agent, at such Loan Party’s expense, all documents that the Administrative Agent or Collateral Agent reasonably requests to create, perfect and/or evidence such Liens.</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64"/>
          </w:cols>
          <w:pgMar w:left="436" w:top="273" w:right="499" w:bottom="1440" w:gutter="0" w:footer="0" w:header="0"/>
        </w:sectPr>
      </w:pPr>
    </w:p>
    <w:bookmarkStart w:id="508" w:name="page509"/>
    <w:bookmarkEnd w:id="508"/>
    <w:p>
      <w:pPr>
        <w:ind w:right="100" w:firstLine="987"/>
        <w:spacing w:after="0" w:line="296" w:lineRule="auto"/>
        <w:tabs>
          <w:tab w:leader="none" w:pos="1246" w:val="left"/>
        </w:tabs>
        <w:numPr>
          <w:ilvl w:val="0"/>
          <w:numId w:val="6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of any Loan Party under any Secured Cash Management Agreement or Secured Swap Agreement shall be secured and guaranteed under the Loan Documents only to the extent that, and for so long as, the Obligations are so secured and guaranteed. No Person shall have any voting rights under any Loan Document solely as a result of the existence of obligations owed to it under any Secured Swap Agreement or Secured Cash Management Agreement. For the avoidance of doubt, no release of Collateral or Guarantors effected in the manner permitted by this Agreement shall require the consent of any holder of obligations under any Secured Swap Agreements or any Secured Cash Management Agreements.</w:t>
      </w:r>
    </w:p>
    <w:p>
      <w:pPr>
        <w:spacing w:after="0" w:line="53" w:lineRule="exact"/>
        <w:rPr>
          <w:rFonts w:ascii="Arial" w:cs="Arial" w:eastAsia="Arial" w:hAnsi="Arial"/>
          <w:sz w:val="16"/>
          <w:szCs w:val="16"/>
          <w:color w:val="auto"/>
        </w:rPr>
      </w:pPr>
    </w:p>
    <w:p>
      <w:pPr>
        <w:jc w:val="both"/>
        <w:ind w:right="20" w:firstLine="987"/>
        <w:spacing w:after="0" w:line="259" w:lineRule="auto"/>
        <w:tabs>
          <w:tab w:leader="none" w:pos="1236"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xml:space="preserve">In connection with any termination or release pursuant to this </w:t>
      </w:r>
      <w:r>
        <w:rPr>
          <w:rFonts w:ascii="Arial" w:cs="Arial" w:eastAsia="Arial" w:hAnsi="Arial"/>
          <w:sz w:val="18"/>
          <w:szCs w:val="18"/>
          <w:u w:val="single" w:color="auto"/>
          <w:color w:val="auto"/>
        </w:rPr>
        <w:t>Section 10.17</w:t>
      </w:r>
      <w:r>
        <w:rPr>
          <w:rFonts w:ascii="Arial" w:cs="Arial" w:eastAsia="Arial" w:hAnsi="Arial"/>
          <w:sz w:val="18"/>
          <w:szCs w:val="18"/>
          <w:color w:val="auto"/>
        </w:rPr>
        <w:t>, the Administrative Agent shall execute and deliver to any Loan Party, at such Loan Party’s expense, all documents that such Loan Party shall reasonably request to evidence such termination or release so long as the Borrower or the applicable Loan Party shall have provided the Administrative Agent such certifications or documents as the Administrative Agent shall reasonably request in order to demonstrate compliance with this Agreement.</w:t>
      </w:r>
    </w:p>
    <w:p>
      <w:pPr>
        <w:spacing w:after="0" w:line="78" w:lineRule="exact"/>
        <w:rPr>
          <w:rFonts w:ascii="Arial" w:cs="Arial" w:eastAsia="Arial" w:hAnsi="Arial"/>
          <w:sz w:val="18"/>
          <w:szCs w:val="18"/>
          <w:color w:val="auto"/>
        </w:rPr>
      </w:pPr>
    </w:p>
    <w:p>
      <w:pPr>
        <w:ind w:right="560" w:firstLine="987"/>
        <w:spacing w:after="0" w:line="277" w:lineRule="auto"/>
        <w:tabs>
          <w:tab w:leader="none" w:pos="1216"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xml:space="preserve">Each of the Lenders and the Issuing Bank irrevocably authorizes the Administrative Agent to provide any release or evidence of release, termination or subordination contemplated by this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987"/>
        <w:spacing w:after="0" w:line="259" w:lineRule="auto"/>
        <w:tabs>
          <w:tab w:leader="none" w:pos="1246"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any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 xml:space="preserve">Section 10.18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63" w:lineRule="exact"/>
        <w:rPr>
          <w:sz w:val="20"/>
          <w:szCs w:val="20"/>
          <w:color w:val="auto"/>
        </w:rPr>
      </w:pPr>
    </w:p>
    <w:p>
      <w:pPr>
        <w:ind w:right="540" w:firstLine="987"/>
        <w:spacing w:after="0" w:line="277" w:lineRule="auto"/>
        <w:tabs>
          <w:tab w:leader="none" w:pos="1236"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firstLine="948"/>
        <w:spacing w:after="0" w:line="311" w:lineRule="auto"/>
        <w:tabs>
          <w:tab w:leader="none" w:pos="1677" w:val="left"/>
        </w:tabs>
        <w:numPr>
          <w:ilvl w:val="1"/>
          <w:numId w:val="629"/>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3" w:right="459" w:bottom="1440" w:gutter="0" w:footer="0" w:header="0"/>
        </w:sectPr>
      </w:pPr>
    </w:p>
    <w:bookmarkStart w:id="509" w:name="page510"/>
    <w:bookmarkEnd w:id="509"/>
    <w:p>
      <w:pPr>
        <w:ind w:left="980" w:right="440" w:firstLine="408"/>
        <w:spacing w:after="0" w:line="277" w:lineRule="auto"/>
        <w:tabs>
          <w:tab w:leader="none" w:pos="1666" w:val="left"/>
        </w:tabs>
        <w:numPr>
          <w:ilvl w:val="0"/>
          <w:numId w:val="6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 xml:space="preserve">Section 10.19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63" w:lineRule="exact"/>
        <w:rPr>
          <w:sz w:val="20"/>
          <w:szCs w:val="20"/>
          <w:color w:val="auto"/>
        </w:rPr>
      </w:pPr>
    </w:p>
    <w:p>
      <w:pPr>
        <w:ind w:right="40" w:firstLine="987"/>
        <w:spacing w:after="0" w:line="271" w:lineRule="auto"/>
        <w:tabs>
          <w:tab w:leader="none" w:pos="1246" w:val="left"/>
        </w:tabs>
        <w:numPr>
          <w:ilvl w:val="0"/>
          <w:numId w:val="631"/>
        </w:numPr>
        <w:rPr>
          <w:rFonts w:ascii="Arial" w:cs="Arial" w:eastAsia="Arial" w:hAnsi="Arial"/>
          <w:sz w:val="17"/>
          <w:szCs w:val="17"/>
          <w:color w:val="auto"/>
        </w:rPr>
      </w:pPr>
      <w:r>
        <w:rPr>
          <w:rFonts w:ascii="Arial" w:cs="Arial" w:eastAsia="Arial" w:hAnsi="Arial"/>
          <w:sz w:val="17"/>
          <w:szCs w:val="17"/>
          <w:color w:val="auto"/>
        </w:rPr>
        <w:t>The obligations of the Borrower in respect of any sum due to any party hereto or any holder of the obligations owing hereunder (the “</w:t>
      </w:r>
      <w:r>
        <w:rPr>
          <w:rFonts w:ascii="Arial" w:cs="Arial" w:eastAsia="Arial" w:hAnsi="Arial"/>
          <w:sz w:val="17"/>
          <w:szCs w:val="17"/>
          <w:u w:val="single" w:color="auto"/>
          <w:color w:val="auto"/>
        </w:rPr>
        <w:t>Applicable Creditor</w:t>
      </w:r>
      <w:r>
        <w:rPr>
          <w:rFonts w:ascii="Arial" w:cs="Arial" w:eastAsia="Arial" w:hAnsi="Arial"/>
          <w:sz w:val="17"/>
          <w:szCs w:val="17"/>
          <w:color w:val="auto"/>
        </w:rPr>
        <w:t>”)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such sum is stated to be due hereunder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shall survive the termination of this Agreement and the payment of all other amounts owing hereunder.</w:t>
      </w:r>
    </w:p>
    <w:p>
      <w:pPr>
        <w:spacing w:after="0" w:line="17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 otherwise, for Swap Agreements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3" w:right="459" w:bottom="1440" w:gutter="0" w:footer="0" w:header="0"/>
        </w:sectPr>
      </w:pPr>
    </w:p>
    <w:bookmarkStart w:id="510" w:name="page511"/>
    <w:bookmarkEnd w:id="510"/>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u w:val="single" w:color="auto"/>
          <w:color w:val="auto"/>
        </w:rPr>
        <w:t>Keepwell</w:t>
      </w:r>
      <w:r>
        <w:rPr>
          <w:rFonts w:ascii="Arial" w:cs="Arial" w:eastAsia="Arial" w:hAnsi="Arial"/>
          <w:sz w:val="18"/>
          <w:szCs w:val="18"/>
          <w:color w:val="auto"/>
        </w:rPr>
        <w:t>. The Borrower hereby absolutely, unconditionally, and irrevocably undertakes to provide such funds or other support as may be needed from time to time by each other Loan Party to honor all of its obligations under its Guaranty in respect of any Swap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only be liable under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voidable under applicable law relating to fraudulent conveyance or fraudulent transfer, and not for any greater amount). The obligations of the Borrower under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shall remain in full force and effect until the payment in full and discharge of the Secured Obligations. The Borrower intends that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311" w:lineRule="auto"/>
        <w:tabs>
          <w:tab w:leader="none" w:pos="1236" w:val="left"/>
        </w:tabs>
        <w:numPr>
          <w:ilvl w:val="1"/>
          <w:numId w:val="632"/>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40" w:lineRule="exact"/>
        <w:rPr>
          <w:rFonts w:ascii="Arial" w:cs="Arial" w:eastAsia="Arial" w:hAnsi="Arial"/>
          <w:sz w:val="16"/>
          <w:szCs w:val="16"/>
          <w:color w:val="auto"/>
        </w:rPr>
      </w:pPr>
    </w:p>
    <w:p>
      <w:pPr>
        <w:ind w:left="440" w:firstLine="419"/>
        <w:spacing w:after="0" w:line="263" w:lineRule="auto"/>
        <w:tabs>
          <w:tab w:leader="none" w:pos="1078" w:val="left"/>
        </w:tabs>
        <w:numPr>
          <w:ilvl w:val="0"/>
          <w:numId w:val="633"/>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0" w:right="180" w:firstLine="419"/>
        <w:spacing w:after="0" w:line="273" w:lineRule="auto"/>
        <w:tabs>
          <w:tab w:leader="none" w:pos="1128" w:val="left"/>
        </w:tabs>
        <w:numPr>
          <w:ilvl w:val="0"/>
          <w:numId w:val="633"/>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0"/>
          </w:cols>
          <w:pgMar w:left="440" w:top="273" w:right="459" w:bottom="1440" w:gutter="0" w:footer="0" w:header="0"/>
        </w:sectPr>
      </w:pPr>
    </w:p>
    <w:bookmarkStart w:id="511" w:name="page512"/>
    <w:bookmarkEnd w:id="511"/>
    <w:p>
      <w:pPr>
        <w:ind w:left="444" w:right="100" w:firstLine="419"/>
        <w:spacing w:after="0" w:line="254" w:lineRule="auto"/>
        <w:tabs>
          <w:tab w:leader="none" w:pos="1182" w:val="left"/>
        </w:tabs>
        <w:numPr>
          <w:ilvl w:val="1"/>
          <w:numId w:val="6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4" w:right="120" w:firstLine="419"/>
        <w:spacing w:after="0" w:line="277" w:lineRule="auto"/>
        <w:tabs>
          <w:tab w:leader="none" w:pos="1172" w:val="left"/>
        </w:tabs>
        <w:numPr>
          <w:ilvl w:val="1"/>
          <w:numId w:val="63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jc w:val="both"/>
        <w:ind w:left="4" w:right="20" w:firstLine="987"/>
        <w:spacing w:after="0" w:line="291" w:lineRule="auto"/>
        <w:tabs>
          <w:tab w:leader="none" w:pos="1250" w:val="left"/>
        </w:tabs>
        <w:numPr>
          <w:ilvl w:val="2"/>
          <w:numId w:val="634"/>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hanging="4"/>
        <w:spacing w:after="0" w:line="270" w:lineRule="auto"/>
        <w:tabs>
          <w:tab w:leader="none" w:pos="259" w:val="left"/>
        </w:tabs>
        <w:numPr>
          <w:ilvl w:val="0"/>
          <w:numId w:val="635"/>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of exercise or any rights by the Administrative Agent under this Agreement, any Loan Document or any documents related hereto or thereto).</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44"/>
          </w:cols>
          <w:pgMar w:left="436" w:top="273" w:right="51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2.1 Commitments.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Lender</w:t>
            </w:r>
          </w:p>
        </w:tc>
        <w:tc>
          <w:tcPr>
            <w:tcW w:w="55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Commitment</w:t>
            </w: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3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125,000,000.00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100,000,000.00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100,000,000.00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100,000,000.00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75,000,000.00</w:t>
            </w:r>
          </w:p>
        </w:tc>
      </w:tr>
      <w:tr>
        <w:trPr>
          <w:trHeight w:val="234"/>
        </w:trPr>
        <w:tc>
          <w:tcPr>
            <w:tcW w:w="5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500,000,000.00</w:t>
            </w:r>
          </w:p>
        </w:tc>
      </w:tr>
    </w:tbl>
    <w:p>
      <w:pPr>
        <w:sectPr>
          <w:pgSz w:w="11900" w:h="16838" w:orient="portrait"/>
          <w:cols w:equalWidth="0" w:num="1">
            <w:col w:w="11020"/>
          </w:cols>
          <w:pgMar w:left="440" w:top="269" w:right="439" w:bottom="1440" w:gutter="0" w:footer="0" w:header="0"/>
        </w:sectPr>
      </w:pPr>
    </w:p>
    <w:bookmarkStart w:id="513" w:name="page514"/>
    <w:bookmarkEnd w:id="5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3.2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Pledge and Security Agreement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Names and Locations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Previous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Legal Names</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Organizational</w:t>
            </w:r>
          </w:p>
        </w:tc>
        <w:tc>
          <w:tcPr>
            <w:tcW w:w="0" w:type="dxa"/>
            <w:vAlign w:val="bottom"/>
          </w:tcPr>
          <w:p>
            <w:pPr>
              <w:spacing w:after="0"/>
              <w:rPr>
                <w:sz w:val="1"/>
                <w:szCs w:val="1"/>
                <w:color w:val="auto"/>
              </w:rPr>
            </w:pPr>
          </w:p>
        </w:tc>
      </w:tr>
      <w:tr>
        <w:trPr>
          <w:trHeight w:val="148"/>
        </w:trPr>
        <w:tc>
          <w:tcPr>
            <w:tcW w:w="2020" w:type="dxa"/>
            <w:vAlign w:val="bottom"/>
            <w:vMerge w:val="restart"/>
          </w:tcPr>
          <w:p>
            <w:pPr>
              <w:jc w:val="center"/>
              <w:ind w:left="382"/>
              <w:spacing w:after="0"/>
              <w:rPr>
                <w:sz w:val="20"/>
                <w:szCs w:val="20"/>
                <w:color w:val="auto"/>
              </w:rPr>
            </w:pPr>
            <w:r>
              <w:rPr>
                <w:rFonts w:ascii="Arial" w:cs="Arial" w:eastAsia="Arial" w:hAnsi="Arial"/>
                <w:sz w:val="14"/>
                <w:szCs w:val="14"/>
                <w:b w:val="1"/>
                <w:bCs w:val="1"/>
                <w:color w:val="auto"/>
                <w:w w:val="95"/>
              </w:rPr>
              <w:t>Grantor’s Exact</w:t>
            </w: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Date of</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160" w:type="dxa"/>
            <w:vAlign w:val="bottom"/>
            <w:gridSpan w:val="2"/>
            <w:vMerge w:val="restart"/>
          </w:tcPr>
          <w:p>
            <w:pPr>
              <w:jc w:val="center"/>
              <w:ind w:right="1260"/>
              <w:spacing w:after="0"/>
              <w:rPr>
                <w:sz w:val="20"/>
                <w:szCs w:val="20"/>
                <w:color w:val="auto"/>
              </w:rPr>
            </w:pPr>
            <w:r>
              <w:rPr>
                <w:rFonts w:ascii="Arial" w:cs="Arial" w:eastAsia="Arial" w:hAnsi="Arial"/>
                <w:sz w:val="14"/>
                <w:szCs w:val="14"/>
                <w:b w:val="1"/>
                <w:bCs w:val="1"/>
                <w:color w:val="auto"/>
                <w:w w:val="93"/>
              </w:rPr>
              <w:t>Jurisdiction of</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Change</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Federal EIN</w:t>
            </w:r>
          </w:p>
        </w:tc>
        <w:tc>
          <w:tcPr>
            <w:tcW w:w="12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Identification</w:t>
            </w:r>
          </w:p>
        </w:tc>
        <w:tc>
          <w:tcPr>
            <w:tcW w:w="0" w:type="dxa"/>
            <w:vAlign w:val="bottom"/>
          </w:tcPr>
          <w:p>
            <w:pPr>
              <w:spacing w:after="0"/>
              <w:rPr>
                <w:sz w:val="1"/>
                <w:szCs w:val="1"/>
                <w:color w:val="auto"/>
              </w:rPr>
            </w:pPr>
          </w:p>
        </w:tc>
      </w:tr>
      <w:tr>
        <w:trPr>
          <w:trHeight w:val="175"/>
        </w:trPr>
        <w:tc>
          <w:tcPr>
            <w:tcW w:w="2020" w:type="dxa"/>
            <w:vAlign w:val="bottom"/>
          </w:tcPr>
          <w:p>
            <w:pPr>
              <w:jc w:val="center"/>
              <w:ind w:left="402"/>
              <w:spacing w:after="0"/>
              <w:rPr>
                <w:sz w:val="20"/>
                <w:szCs w:val="20"/>
                <w:color w:val="auto"/>
              </w:rPr>
            </w:pPr>
            <w:r>
              <w:rPr>
                <w:rFonts w:ascii="Arial" w:cs="Arial" w:eastAsia="Arial" w:hAnsi="Arial"/>
                <w:sz w:val="14"/>
                <w:szCs w:val="14"/>
                <w:b w:val="1"/>
                <w:bCs w:val="1"/>
                <w:color w:val="auto"/>
                <w:w w:val="94"/>
              </w:rPr>
              <w:t>Legal Name</w:t>
            </w: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(past 5 years)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21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5"/>
              </w:rPr>
              <w:t>Organization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24"/>
        </w:trPr>
        <w:tc>
          <w:tcPr>
            <w:tcW w:w="2020" w:type="dxa"/>
            <w:vAlign w:val="bottom"/>
            <w:tcBorders>
              <w:top w:val="single" w:sz="8" w:color="auto"/>
            </w:tcBorders>
          </w:tcPr>
          <w:p>
            <w:pPr>
              <w:jc w:val="center"/>
              <w:ind w:left="382"/>
              <w:spacing w:after="0"/>
              <w:rPr>
                <w:sz w:val="20"/>
                <w:szCs w:val="20"/>
                <w:color w:val="auto"/>
              </w:rPr>
            </w:pPr>
            <w:r>
              <w:rPr>
                <w:rFonts w:ascii="Arial" w:cs="Arial" w:eastAsia="Arial" w:hAnsi="Arial"/>
                <w:sz w:val="18"/>
                <w:szCs w:val="18"/>
                <w:color w:val="auto"/>
                <w:w w:val="93"/>
              </w:rPr>
              <w:t>Dropbox, Inc.</w:t>
            </w:r>
          </w:p>
        </w:tc>
        <w:tc>
          <w:tcPr>
            <w:tcW w:w="48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26-0138832</w:t>
            </w:r>
          </w:p>
        </w:tc>
        <w:tc>
          <w:tcPr>
            <w:tcW w:w="124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126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4348296</w:t>
            </w:r>
          </w:p>
        </w:tc>
        <w:tc>
          <w:tcPr>
            <w:tcW w:w="0" w:type="dxa"/>
            <w:vAlign w:val="bottom"/>
          </w:tcPr>
          <w:p>
            <w:pPr>
              <w:spacing w:after="0"/>
              <w:rPr>
                <w:sz w:val="1"/>
                <w:szCs w:val="1"/>
                <w:color w:val="auto"/>
              </w:rPr>
            </w:pPr>
          </w:p>
        </w:tc>
      </w:tr>
      <w:tr>
        <w:trPr>
          <w:trHeight w:val="418"/>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gridSpan w:val="4"/>
          </w:tcPr>
          <w:p>
            <w:pPr>
              <w:ind w:left="560"/>
              <w:spacing w:after="0"/>
              <w:rPr>
                <w:sz w:val="20"/>
                <w:szCs w:val="20"/>
                <w:color w:val="auto"/>
              </w:rPr>
            </w:pPr>
            <w:r>
              <w:rPr>
                <w:rFonts w:ascii="Arial" w:cs="Arial" w:eastAsia="Arial" w:hAnsi="Arial"/>
                <w:sz w:val="18"/>
                <w:szCs w:val="18"/>
                <w:b w:val="1"/>
                <w:bCs w:val="1"/>
                <w:color w:val="auto"/>
              </w:rPr>
              <w:t>Locations</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2"/>
            <w:vMerge w:val="restart"/>
          </w:tcPr>
          <w:p>
            <w:pPr>
              <w:jc w:val="center"/>
              <w:ind w:right="1365"/>
              <w:spacing w:after="0"/>
              <w:rPr>
                <w:sz w:val="20"/>
                <w:szCs w:val="20"/>
                <w:color w:val="auto"/>
              </w:rPr>
            </w:pPr>
            <w:r>
              <w:rPr>
                <w:rFonts w:ascii="Arial" w:cs="Arial" w:eastAsia="Arial" w:hAnsi="Arial"/>
                <w:sz w:val="14"/>
                <w:szCs w:val="14"/>
                <w:b w:val="1"/>
                <w:bCs w:val="1"/>
                <w:color w:val="auto"/>
                <w:w w:val="97"/>
              </w:rPr>
              <w:t>Grantor</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Chief Executive Office and “Location” Under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Section 9-307 of the UCC</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20" w:type="dxa"/>
            <w:vAlign w:val="bottom"/>
          </w:tcPr>
          <w:p>
            <w:pPr>
              <w:spacing w:after="0"/>
              <w:rPr>
                <w:sz w:val="19"/>
                <w:szCs w:val="19"/>
                <w:color w:val="auto"/>
              </w:rPr>
            </w:pPr>
          </w:p>
        </w:tc>
        <w:tc>
          <w:tcPr>
            <w:tcW w:w="2540" w:type="dxa"/>
            <w:vAlign w:val="bottom"/>
            <w:gridSpan w:val="3"/>
          </w:tcPr>
          <w:p>
            <w:pPr>
              <w:jc w:val="center"/>
              <w:ind w:right="885"/>
              <w:spacing w:after="0"/>
              <w:rPr>
                <w:sz w:val="20"/>
                <w:szCs w:val="20"/>
                <w:color w:val="auto"/>
              </w:rPr>
            </w:pPr>
            <w:r>
              <w:rPr>
                <w:rFonts w:ascii="Arial" w:cs="Arial" w:eastAsia="Arial" w:hAnsi="Arial"/>
                <w:sz w:val="18"/>
                <w:szCs w:val="18"/>
                <w:color w:val="auto"/>
                <w:w w:val="95"/>
              </w:rPr>
              <w:t>Dropbox, Inc.</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1800 Owens Street, San Francisco, CA 94158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Changes in Jurisdiction of Organization, Chief Executive Office, “Location” Under Section 9-307 of the UCC, Identity or Organizational Structure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Grantor</w:t>
            </w:r>
          </w:p>
        </w:tc>
        <w:tc>
          <w:tcPr>
            <w:tcW w:w="120" w:type="dxa"/>
            <w:vAlign w:val="bottom"/>
          </w:tcPr>
          <w:p>
            <w:pPr>
              <w:spacing w:after="0"/>
              <w:rPr>
                <w:sz w:val="14"/>
                <w:szCs w:val="14"/>
                <w:color w:val="auto"/>
              </w:rPr>
            </w:pPr>
          </w:p>
        </w:tc>
        <w:tc>
          <w:tcPr>
            <w:tcW w:w="3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Description of Change</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Date of Change</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(past 5 years)</w:t>
            </w:r>
          </w:p>
        </w:tc>
        <w:tc>
          <w:tcPr>
            <w:tcW w:w="0" w:type="dxa"/>
            <w:vAlign w:val="bottom"/>
          </w:tcPr>
          <w:p>
            <w:pPr>
              <w:spacing w:after="0"/>
              <w:rPr>
                <w:sz w:val="1"/>
                <w:szCs w:val="1"/>
                <w:color w:val="auto"/>
              </w:rPr>
            </w:pP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Dropbox, Inc.</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chief executive office of Dropbox, Inc.</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March 30, 2016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w w:val="95"/>
              </w:rPr>
              <w:t>moved from 185 Berry Street, Suite 400, San</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w w:val="96"/>
              </w:rPr>
              <w:t>Francisco, CA 94107 to 333 Brannan Street,</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San Francisco, CA 94107</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8"/>
                <w:szCs w:val="18"/>
                <w:color w:val="auto"/>
                <w:w w:val="93"/>
              </w:rPr>
              <w:t>Dropbox, Inc.</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The chief executive office of Dropbox, Inc.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October 2019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moved from 333 Brannan Street, San</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w w:val="97"/>
              </w:rPr>
              <w:t>Francisco, CA 94107 to 1800 Owens Street,</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San Francisco, CA 94158</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3" w:right="439" w:bottom="1440" w:gutter="0" w:footer="0" w:header="0"/>
        </w:sectPr>
      </w:pPr>
    </w:p>
    <w:bookmarkStart w:id="514" w:name="page515"/>
    <w:bookmarkEnd w:id="5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60" w:type="dxa"/>
            <w:vAlign w:val="bottom"/>
            <w:gridSpan w:val="7"/>
          </w:tcPr>
          <w:p>
            <w:pPr>
              <w:jc w:val="center"/>
              <w:ind w:right="4799"/>
              <w:spacing w:after="0"/>
              <w:rPr>
                <w:sz w:val="20"/>
                <w:szCs w:val="20"/>
                <w:color w:val="auto"/>
              </w:rPr>
            </w:pPr>
            <w:r>
              <w:rPr>
                <w:rFonts w:ascii="Arial" w:cs="Arial" w:eastAsia="Arial" w:hAnsi="Arial"/>
                <w:sz w:val="18"/>
                <w:szCs w:val="18"/>
                <w:b w:val="1"/>
                <w:bCs w:val="1"/>
                <w:color w:val="auto"/>
                <w:w w:val="87"/>
              </w:rPr>
              <w:t>Schedule 3.3</w:t>
            </w:r>
          </w:p>
        </w:tc>
      </w:tr>
      <w:tr>
        <w:trPr>
          <w:trHeight w:val="234"/>
        </w:trPr>
        <w:tc>
          <w:tcPr>
            <w:tcW w:w="3680" w:type="dxa"/>
            <w:vAlign w:val="bottom"/>
          </w:tcPr>
          <w:p>
            <w:pPr>
              <w:spacing w:after="0"/>
              <w:rPr>
                <w:sz w:val="20"/>
                <w:szCs w:val="20"/>
                <w:color w:val="auto"/>
              </w:rPr>
            </w:pPr>
          </w:p>
        </w:tc>
        <w:tc>
          <w:tcPr>
            <w:tcW w:w="7340" w:type="dxa"/>
            <w:vAlign w:val="bottom"/>
            <w:gridSpan w:val="9"/>
          </w:tcPr>
          <w:p>
            <w:pPr>
              <w:jc w:val="center"/>
              <w:ind w:right="3599"/>
              <w:spacing w:after="0"/>
              <w:rPr>
                <w:sz w:val="20"/>
                <w:szCs w:val="20"/>
                <w:color w:val="auto"/>
              </w:rPr>
            </w:pPr>
            <w:r>
              <w:rPr>
                <w:rFonts w:ascii="Arial" w:cs="Arial" w:eastAsia="Arial" w:hAnsi="Arial"/>
                <w:sz w:val="18"/>
                <w:szCs w:val="18"/>
                <w:b w:val="1"/>
                <w:bCs w:val="1"/>
                <w:color w:val="auto"/>
                <w:w w:val="89"/>
              </w:rPr>
              <w:t>To the Pledge and Security Agreement</w:t>
            </w:r>
          </w:p>
        </w:tc>
      </w:tr>
      <w:tr>
        <w:trPr>
          <w:trHeight w:val="432"/>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6"/>
          </w:tcPr>
          <w:p>
            <w:pPr>
              <w:jc w:val="center"/>
              <w:ind w:right="4979"/>
              <w:spacing w:after="0"/>
              <w:rPr>
                <w:sz w:val="20"/>
                <w:szCs w:val="20"/>
                <w:color w:val="auto"/>
              </w:rPr>
            </w:pPr>
            <w:r>
              <w:rPr>
                <w:rFonts w:ascii="Arial" w:cs="Arial" w:eastAsia="Arial" w:hAnsi="Arial"/>
                <w:sz w:val="18"/>
                <w:szCs w:val="18"/>
                <w:b w:val="1"/>
                <w:bCs w:val="1"/>
                <w:color w:val="auto"/>
                <w:w w:val="89"/>
              </w:rPr>
              <w:t>Filings</w:t>
            </w:r>
          </w:p>
        </w:tc>
      </w:tr>
      <w:tr>
        <w:trPr>
          <w:trHeight w:val="391"/>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gridSpan w:val="7"/>
          </w:tcPr>
          <w:p>
            <w:pPr>
              <w:jc w:val="center"/>
              <w:ind w:right="4799"/>
              <w:spacing w:after="0"/>
              <w:rPr>
                <w:sz w:val="20"/>
                <w:szCs w:val="20"/>
                <w:color w:val="auto"/>
              </w:rPr>
            </w:pPr>
            <w:r>
              <w:rPr>
                <w:rFonts w:ascii="Arial" w:cs="Arial" w:eastAsia="Arial" w:hAnsi="Arial"/>
                <w:sz w:val="18"/>
                <w:szCs w:val="18"/>
                <w:color w:val="auto"/>
                <w:w w:val="95"/>
              </w:rPr>
              <w:t>UCC Filings</w:t>
            </w:r>
          </w:p>
        </w:tc>
      </w:tr>
      <w:tr>
        <w:trPr>
          <w:trHeight w:val="426"/>
        </w:trPr>
        <w:tc>
          <w:tcPr>
            <w:tcW w:w="3680" w:type="dxa"/>
            <w:vAlign w:val="bottom"/>
            <w:tcBorders>
              <w:bottom w:val="single" w:sz="8" w:color="auto"/>
            </w:tcBorders>
          </w:tcPr>
          <w:p>
            <w:pPr>
              <w:jc w:val="center"/>
              <w:ind w:left="1859"/>
              <w:spacing w:after="0"/>
              <w:rPr>
                <w:sz w:val="20"/>
                <w:szCs w:val="20"/>
                <w:color w:val="auto"/>
              </w:rPr>
            </w:pPr>
            <w:r>
              <w:rPr>
                <w:rFonts w:ascii="Arial" w:cs="Arial" w:eastAsia="Arial" w:hAnsi="Arial"/>
                <w:sz w:val="14"/>
                <w:szCs w:val="14"/>
                <w:b w:val="1"/>
                <w:bCs w:val="1"/>
                <w:color w:val="auto"/>
                <w:w w:val="97"/>
              </w:rPr>
              <w:t>Grantor</w:t>
            </w: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639"/>
              <w:spacing w:after="0"/>
              <w:rPr>
                <w:sz w:val="20"/>
                <w:szCs w:val="20"/>
                <w:color w:val="auto"/>
              </w:rPr>
            </w:pPr>
            <w:r>
              <w:rPr>
                <w:rFonts w:ascii="Arial" w:cs="Arial" w:eastAsia="Arial" w:hAnsi="Arial"/>
                <w:sz w:val="14"/>
                <w:szCs w:val="14"/>
                <w:b w:val="1"/>
                <w:bCs w:val="1"/>
                <w:color w:val="auto"/>
                <w:w w:val="94"/>
              </w:rPr>
              <w:t>Filing Office and Jurisdiction</w:t>
            </w:r>
          </w:p>
        </w:tc>
      </w:tr>
      <w:tr>
        <w:trPr>
          <w:trHeight w:val="224"/>
        </w:trPr>
        <w:tc>
          <w:tcPr>
            <w:tcW w:w="3680" w:type="dxa"/>
            <w:vAlign w:val="bottom"/>
          </w:tcPr>
          <w:p>
            <w:pPr>
              <w:jc w:val="center"/>
              <w:ind w:left="1859"/>
              <w:spacing w:after="0"/>
              <w:rPr>
                <w:sz w:val="20"/>
                <w:szCs w:val="20"/>
                <w:color w:val="auto"/>
              </w:rPr>
            </w:pPr>
            <w:r>
              <w:rPr>
                <w:rFonts w:ascii="Arial" w:cs="Arial" w:eastAsia="Arial" w:hAnsi="Arial"/>
                <w:sz w:val="18"/>
                <w:szCs w:val="18"/>
                <w:color w:val="auto"/>
                <w:w w:val="95"/>
              </w:rPr>
              <w:t>Dropbox, Inc.</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Pr>
          <w:p>
            <w:pPr>
              <w:jc w:val="center"/>
              <w:ind w:right="639"/>
              <w:spacing w:after="0"/>
              <w:rPr>
                <w:sz w:val="20"/>
                <w:szCs w:val="20"/>
                <w:color w:val="auto"/>
              </w:rPr>
            </w:pPr>
            <w:r>
              <w:rPr>
                <w:rFonts w:ascii="Arial" w:cs="Arial" w:eastAsia="Arial" w:hAnsi="Arial"/>
                <w:sz w:val="18"/>
                <w:szCs w:val="18"/>
                <w:color w:val="auto"/>
                <w:w w:val="89"/>
              </w:rPr>
              <w:t>Secretary of State – Delaware</w:t>
            </w:r>
          </w:p>
        </w:tc>
      </w:tr>
      <w:tr>
        <w:trPr>
          <w:trHeight w:val="377"/>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gridSpan w:val="7"/>
          </w:tcPr>
          <w:p>
            <w:pPr>
              <w:jc w:val="center"/>
              <w:ind w:right="4799"/>
              <w:spacing w:after="0"/>
              <w:rPr>
                <w:sz w:val="20"/>
                <w:szCs w:val="20"/>
                <w:color w:val="auto"/>
              </w:rPr>
            </w:pPr>
            <w:r>
              <w:rPr>
                <w:rFonts w:ascii="Arial" w:cs="Arial" w:eastAsia="Arial" w:hAnsi="Arial"/>
                <w:sz w:val="18"/>
                <w:szCs w:val="18"/>
                <w:color w:val="auto"/>
                <w:w w:val="95"/>
              </w:rPr>
              <w:t>Copyright Filings</w:t>
            </w:r>
          </w:p>
        </w:tc>
      </w:tr>
      <w:tr>
        <w:trPr>
          <w:trHeight w:val="453"/>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4"/>
          </w:tcPr>
          <w:p>
            <w:pPr>
              <w:jc w:val="center"/>
              <w:ind w:right="180"/>
              <w:spacing w:after="0"/>
              <w:rPr>
                <w:sz w:val="20"/>
                <w:szCs w:val="20"/>
                <w:color w:val="auto"/>
              </w:rPr>
            </w:pPr>
            <w:r>
              <w:rPr>
                <w:rFonts w:ascii="Arial" w:cs="Arial" w:eastAsia="Arial" w:hAnsi="Arial"/>
                <w:sz w:val="18"/>
                <w:szCs w:val="18"/>
                <w:color w:val="auto"/>
                <w:w w:val="91"/>
              </w:rPr>
              <w:t>None.</w:t>
            </w:r>
          </w:p>
        </w:tc>
        <w:tc>
          <w:tcPr>
            <w:tcW w:w="4880" w:type="dxa"/>
            <w:vAlign w:val="bottom"/>
            <w:gridSpan w:val="2"/>
          </w:tcPr>
          <w:p>
            <w:pPr>
              <w:spacing w:after="0"/>
              <w:rPr>
                <w:sz w:val="24"/>
                <w:szCs w:val="24"/>
                <w:color w:val="auto"/>
              </w:rPr>
            </w:pPr>
          </w:p>
        </w:tc>
      </w:tr>
      <w:tr>
        <w:trPr>
          <w:trHeight w:val="392"/>
        </w:trPr>
        <w:tc>
          <w:tcPr>
            <w:tcW w:w="3680" w:type="dxa"/>
            <w:vAlign w:val="bottom"/>
          </w:tcPr>
          <w:p>
            <w:pPr>
              <w:spacing w:after="0"/>
              <w:rPr>
                <w:sz w:val="24"/>
                <w:szCs w:val="24"/>
                <w:color w:val="auto"/>
              </w:rPr>
            </w:pPr>
          </w:p>
        </w:tc>
        <w:tc>
          <w:tcPr>
            <w:tcW w:w="7340" w:type="dxa"/>
            <w:vAlign w:val="bottom"/>
            <w:gridSpan w:val="9"/>
          </w:tcPr>
          <w:p>
            <w:pPr>
              <w:jc w:val="center"/>
              <w:ind w:right="3619"/>
              <w:spacing w:after="0"/>
              <w:rPr>
                <w:sz w:val="20"/>
                <w:szCs w:val="20"/>
                <w:color w:val="auto"/>
              </w:rPr>
            </w:pPr>
            <w:r>
              <w:rPr>
                <w:rFonts w:ascii="Arial" w:cs="Arial" w:eastAsia="Arial" w:hAnsi="Arial"/>
                <w:sz w:val="18"/>
                <w:szCs w:val="18"/>
                <w:color w:val="auto"/>
                <w:w w:val="89"/>
              </w:rPr>
              <w:t>Patent and Trademark Filings</w:t>
            </w:r>
          </w:p>
        </w:tc>
      </w:tr>
      <w:tr>
        <w:trPr>
          <w:trHeight w:val="425"/>
        </w:trPr>
        <w:tc>
          <w:tcPr>
            <w:tcW w:w="3680" w:type="dxa"/>
            <w:vAlign w:val="bottom"/>
            <w:tcBorders>
              <w:bottom w:val="single" w:sz="8" w:color="auto"/>
            </w:tcBorders>
          </w:tcPr>
          <w:p>
            <w:pPr>
              <w:jc w:val="center"/>
              <w:ind w:left="1859"/>
              <w:spacing w:after="0"/>
              <w:rPr>
                <w:sz w:val="20"/>
                <w:szCs w:val="20"/>
                <w:color w:val="auto"/>
              </w:rPr>
            </w:pPr>
            <w:r>
              <w:rPr>
                <w:rFonts w:ascii="Arial" w:cs="Arial" w:eastAsia="Arial" w:hAnsi="Arial"/>
                <w:sz w:val="14"/>
                <w:szCs w:val="14"/>
                <w:b w:val="1"/>
                <w:bCs w:val="1"/>
                <w:color w:val="auto"/>
                <w:w w:val="97"/>
              </w:rPr>
              <w:t>Grantor</w:t>
            </w:r>
          </w:p>
        </w:tc>
        <w:tc>
          <w:tcPr>
            <w:tcW w:w="76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639"/>
              <w:spacing w:after="0"/>
              <w:rPr>
                <w:sz w:val="20"/>
                <w:szCs w:val="20"/>
                <w:color w:val="auto"/>
              </w:rPr>
            </w:pPr>
            <w:r>
              <w:rPr>
                <w:rFonts w:ascii="Arial" w:cs="Arial" w:eastAsia="Arial" w:hAnsi="Arial"/>
                <w:sz w:val="14"/>
                <w:szCs w:val="14"/>
                <w:b w:val="1"/>
                <w:bCs w:val="1"/>
                <w:color w:val="auto"/>
                <w:w w:val="94"/>
              </w:rPr>
              <w:t>Filing Office and Jurisdiction</w:t>
            </w:r>
          </w:p>
        </w:tc>
      </w:tr>
      <w:tr>
        <w:trPr>
          <w:trHeight w:val="224"/>
        </w:trPr>
        <w:tc>
          <w:tcPr>
            <w:tcW w:w="3680" w:type="dxa"/>
            <w:vAlign w:val="bottom"/>
          </w:tcPr>
          <w:p>
            <w:pPr>
              <w:jc w:val="center"/>
              <w:ind w:left="1859"/>
              <w:spacing w:after="0"/>
              <w:rPr>
                <w:sz w:val="20"/>
                <w:szCs w:val="20"/>
                <w:color w:val="auto"/>
              </w:rPr>
            </w:pPr>
            <w:r>
              <w:rPr>
                <w:rFonts w:ascii="Arial" w:cs="Arial" w:eastAsia="Arial" w:hAnsi="Arial"/>
                <w:sz w:val="18"/>
                <w:szCs w:val="18"/>
                <w:color w:val="auto"/>
                <w:w w:val="95"/>
              </w:rPr>
              <w:t>Dropbox, Inc.</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60" w:type="dxa"/>
            <w:vAlign w:val="bottom"/>
          </w:tcPr>
          <w:p>
            <w:pPr>
              <w:jc w:val="center"/>
              <w:ind w:right="639"/>
              <w:spacing w:after="0"/>
              <w:rPr>
                <w:sz w:val="20"/>
                <w:szCs w:val="20"/>
                <w:color w:val="auto"/>
              </w:rPr>
            </w:pPr>
            <w:r>
              <w:rPr>
                <w:rFonts w:ascii="Arial" w:cs="Arial" w:eastAsia="Arial" w:hAnsi="Arial"/>
                <w:sz w:val="18"/>
                <w:szCs w:val="18"/>
                <w:color w:val="auto"/>
                <w:w w:val="90"/>
              </w:rPr>
              <w:t>U.S. Patent and Trademark Office</w:t>
            </w:r>
          </w:p>
        </w:tc>
      </w:tr>
    </w:tbl>
    <w:p>
      <w:pPr>
        <w:sectPr>
          <w:pgSz w:w="11900" w:h="16838" w:orient="portrait"/>
          <w:cols w:equalWidth="0" w:num="1">
            <w:col w:w="11020"/>
          </w:cols>
          <w:pgMar w:left="440" w:top="269" w:right="439" w:bottom="1440" w:gutter="0" w:footer="0" w:header="0"/>
        </w:sectPr>
      </w:pPr>
    </w:p>
    <w:bookmarkStart w:id="515" w:name="page516"/>
    <w:bookmarkEnd w:id="5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 Pledge and Security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Pledged Stock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Pledged Partnership Interests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Pledged LLC Interests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69" w:right="1440" w:bottom="1440" w:gutter="0" w:footer="0" w:header="0"/>
        </w:sectPr>
      </w:pPr>
    </w:p>
    <w:bookmarkStart w:id="516" w:name="page517"/>
    <w:bookmarkEnd w:id="5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 Pledge and Security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Intellectual Property]</w:t>
      </w:r>
    </w:p>
    <w:p>
      <w:pPr>
        <w:sectPr>
          <w:pgSz w:w="11900" w:h="16838" w:orient="portrait"/>
          <w:cols w:equalWidth="0" w:num="1">
            <w:col w:w="9019"/>
          </w:cols>
          <w:pgMar w:left="1440" w:top="269" w:right="1440"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 Announces $1.135 Billion Convertible Notes Offering</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SAN FRANCISCO, Calif., February 22, 2021— Dropbox, Inc. (“Dropbox”) (NASDAQ: DBX) today announced its intention to offer, subject to market conditions and other factors, $567.5 million aggregate principal amount of convertible senior notes due March 1, 2026 (the “2026 Notes”) and $567.5 million aggregate principal amount of convertible senior notes due March 1, 2028 (the “2028 Notes” and, together with the 2026 Notes, the “Notes”) in a private placement to qualified institutional buyers pursuant to Rule 144A under the Securities Act of 1933, as amended (the “Act”). Dropbox also expects to grant the initial purchasers of the Notes a 13-day option to purchase up to an additional $56.75 million aggregate principal amount of 2026 Notes and up to an additional $56.75 million aggregate principal amount of 2028 Notes.</w:t>
      </w:r>
    </w:p>
    <w:p>
      <w:pPr>
        <w:spacing w:after="0" w:line="17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Notes will be senior, unsecured obligations of Dropbox, and interest will be payable semi-annually in arrears. For each series of Notes, upon conversion, Dropbox will pay cash up to the aggregate principal amount of Notes to be converted and pay or deliver, as the case may be, cash, shares of Dropbox’s Class A common stock (“Class A common stock”) or a combination of cash and shares of Dropbox’s Class A common stock, at Dropbox’s election, in respect of the remainder. The interest rate, conversion rate, and other terms of the Notes are to be determined upon pricing of the offering.</w:t>
      </w:r>
    </w:p>
    <w:p>
      <w:pPr>
        <w:spacing w:after="0" w:line="1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pricing of the Notes, Dropbox intends to enter into convertible note hedge and warrant transactions with one or more of the initial purchasers or their affiliates and/or other financial institutions (the “option counterparties”). The convertible note hedge transactions are expected generally to reduce the potential dilution to Dropbox’s Class A common stock upon any conversion of the Notes and/or offset any cash payments Dropbox is required to make in excess of the principal amount of converted Notes, as the case may be. The warrant transactions would separately have a dilutive effect to the extent that the market value per share of the Class A common stock exceeds the strike price of any of the warrants unless, subject to the terms of the warrant transactions, Dropbox elects to cash settle the warrants. If the initial purchasers exercise their option to purchase additional notes, Dropbox intends to enter into additional convertible note hedge and additional warrant transactions relating to the additional notes.</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connection with establishing their initial hedge of the convertible note hedge and warrant transactions, the option counterparties or their respective affiliates expect to purchase shares of the Class A common stock and/or enter into various derivative transactions with respect to the Class A common stock concurrently with, or shortly after, the pricing of the Notes. This activity could increase (or reduce the size of any decrease in) the market price of the Class A common stock or the Notes at that time. In addition, the option counterparties or their respective affiliates may modify their hedge positions by entering into or unwinding various derivatives with respect to the Class A common stock and/or by purchasing or selling shares of the Class A common stock or other securities of Dropbox in secondary market transactions following the pricing of the Notes and prior to the maturity of the Notes (and are likely to do so during any observation period related to a conversion of the Notes or in connection with any repurchase of Notes by Dropbox on any fundamental change repurchase date or otherwise). This activity could also cause or avoid an</w:t>
      </w:r>
    </w:p>
    <w:p>
      <w:pPr>
        <w:sectPr>
          <w:pgSz w:w="11900" w:h="16838" w:orient="portrait"/>
          <w:cols w:equalWidth="0" w:num="1">
            <w:col w:w="11020"/>
          </w:cols>
          <w:pgMar w:left="440" w:top="121" w:right="439" w:bottom="1440" w:gutter="0" w:footer="0" w:header="0"/>
        </w:sectPr>
      </w:pPr>
    </w:p>
    <w:bookmarkStart w:id="518" w:name="page519"/>
    <w:bookmarkEnd w:id="518"/>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 or a decrease in the market price of the Class A common stock or the Notes, which could affect the ability of noteholders to convert the Notes and, to the extent the activity occurs during any observation period related to a conversion of the Notes, it could affect the amount and value of the consideration that noteholders will receive upon conversion of such Notes.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Dropbox intends to use a portion of the net proceeds of the offering of the Notes to pay the cost of the convertible note hedge transactions described above (after such cost is partially offset by the proceeds to Dropbox from the warrant transactions) and to repurchase shares of its Class A common stock from institutional investors. Dropbox expects to use the remaining proceeds of the offering for general corporate purposes, including repurchases of its Class A common stock.</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announcement is neither an offer to sell nor a solicitation of an offer to buy any of these securities and shall not constitute an offer, solicitation, or sale in any jurisdiction in which such offer, solicitation, or sale is unlawful. The convertible note hedge transactions, warrant transactions, Notes and the shares of Class A common stock issuable upon conversion of the Notes, if any, have not been, and will not be, registered under the Act or the securities laws of any other jurisdiction, and unless so registered, may not be offered or sold in the United States except pursuant to an applicable exemption from the registration requirements of the Act and applicable state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press@dropbox.com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 Bradley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IR@dropbox.com</w:t>
      </w:r>
    </w:p>
    <w:p>
      <w:pPr>
        <w:sectPr>
          <w:pgSz w:w="11900" w:h="16838" w:orient="portrait"/>
          <w:cols w:equalWidth="0" w:num="1">
            <w:col w:w="11020"/>
          </w:cols>
          <w:pgMar w:left="440" w:top="273" w:right="43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 Announces Upsize and Pricing of $1.306 Billion Convertible Senior Notes Offering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 February 24, 2021— Dropbox, Inc. (“Dropbox”) (NASDAQ: DBX) today announced the pricing of $653,000,000 aggregate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convertible senior notes due 2026 (the “2026 Notes”) and $653,000,000 aggregate principal amount of convertible senior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2028 (the “2028 Notes” and, together with the 2026 Notes, the “Notes”) in a private placement to qualified institutional buyers pursuant to Rule 144A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of 1933, as amended (the “Act”). The aggregate principal amount of the offering was increased from the previously announced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size of $1.135 billion. Dropbox also granted the initial purchasers of the Notes a 13-day option to purchase up to an additional $65,300,000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 2026 Notes and up to an additional $65,300,000 aggregate principal amount of 2028 Notes. The sale of the Notes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initial purchasers is expected to settle on February 26, 2021, subject to customary closing conditions, and is expected to result in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$1,286 million in net proceeds to Dropbox (or approximately $1,414 million if the initial purchasers exercise their option to purchase additional notes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 after deducting the initial purchasers’ discount and estimated offering expenses payable by Dropbox.</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Notes will be senior, unsecured obligations of Dropbox. The 2026 Notes and the 2028 Notes are each referred to herein as a series of notes. The Notes will not bear interest and the principal of each series of Notes will not accrete. The 2026 Notes will mature on March 1, 2026 and the 2028 Notes will mature on March 1, 2028, in each case unless earlier converted, redeemed or repurchased.</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Dropbox intends to use approximately $58.6 million of the net proceeds of the offering of the Notes to pay the cost of the convertible note hedge transactions described below, after such cost is partially offset by the proceeds of the warrant transactions described below, approximately $200 million of the net proceeds from this offering to repurchase shares of Dropbox’s Class A common stock (“Class A common stock”) at yesterday’s closing price of $23.18 per share from institutional investors through one of the initial purchasers or their affiliates, as Dropbox’s agent, concurrently with the pricing of this offering, and to use the remaining proceeds of the offering for general corporate purposes, including repurchases of its Class A common stock.</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2026 Notes may be converted at an initial conversion rate of 26.1458 shares of Dropbox’s Class A common stock per $1,000 principal amount of such notes (equivalent to an initial conversion price of approximately $38.25 per share of Class A common stock), and the 2028 Notes may be converted at an initial conversion rate of 28.2889 shares of Class A common stock per $1,000 principal amount of such notes (equivalent to an initial conversion price of approximately $35.35 per share of Class A common stock). Prior to the close of business on the business day immediately preceding December 1, 2025, in the case of the 2026 Notes, and prior to the close of business on the business day immediately preceding December 1, 2027, in the case of the 2028 Notes, the Notes will be convertible at the option of the noteholders only upon the satisfaction of specified conditions and during certain periods. On or after December 1, 2025 in the case of the 2026 Notes, and on or after December 1, 2027 in the case of the 2028 Notes, to the close of business on the second scheduled trading day immediately preceding the relevant maturity date, a holder of the relevant series of notes</w:t>
      </w:r>
    </w:p>
    <w:p>
      <w:pPr>
        <w:sectPr>
          <w:pgSz w:w="11900" w:h="16838" w:orient="portrait"/>
          <w:cols w:equalWidth="0" w:num="1">
            <w:col w:w="11020"/>
          </w:cols>
          <w:pgMar w:left="440" w:top="121" w:right="439" w:bottom="1440" w:gutter="0" w:footer="0" w:header="0"/>
        </w:sectPr>
      </w:pPr>
    </w:p>
    <w:bookmarkStart w:id="520" w:name="page521"/>
    <w:bookmarkEnd w:id="520"/>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convert all or any portion of its notes of such series regardless of these conditions. For each series of Notes, upon conversion, Dropbox will pay cash up to the aggregate principal amount of Notes to be converted and pay or deliver, as the case may be, cash, shares of Dropbox’s Class A common stock or a combination of cash and shares of Dropbox’s Class A common stock, at Dropbox’s election, in respect of the remainder. The last reported sale price of the Class A common stock on February 23, 2021 was $23.18 per share.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Dropbox may redeem for cash all or any portion of the Notes, at its option, on or after March 6, 2024, in the case of the 2026 Notes, and on or after March 6, 2025, in the case of the 2028 Notes, if the last reported sale price of Dropbox’s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Dropbox provides notice of redemption at a redemption price equal to 100% of the principal amount of the relevant series of Notes to be redeemed, plus any accrued and unpaid special interest to, but excluding, the redemption date.</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connection with the pricing of the Notes, Dropbox entered into convertible note hedge and warrant transactions with certain of the initial purchasers, their affiliates and other financial institutions (the “option counterparties”). The convertible note hedge transactions are expected generally to reduce the potential dilution to Dropbox’s Class A common stock upon any conversion of the Notes and/or offset any cash payments Dropbox is required to make in excess of the principal amount of converted Notes, as the case may be. The warrant transactions would separately have a dilutive effect to the extent that the market value per share of the Class A common stock exceeds the strike price of any warrants unless, subject to the terms of the warrant transactions, Dropbox elects to cash settle the warrants. The strike price of the warrant transactions will initially be approximately $46.36 per share, which represents a premium of 100% over the last reported sale price of the Class A common stock on February 23, 2021, and is subject to certain adjustments under the terms of the warrant transactions. If the initial purchasers exercise their option to purchase additional notes, Dropbox intends to enter into additional convertible note hedge and additional warrant transactions relating to the additional notes.</w:t>
      </w:r>
    </w:p>
    <w:p>
      <w:pPr>
        <w:spacing w:after="0" w:line="16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connection with establishing their initial hedge of the convertible note hedge and warrant transactions, the option counterparties or their respective affiliates expect to purchase shares of the Class A common stock and/or enter into various derivative transactions with respect to the Class A common stock concurrently with, or shortly after, the pricing of the Notes. This activity could increase (or reduce the size of any decrease in) the market price of the Class A common stock or the Notes at that time. In addition, the option counterparties or their respective affiliates may modify their hedge positions by entering into or unwinding various derivatives with respect to the Class A common stock and/or by purchasing or selling shares of the Class A common stock or other securities of Dropbox in secondary market transactions following the pricing of the Notes and prior to the maturity of the Notes (and are likely to do so during any observation period related to a conversion of the Notes or in connection with any repurchase of Notes by Dropbox). This activity could also cause or avoid an increase or a decrease in the market price of the Class A common stock or the Notes, which could affect the ability of noteholders to convert the Notes and, to the extent the activity occurs during any observation period related to a conversion of the Notes, it could affect the amount and value of the consideration that noteholders will receive upon conversion of such Notes.</w:t>
      </w:r>
    </w:p>
    <w:p>
      <w:pPr>
        <w:sectPr>
          <w:pgSz w:w="11900" w:h="16838" w:orient="portrait"/>
          <w:cols w:equalWidth="0" w:num="1">
            <w:col w:w="11000"/>
          </w:cols>
          <w:pgMar w:left="440" w:top="273" w:right="459" w:bottom="1440" w:gutter="0" w:footer="0" w:header="0"/>
        </w:sectPr>
      </w:pPr>
    </w:p>
    <w:bookmarkStart w:id="521" w:name="page522"/>
    <w:bookmarkEnd w:id="52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announcement is neither an offer to sell nor a solicitation of an offer to buy any of these securities and shall not constitute an offer, solicitation, or sale in any jurisdiction in which such offer, solicitation, or sale is unlawful. The convertible note hedge transactions, warrant transactions, Notes and the shares of Class A common stock issuable upon conversion of the Notes, if any, have not been, and will not be, registered under the Act or the securities laws of any other jurisdiction, and unless so registered, may not be offered or sold in the United States except pursuant to an applicable exemption from the registration requirements of the Act and applicable state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press@dropbox.com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 Bradley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IR@dropbox.com</w:t>
      </w:r>
    </w:p>
    <w:sectPr>
      <w:pgSz w:w="11900" w:h="16838" w:orient="portrait"/>
      <w:cols w:equalWidth="0" w:num="1">
        <w:col w:w="10940"/>
      </w:cols>
      <w:pgMar w:left="440" w:top="27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57756A"/>
    <w:multiLevelType w:val="hybridMultilevel"/>
    <w:lvl w:ilvl="0">
      <w:lvlJc w:val="left"/>
      <w:lvlText w:val="☐"/>
      <w:numFmt w:val="bullet"/>
      <w:start w:val="1"/>
    </w:lvl>
  </w:abstractNum>
  <w:abstractNum w:abstractNumId="1">
    <w:nsid w:val="3E6DA1C7"/>
    <w:multiLevelType w:val="hybridMultilevel"/>
    <w:lvl w:ilvl="0">
      <w:lvlJc w:val="left"/>
      <w:lvlText w:val="(%1)"/>
      <w:numFmt w:val="decimal"/>
      <w:start w:val="1"/>
    </w:lvl>
  </w:abstractNum>
  <w:abstractNum w:abstractNumId="2">
    <w:nsid w:val="65CA235B"/>
    <w:multiLevelType w:val="hybridMultilevel"/>
    <w:lvl w:ilvl="0">
      <w:lvlJc w:val="left"/>
      <w:lvlText w:val="(%1)"/>
      <w:numFmt w:val="lowerLetter"/>
      <w:start w:val="2"/>
    </w:lvl>
  </w:abstractNum>
  <w:abstractNum w:abstractNumId="3">
    <w:nsid w:val="51CB0DA4"/>
    <w:multiLevelType w:val="hybridMultilevel"/>
    <w:lvl w:ilvl="0">
      <w:lvlJc w:val="left"/>
      <w:lvlText w:val="(%1)"/>
      <w:numFmt w:val="lowerLetter"/>
      <w:start w:val="1"/>
    </w:lvl>
  </w:abstractNum>
  <w:abstractNum w:abstractNumId="4">
    <w:nsid w:val="7B9B743C"/>
    <w:multiLevelType w:val="hybridMultilevel"/>
    <w:lvl w:ilvl="0">
      <w:lvlJc w:val="left"/>
      <w:lvlText w:val="%1"/>
      <w:numFmt w:val="upperLetter"/>
      <w:start w:val="1"/>
    </w:lvl>
    <w:lvl w:ilvl="1">
      <w:lvlJc w:val="left"/>
      <w:lvlText w:val="(%2)"/>
      <w:numFmt w:val="lowerLetter"/>
      <w:start w:val="1"/>
    </w:lvl>
  </w:abstractNum>
  <w:abstractNum w:abstractNumId="5">
    <w:nsid w:val="13E21002"/>
    <w:multiLevelType w:val="hybridMultilevel"/>
    <w:lvl w:ilvl="0">
      <w:lvlJc w:val="left"/>
      <w:lvlText w:val="(%1)"/>
      <w:numFmt w:val="upperLetter"/>
      <w:start w:val="2"/>
    </w:lvl>
    <w:lvl w:ilvl="1">
      <w:lvlJc w:val="left"/>
      <w:lvlText w:val="(%2)"/>
      <w:numFmt w:val="lowerLetter"/>
      <w:start w:val="3"/>
    </w:lvl>
  </w:abstractNum>
  <w:abstractNum w:abstractNumId="6">
    <w:nsid w:val="257D63F4"/>
    <w:multiLevelType w:val="hybridMultilevel"/>
    <w:lvl w:ilvl="0">
      <w:lvlJc w:val="left"/>
      <w:lvlText w:val="(%1)"/>
      <w:numFmt w:val="lowerRoman"/>
      <w:start w:val="2"/>
    </w:lvl>
  </w:abstractNum>
  <w:abstractNum w:abstractNumId="7">
    <w:nsid w:val="70EC11B2"/>
    <w:multiLevelType w:val="hybridMultilevel"/>
    <w:lvl w:ilvl="0">
      <w:lvlJc w:val="left"/>
      <w:lvlText w:val="(%1)"/>
      <w:numFmt w:val="lowerLetter"/>
      <w:start w:val="1"/>
    </w:lvl>
  </w:abstractNum>
  <w:abstractNum w:abstractNumId="8">
    <w:nsid w:val="2EDA00ED"/>
    <w:multiLevelType w:val="hybridMultilevel"/>
    <w:lvl w:ilvl="0">
      <w:lvlJc w:val="left"/>
      <w:lvlText w:val="(%1)"/>
      <w:numFmt w:val="lowerLetter"/>
      <w:start w:val="3"/>
    </w:lvl>
  </w:abstractNum>
  <w:abstractNum w:abstractNumId="9">
    <w:nsid w:val="73209072"/>
    <w:multiLevelType w:val="hybridMultilevel"/>
    <w:lvl w:ilvl="0">
      <w:lvlJc w:val="left"/>
      <w:lvlText w:val="(%1)"/>
      <w:numFmt w:val="lowerLetter"/>
      <w:start w:val="1"/>
    </w:lvl>
  </w:abstractNum>
  <w:abstractNum w:abstractNumId="10">
    <w:nsid w:val="5FB29816"/>
    <w:multiLevelType w:val="hybridMultilevel"/>
    <w:lvl w:ilvl="0">
      <w:lvlJc w:val="left"/>
      <w:lvlText w:val="(%1)"/>
      <w:numFmt w:val="lowerLetter"/>
      <w:start w:val="3"/>
    </w:lvl>
    <w:lvl w:ilvl="1">
      <w:lvlJc w:val="left"/>
      <w:lvlText w:val="(%2)"/>
      <w:numFmt w:val="lowerRoman"/>
      <w:start w:val="1"/>
    </w:lvl>
  </w:abstractNum>
  <w:abstractNum w:abstractNumId="11">
    <w:nsid w:val="3CE732EC"/>
    <w:multiLevelType w:val="hybridMultilevel"/>
    <w:lvl w:ilvl="0">
      <w:lvlJc w:val="left"/>
      <w:lvlText w:val="(%1)"/>
      <w:numFmt w:val="lowerLetter"/>
      <w:start w:val="1"/>
    </w:lvl>
  </w:abstractNum>
  <w:abstractNum w:abstractNumId="12">
    <w:nsid w:val="22F13DF3"/>
    <w:multiLevelType w:val="hybridMultilevel"/>
    <w:lvl w:ilvl="0">
      <w:lvlJc w:val="left"/>
      <w:lvlText w:val="(%1)"/>
      <w:numFmt w:val="lowerLetter"/>
      <w:start w:val="2"/>
    </w:lvl>
  </w:abstractNum>
  <w:abstractNum w:abstractNumId="13">
    <w:nsid w:val="792B8401"/>
    <w:multiLevelType w:val="hybridMultilevel"/>
    <w:lvl w:ilvl="0">
      <w:lvlJc w:val="left"/>
      <w:lvlText w:val="(%1)"/>
      <w:numFmt w:val="decimal"/>
      <w:start w:val="1"/>
    </w:lvl>
    <w:lvl w:ilvl="1">
      <w:lvlJc w:val="left"/>
      <w:lvlText w:val="(%2)"/>
      <w:numFmt w:val="upperLetter"/>
      <w:start w:val="1"/>
    </w:lvl>
  </w:abstractNum>
  <w:abstractNum w:abstractNumId="14">
    <w:nsid w:val="FA85F4D"/>
    <w:multiLevelType w:val="hybridMultilevel"/>
    <w:lvl w:ilvl="0">
      <w:lvlJc w:val="left"/>
      <w:lvlText w:val="(%1)"/>
      <w:numFmt w:val="upperLetter"/>
      <w:start w:val="4"/>
    </w:lvl>
  </w:abstractNum>
  <w:abstractNum w:abstractNumId="15">
    <w:nsid w:val="6ECE91F0"/>
    <w:multiLevelType w:val="hybridMultilevel"/>
    <w:lvl w:ilvl="0">
      <w:lvlJc w:val="left"/>
      <w:lvlText w:val="(%1)"/>
      <w:numFmt w:val="lowerRoman"/>
      <w:start w:val="1"/>
    </w:lvl>
  </w:abstractNum>
  <w:abstractNum w:abstractNumId="16">
    <w:nsid w:val="4FC4D600"/>
    <w:multiLevelType w:val="hybridMultilevel"/>
    <w:lvl w:ilvl="0">
      <w:lvlJc w:val="left"/>
      <w:lvlText w:val="(%1)"/>
      <w:numFmt w:val="lowerLetter"/>
      <w:start w:val="4"/>
    </w:lvl>
  </w:abstractNum>
  <w:abstractNum w:abstractNumId="17">
    <w:nsid w:val="5BFD4210"/>
    <w:multiLevelType w:val="hybridMultilevel"/>
    <w:lvl w:ilvl="0">
      <w:lvlJc w:val="left"/>
      <w:lvlText w:val="(%1)"/>
      <w:numFmt w:val="decimal"/>
      <w:start w:val="1"/>
    </w:lvl>
    <w:lvl w:ilvl="1">
      <w:lvlJc w:val="left"/>
      <w:lvlText w:val="(%2)"/>
      <w:numFmt w:val="upperLetter"/>
      <w:start w:val="1"/>
    </w:lvl>
  </w:abstractNum>
  <w:abstractNum w:abstractNumId="18">
    <w:nsid w:val="76574F8B"/>
    <w:multiLevelType w:val="hybridMultilevel"/>
    <w:lvl w:ilvl="0">
      <w:lvlJc w:val="left"/>
      <w:lvlText w:val="(%1)"/>
      <w:numFmt w:val="lowerLetter"/>
      <w:start w:val="5"/>
    </w:lvl>
  </w:abstractNum>
  <w:abstractNum w:abstractNumId="19">
    <w:nsid w:val="178F7B67"/>
    <w:multiLevelType w:val="hybridMultilevel"/>
    <w:lvl w:ilvl="0">
      <w:lvlJc w:val="left"/>
      <w:lvlText w:val="(%1)"/>
      <w:numFmt w:val="lowerRoman"/>
      <w:start w:val="1"/>
    </w:lvl>
  </w:abstractNum>
  <w:abstractNum w:abstractNumId="20">
    <w:nsid w:val="2421DFCF"/>
    <w:multiLevelType w:val="hybridMultilevel"/>
    <w:lvl w:ilvl="0">
      <w:lvlJc w:val="left"/>
      <w:lvlText w:val="(%1)"/>
      <w:numFmt w:val="lowerLetter"/>
      <w:start w:val="2"/>
    </w:lvl>
  </w:abstractNum>
  <w:abstractNum w:abstractNumId="21">
    <w:nsid w:val="1565AC99"/>
    <w:multiLevelType w:val="hybridMultilevel"/>
    <w:lvl w:ilvl="0">
      <w:lvlJc w:val="left"/>
      <w:lvlText w:val="(%1)"/>
      <w:numFmt w:val="lowerLetter"/>
      <w:start w:val="2"/>
    </w:lvl>
  </w:abstractNum>
  <w:abstractNum w:abstractNumId="22">
    <w:nsid w:val="19FB2650"/>
    <w:multiLevelType w:val="hybridMultilevel"/>
    <w:lvl w:ilvl="0">
      <w:lvlJc w:val="left"/>
      <w:lvlText w:val="(%1)"/>
      <w:numFmt w:val="lowerLetter"/>
      <w:start w:val="6"/>
    </w:lvl>
  </w:abstractNum>
  <w:abstractNum w:abstractNumId="23">
    <w:nsid w:val="5024DE5B"/>
    <w:multiLevelType w:val="hybridMultilevel"/>
    <w:lvl w:ilvl="0">
      <w:lvlJc w:val="left"/>
      <w:lvlText w:val="(%1)"/>
      <w:numFmt w:val="lowerLetter"/>
      <w:start w:val="1"/>
    </w:lvl>
  </w:abstractNum>
  <w:abstractNum w:abstractNumId="24">
    <w:nsid w:val="168EFE17"/>
    <w:multiLevelType w:val="hybridMultilevel"/>
    <w:lvl w:ilvl="0">
      <w:lvlJc w:val="left"/>
      <w:lvlText w:val="(%1)"/>
      <w:numFmt w:val="lowerRoman"/>
      <w:start w:val="1"/>
    </w:lvl>
  </w:abstractNum>
  <w:abstractNum w:abstractNumId="25">
    <w:nsid w:val="1036B29F"/>
    <w:multiLevelType w:val="hybridMultilevel"/>
    <w:lvl w:ilvl="0">
      <w:lvlJc w:val="left"/>
      <w:lvlText w:val="(%1)"/>
      <w:numFmt w:val="lowerLetter"/>
      <w:start w:val="2"/>
    </w:lvl>
  </w:abstractNum>
  <w:abstractNum w:abstractNumId="26">
    <w:nsid w:val="1D206B8E"/>
    <w:multiLevelType w:val="hybridMultilevel"/>
    <w:lvl w:ilvl="0">
      <w:lvlJc w:val="left"/>
      <w:lvlText w:val="(%1)"/>
      <w:numFmt w:val="lowerLetter"/>
      <w:start w:val="1"/>
    </w:lvl>
    <w:lvl w:ilvl="1">
      <w:lvlJc w:val="left"/>
      <w:lvlText w:val="(%2)"/>
      <w:numFmt w:val="lowerRoman"/>
      <w:start w:val="1"/>
    </w:lvl>
  </w:abstractNum>
  <w:abstractNum w:abstractNumId="27">
    <w:nsid w:val="7934D3D4"/>
    <w:multiLevelType w:val="hybridMultilevel"/>
    <w:lvl w:ilvl="0">
      <w:lvlJc w:val="left"/>
      <w:lvlText w:val="(%1)"/>
      <w:numFmt w:val="lowerLetter"/>
      <w:start w:val="7"/>
    </w:lvl>
  </w:abstractNum>
  <w:abstractNum w:abstractNumId="28">
    <w:nsid w:val="1C65E98"/>
    <w:multiLevelType w:val="hybridMultilevel"/>
    <w:lvl w:ilvl="0">
      <w:lvlJc w:val="left"/>
      <w:lvlText w:val="(%1)"/>
      <w:numFmt w:val="lowerLetter"/>
      <w:start w:val="1"/>
    </w:lvl>
  </w:abstractNum>
  <w:abstractNum w:abstractNumId="29">
    <w:nsid w:val="1495E50A"/>
    <w:multiLevelType w:val="hybridMultilevel"/>
    <w:lvl w:ilvl="0">
      <w:lvlJc w:val="left"/>
      <w:lvlText w:val="(%1)"/>
      <w:numFmt w:val="lowerLetter"/>
      <w:start w:val="9"/>
    </w:lvl>
  </w:abstractNum>
  <w:abstractNum w:abstractNumId="30">
    <w:nsid w:val="F5BCF61"/>
    <w:multiLevelType w:val="hybridMultilevel"/>
    <w:lvl w:ilvl="0">
      <w:lvlJc w:val="left"/>
      <w:lvlText w:val="(%1)"/>
      <w:numFmt w:val="lowerLetter"/>
      <w:start w:val="2"/>
    </w:lvl>
    <w:lvl w:ilvl="1">
      <w:lvlJc w:val="left"/>
      <w:lvlText w:val="(%2)"/>
      <w:numFmt w:val="lowerRoman"/>
      <w:start w:val="1"/>
    </w:lvl>
  </w:abstractNum>
  <w:abstractNum w:abstractNumId="31">
    <w:nsid w:val="3B1DD403"/>
    <w:multiLevelType w:val="hybridMultilevel"/>
    <w:lvl w:ilvl="0">
      <w:lvlJc w:val="left"/>
      <w:lvlText w:val="(%1)"/>
      <w:numFmt w:val="lowerLetter"/>
      <w:start w:val="3"/>
    </w:lvl>
  </w:abstractNum>
  <w:abstractNum w:abstractNumId="32">
    <w:nsid w:val="530386D1"/>
    <w:multiLevelType w:val="hybridMultilevel"/>
    <w:lvl w:ilvl="0">
      <w:lvlJc w:val="left"/>
      <w:lvlText w:val="(%1)"/>
      <w:numFmt w:val="lowerLetter"/>
      <w:start w:val="1"/>
    </w:lvl>
  </w:abstractNum>
  <w:abstractNum w:abstractNumId="33">
    <w:nsid w:val="7525F2BC"/>
    <w:multiLevelType w:val="hybridMultilevel"/>
    <w:lvl w:ilvl="0">
      <w:lvlJc w:val="left"/>
      <w:lvlText w:val="(%1)"/>
      <w:numFmt w:val="lowerLetter"/>
      <w:start w:val="3"/>
    </w:lvl>
  </w:abstractNum>
  <w:abstractNum w:abstractNumId="34">
    <w:nsid w:val="CE8E1A7"/>
    <w:multiLevelType w:val="hybridMultilevel"/>
    <w:lvl w:ilvl="0">
      <w:lvlJc w:val="left"/>
      <w:lvlText w:val="(%1)"/>
      <w:numFmt w:val="lowerLetter"/>
      <w:start w:val="1"/>
    </w:lvl>
  </w:abstractNum>
  <w:abstractNum w:abstractNumId="35">
    <w:nsid w:val="4E9EFB0D"/>
    <w:multiLevelType w:val="hybridMultilevel"/>
    <w:lvl w:ilvl="0">
      <w:lvlJc w:val="left"/>
      <w:lvlText w:val="(%1)"/>
      <w:numFmt w:val="lowerLetter"/>
      <w:start w:val="1"/>
    </w:lvl>
  </w:abstractNum>
  <w:abstractNum w:abstractNumId="36">
    <w:nsid w:val="90802BE"/>
    <w:multiLevelType w:val="hybridMultilevel"/>
    <w:lvl w:ilvl="0">
      <w:lvlJc w:val="left"/>
      <w:lvlText w:val="(%1)"/>
      <w:numFmt w:val="lowerLetter"/>
      <w:start w:val="3"/>
    </w:lvl>
  </w:abstractNum>
  <w:abstractNum w:abstractNumId="37">
    <w:nsid w:val="3266459B"/>
    <w:multiLevelType w:val="hybridMultilevel"/>
    <w:lvl w:ilvl="0">
      <w:lvlJc w:val="left"/>
      <w:lvlText w:val="(%1)"/>
      <w:numFmt w:val="lowerLetter"/>
      <w:start w:val="1"/>
    </w:lvl>
  </w:abstractNum>
  <w:abstractNum w:abstractNumId="38">
    <w:nsid w:val="3F8B0CBF"/>
    <w:multiLevelType w:val="hybridMultilevel"/>
    <w:lvl w:ilvl="0">
      <w:lvlJc w:val="left"/>
      <w:lvlText w:val="(%1)"/>
      <w:numFmt w:val="lowerLetter"/>
      <w:start w:val="1"/>
    </w:lvl>
  </w:abstractNum>
  <w:abstractNum w:abstractNumId="39">
    <w:nsid w:val="37E203AB"/>
    <w:multiLevelType w:val="hybridMultilevel"/>
    <w:lvl w:ilvl="0">
      <w:lvlJc w:val="left"/>
      <w:lvlText w:val="(%1)"/>
      <w:numFmt w:val="lowerRoman"/>
      <w:start w:val="1"/>
    </w:lvl>
    <w:lvl w:ilvl="1">
      <w:lvlJc w:val="left"/>
      <w:lvlText w:val="(%2)"/>
      <w:numFmt w:val="upperLetter"/>
      <w:start w:val="1"/>
    </w:lvl>
  </w:abstractNum>
  <w:abstractNum w:abstractNumId="40">
    <w:nsid w:val="2586D60E"/>
    <w:multiLevelType w:val="hybridMultilevel"/>
    <w:lvl w:ilvl="0">
      <w:lvlJc w:val="left"/>
      <w:lvlText w:val="(%1)"/>
      <w:numFmt w:val="lowerRoman"/>
      <w:start w:val="3"/>
    </w:lvl>
  </w:abstractNum>
  <w:abstractNum w:abstractNumId="41">
    <w:nsid w:val="1F3DA4D5"/>
    <w:multiLevelType w:val="hybridMultilevel"/>
    <w:lvl w:ilvl="0">
      <w:lvlJc w:val="left"/>
      <w:lvlText w:val="(%1)"/>
      <w:numFmt w:val="lowerLetter"/>
      <w:start w:val="1"/>
    </w:lvl>
    <w:lvl w:ilvl="1">
      <w:lvlJc w:val="left"/>
      <w:lvlText w:val="(%2)"/>
      <w:numFmt w:val="lowerRoman"/>
      <w:start w:val="1"/>
    </w:lvl>
  </w:abstractNum>
  <w:abstractNum w:abstractNumId="42">
    <w:nsid w:val="74C93698"/>
    <w:multiLevelType w:val="hybridMultilevel"/>
    <w:lvl w:ilvl="0">
      <w:lvlJc w:val="left"/>
      <w:lvlText w:val="%1"/>
      <w:numFmt w:val="lowerLetter"/>
      <w:start w:val="1"/>
    </w:lvl>
    <w:lvl w:ilvl="1">
      <w:lvlJc w:val="left"/>
      <w:lvlText w:val="(%2)"/>
      <w:numFmt w:val="lowerLetter"/>
      <w:start w:val="22"/>
    </w:lvl>
  </w:abstractNum>
  <w:abstractNum w:abstractNumId="43">
    <w:nsid w:val="48781401"/>
    <w:multiLevelType w:val="hybridMultilevel"/>
    <w:lvl w:ilvl="0">
      <w:lvlJc w:val="left"/>
      <w:lvlText w:val="(%1)"/>
      <w:numFmt w:val="lowerLetter"/>
      <w:start w:val="2"/>
    </w:lvl>
    <w:lvl w:ilvl="1">
      <w:lvlJc w:val="left"/>
      <w:lvlText w:val="%2"/>
      <w:numFmt w:val="lowerLetter"/>
      <w:start w:val="1"/>
    </w:lvl>
  </w:abstractNum>
  <w:abstractNum w:abstractNumId="44">
    <w:nsid w:val="186928D6"/>
    <w:multiLevelType w:val="hybridMultilevel"/>
    <w:lvl w:ilvl="0">
      <w:lvlJc w:val="left"/>
      <w:lvlText w:val="(%1)"/>
      <w:numFmt w:val="lowerLetter"/>
      <w:start w:val="3"/>
    </w:lvl>
  </w:abstractNum>
  <w:abstractNum w:abstractNumId="45">
    <w:nsid w:val="47195E5"/>
    <w:multiLevelType w:val="hybridMultilevel"/>
    <w:lvl w:ilvl="0">
      <w:lvlJc w:val="left"/>
      <w:lvlText w:val="(%1)"/>
      <w:numFmt w:val="lowerLetter"/>
      <w:start w:val="6"/>
    </w:lvl>
  </w:abstractNum>
  <w:abstractNum w:abstractNumId="46">
    <w:nsid w:val="3746A5F2"/>
    <w:multiLevelType w:val="hybridMultilevel"/>
    <w:lvl w:ilvl="0">
      <w:lvlJc w:val="left"/>
      <w:lvlText w:val="(%1)"/>
      <w:numFmt w:val="lowerLetter"/>
      <w:start w:val="1"/>
    </w:lvl>
  </w:abstractNum>
  <w:abstractNum w:abstractNumId="47">
    <w:nsid w:val="682DFED6"/>
    <w:multiLevelType w:val="hybridMultilevel"/>
    <w:lvl w:ilvl="0">
      <w:lvlJc w:val="left"/>
      <w:lvlText w:val="(%1)"/>
      <w:numFmt w:val="lowerLetter"/>
      <w:start w:val="4"/>
    </w:lvl>
  </w:abstractNum>
  <w:abstractNum w:abstractNumId="48">
    <w:nsid w:val="606ED7F6"/>
    <w:multiLevelType w:val="hybridMultilevel"/>
    <w:lvl w:ilvl="0">
      <w:lvlJc w:val="left"/>
      <w:lvlText w:val="(%1)"/>
      <w:numFmt w:val="lowerRoman"/>
      <w:start w:val="1"/>
    </w:lvl>
  </w:abstractNum>
  <w:abstractNum w:abstractNumId="49">
    <w:nsid w:val="2D9DF57D"/>
    <w:multiLevelType w:val="hybridMultilevel"/>
    <w:lvl w:ilvl="0">
      <w:lvlJc w:val="left"/>
      <w:lvlText w:val="(%1)"/>
      <w:numFmt w:val="lowerLetter"/>
      <w:start w:val="6"/>
    </w:lvl>
  </w:abstractNum>
  <w:abstractNum w:abstractNumId="50">
    <w:nsid w:val="7FBD7A3E"/>
    <w:multiLevelType w:val="hybridMultilevel"/>
    <w:lvl w:ilvl="0">
      <w:lvlJc w:val="left"/>
      <w:lvlText w:val="(%1)"/>
      <w:numFmt w:val="lowerLetter"/>
      <w:start w:val="1"/>
    </w:lvl>
  </w:abstractNum>
  <w:abstractNum w:abstractNumId="51">
    <w:nsid w:val="490B7C5"/>
    <w:multiLevelType w:val="hybridMultilevel"/>
    <w:lvl w:ilvl="0">
      <w:lvlJc w:val="left"/>
      <w:lvlText w:val="(%1)"/>
      <w:numFmt w:val="lowerLetter"/>
      <w:start w:val="2"/>
    </w:lvl>
  </w:abstractNum>
  <w:abstractNum w:abstractNumId="52">
    <w:nsid w:val="4303A216"/>
    <w:multiLevelType w:val="hybridMultilevel"/>
    <w:lvl w:ilvl="0">
      <w:lvlJc w:val="left"/>
      <w:lvlText w:val="X"/>
      <w:numFmt w:val="bullet"/>
      <w:start w:val="1"/>
    </w:lvl>
  </w:abstractNum>
  <w:abstractNum w:abstractNumId="53">
    <w:nsid w:val="19B8A08E"/>
    <w:multiLevelType w:val="hybridMultilevel"/>
    <w:lvl w:ilvl="0">
      <w:lvlJc w:val="left"/>
      <w:lvlText w:val="Y"/>
      <w:numFmt w:val="bullet"/>
      <w:start w:val="1"/>
    </w:lvl>
  </w:abstractNum>
  <w:abstractNum w:abstractNumId="54">
    <w:nsid w:val="54B59621"/>
    <w:multiLevelType w:val="hybridMultilevel"/>
    <w:lvl w:ilvl="0">
      <w:lvlJc w:val="left"/>
      <w:lvlText w:val="%1"/>
      <w:numFmt w:val="lowerLetter"/>
      <w:start w:val="1"/>
    </w:lvl>
    <w:lvl w:ilvl="1">
      <w:lvlJc w:val="left"/>
      <w:lvlText w:val="(%2)"/>
      <w:numFmt w:val="lowerLetter"/>
      <w:start w:val="3"/>
    </w:lvl>
  </w:abstractNum>
  <w:abstractNum w:abstractNumId="55">
    <w:nsid w:val="5992A02E"/>
    <w:multiLevelType w:val="hybridMultilevel"/>
    <w:lvl w:ilvl="0">
      <w:lvlJc w:val="left"/>
      <w:lvlText w:val="(%1)"/>
      <w:numFmt w:val="lowerLetter"/>
      <w:start w:val="9"/>
    </w:lvl>
    <w:lvl w:ilvl="1">
      <w:lvlJc w:val="left"/>
      <w:lvlText w:val="%2"/>
      <w:numFmt w:val="lowerLetter"/>
      <w:start w:val="1"/>
    </w:lvl>
  </w:abstractNum>
  <w:abstractNum w:abstractNumId="56">
    <w:nsid w:val="29EF532D"/>
    <w:multiLevelType w:val="hybridMultilevel"/>
    <w:lvl w:ilvl="0">
      <w:lvlJc w:val="left"/>
      <w:lvlText w:val="(%1)"/>
      <w:numFmt w:val="upperLetter"/>
      <w:start w:val="35"/>
    </w:lvl>
  </w:abstractNum>
  <w:abstractNum w:abstractNumId="57">
    <w:nsid w:val="71D601AF"/>
    <w:multiLevelType w:val="hybridMultilevel"/>
    <w:lvl w:ilvl="0">
      <w:lvlJc w:val="left"/>
      <w:lvlText w:val="(%1)"/>
      <w:numFmt w:val="lowerLetter"/>
      <w:start w:val="4"/>
    </w:lvl>
  </w:abstractNum>
  <w:abstractNum w:abstractNumId="58">
    <w:nsid w:val="52C77402"/>
    <w:multiLevelType w:val="hybridMultilevel"/>
    <w:lvl w:ilvl="0">
      <w:lvlJc w:val="left"/>
      <w:lvlText w:val="C"/>
      <w:numFmt w:val="bullet"/>
      <w:start w:val="1"/>
    </w:lvl>
  </w:abstractNum>
  <w:abstractNum w:abstractNumId="59">
    <w:nsid w:val="2BB5B1C6"/>
    <w:multiLevelType w:val="hybridMultilevel"/>
    <w:lvl w:ilvl="0">
      <w:lvlJc w:val="left"/>
      <w:lvlText w:val="(%1)"/>
      <w:numFmt w:val="lowerLetter"/>
      <w:start w:val="5"/>
    </w:lvl>
  </w:abstractNum>
  <w:abstractNum w:abstractNumId="60">
    <w:nsid w:val="66BE6B9"/>
    <w:multiLevelType w:val="hybridMultilevel"/>
    <w:lvl w:ilvl="0">
      <w:lvlJc w:val="left"/>
      <w:lvlText w:val="(%1)"/>
      <w:numFmt w:val="lowerLetter"/>
      <w:start w:val="6"/>
    </w:lvl>
    <w:lvl w:ilvl="1">
      <w:lvlJc w:val="left"/>
      <w:lvlText w:val="(%2)"/>
      <w:numFmt w:val="lowerLetter"/>
      <w:start w:val="9"/>
    </w:lvl>
  </w:abstractNum>
  <w:abstractNum w:abstractNumId="61">
    <w:nsid w:val="622343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2">
    <w:nsid w:val="66D385C9"/>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63">
    <w:nsid w:val="596F6D8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64">
    <w:nsid w:val="5749361F"/>
    <w:multiLevelType w:val="hybridMultilevel"/>
    <w:lvl w:ilvl="0">
      <w:lvlJc w:val="left"/>
      <w:lvlText w:val="(%1)"/>
      <w:numFmt w:val="lowerLetter"/>
      <w:start w:val="1"/>
    </w:lvl>
    <w:lvl w:ilvl="1">
      <w:lvlJc w:val="left"/>
      <w:lvlText w:val="(%2)"/>
      <w:numFmt w:val="lowerRoman"/>
      <w:start w:val="1"/>
    </w:lvl>
  </w:abstractNum>
  <w:abstractNum w:abstractNumId="65">
    <w:nsid w:val="73BC6770"/>
    <w:multiLevelType w:val="hybridMultilevel"/>
    <w:lvl w:ilvl="0">
      <w:lvlJc w:val="left"/>
      <w:lvlText w:val="(%1)"/>
      <w:numFmt w:val="upperLetter"/>
      <w:start w:val="1"/>
    </w:lvl>
  </w:abstractNum>
  <w:abstractNum w:abstractNumId="66">
    <w:nsid w:val="280E6897"/>
    <w:multiLevelType w:val="hybridMultilevel"/>
    <w:lvl w:ilvl="0">
      <w:lvlJc w:val="left"/>
      <w:lvlText w:val="(%1)"/>
      <w:numFmt w:val="lowerRoman"/>
      <w:start w:val="1"/>
    </w:lvl>
  </w:abstractNum>
  <w:abstractNum w:abstractNumId="67">
    <w:nsid w:val="605138DE"/>
    <w:multiLevelType w:val="hybridMultilevel"/>
    <w:lvl w:ilvl="0">
      <w:lvlJc w:val="left"/>
      <w:lvlText w:val="(%1)"/>
      <w:numFmt w:val="lowerLetter"/>
      <w:start w:val="2"/>
    </w:lvl>
  </w:abstractNum>
  <w:abstractNum w:abstractNumId="68">
    <w:nsid w:val="2622AD0C"/>
    <w:multiLevelType w:val="hybridMultilevel"/>
    <w:lvl w:ilvl="0">
      <w:lvlJc w:val="left"/>
      <w:lvlText w:val="(%1)"/>
      <w:numFmt w:val="lowerLetter"/>
      <w:start w:val="1"/>
    </w:lvl>
  </w:abstractNum>
  <w:abstractNum w:abstractNumId="69">
    <w:nsid w:val="67997556"/>
    <w:multiLevelType w:val="hybridMultilevel"/>
    <w:lvl w:ilvl="0">
      <w:lvlJc w:val="left"/>
      <w:lvlText w:val="(%1)"/>
      <w:numFmt w:val="lowerLetter"/>
      <w:start w:val="3"/>
    </w:lvl>
  </w:abstractNum>
  <w:abstractNum w:abstractNumId="70">
    <w:nsid w:val="18333C89"/>
    <w:multiLevelType w:val="hybridMultilevel"/>
    <w:lvl w:ilvl="0">
      <w:lvlJc w:val="left"/>
      <w:lvlText w:val="(%1)"/>
      <w:numFmt w:val="lowerLetter"/>
      <w:start w:val="1"/>
    </w:lvl>
  </w:abstractNum>
  <w:abstractNum w:abstractNumId="71">
    <w:nsid w:val="4BA9831A"/>
    <w:multiLevelType w:val="hybridMultilevel"/>
    <w:lvl w:ilvl="0">
      <w:lvlJc w:val="left"/>
      <w:lvlText w:val="(%1)"/>
      <w:numFmt w:val="lowerLetter"/>
      <w:start w:val="1"/>
    </w:lvl>
  </w:abstractNum>
  <w:abstractNum w:abstractNumId="72">
    <w:nsid w:val="6D71A2B"/>
    <w:multiLevelType w:val="hybridMultilevel"/>
    <w:lvl w:ilvl="0">
      <w:lvlJc w:val="left"/>
      <w:lvlText w:val="(%1)"/>
      <w:numFmt w:val="lowerLetter"/>
      <w:start w:val="1"/>
    </w:lvl>
    <w:lvl w:ilvl="1">
      <w:lvlJc w:val="left"/>
      <w:lvlText w:val="(%2)"/>
      <w:numFmt w:val="lowerRoman"/>
      <w:start w:val="1"/>
    </w:lvl>
  </w:abstractNum>
  <w:abstractNum w:abstractNumId="73">
    <w:nsid w:val="CFC7321"/>
    <w:multiLevelType w:val="hybridMultilevel"/>
    <w:lvl w:ilvl="0">
      <w:lvlJc w:val="left"/>
      <w:lvlText w:val="(%1)"/>
      <w:numFmt w:val="upperLetter"/>
      <w:start w:val="1"/>
    </w:lvl>
  </w:abstractNum>
  <w:abstractNum w:abstractNumId="74">
    <w:nsid w:val="1421971B"/>
    <w:multiLevelType w:val="hybridMultilevel"/>
    <w:lvl w:ilvl="0">
      <w:lvlJc w:val="left"/>
      <w:lvlText w:val="%1"/>
      <w:numFmt w:val="lowerLetter"/>
      <w:start w:val="1"/>
    </w:lvl>
    <w:lvl w:ilvl="1">
      <w:lvlJc w:val="left"/>
      <w:lvlText w:val="(%2)"/>
      <w:numFmt w:val="lowerLetter"/>
      <w:start w:val="2"/>
    </w:lvl>
  </w:abstractNum>
  <w:abstractNum w:abstractNumId="75">
    <w:nsid w:val="1F404301"/>
    <w:multiLevelType w:val="hybridMultilevel"/>
    <w:lvl w:ilvl="0">
      <w:lvlJc w:val="left"/>
      <w:lvlText w:val="(%1)"/>
      <w:numFmt w:val="lowerLetter"/>
      <w:start w:val="9"/>
    </w:lvl>
    <w:lvl w:ilvl="1">
      <w:lvlJc w:val="left"/>
      <w:lvlText w:val="%2"/>
      <w:numFmt w:val="lowerLetter"/>
      <w:start w:val="1"/>
    </w:lvl>
  </w:abstractNum>
  <w:abstractNum w:abstractNumId="76">
    <w:nsid w:val="116E0907"/>
    <w:multiLevelType w:val="hybridMultilevel"/>
    <w:lvl w:ilvl="0">
      <w:lvlJc w:val="left"/>
      <w:lvlText w:val="(%1)"/>
      <w:numFmt w:val="lowerRoman"/>
      <w:start w:val="2"/>
    </w:lvl>
  </w:abstractNum>
  <w:abstractNum w:abstractNumId="77">
    <w:nsid w:val="4B683D0D"/>
    <w:multiLevelType w:val="hybridMultilevel"/>
    <w:lvl w:ilvl="0">
      <w:lvlJc w:val="left"/>
      <w:lvlText w:val="(%1)"/>
      <w:numFmt w:val="lowerLetter"/>
      <w:start w:val="3"/>
    </w:lvl>
  </w:abstractNum>
  <w:abstractNum w:abstractNumId="78">
    <w:nsid w:val="76E41D8"/>
    <w:multiLevelType w:val="hybridMultilevel"/>
    <w:lvl w:ilvl="0">
      <w:lvlJc w:val="left"/>
      <w:lvlText w:val="(%1)"/>
      <w:numFmt w:val="lowerRoman"/>
      <w:start w:val="1"/>
    </w:lvl>
  </w:abstractNum>
  <w:abstractNum w:abstractNumId="79">
    <w:nsid w:val="71DCE0FD"/>
    <w:multiLevelType w:val="hybridMultilevel"/>
    <w:lvl w:ilvl="0">
      <w:lvlJc w:val="left"/>
      <w:lvlText w:val="(%1)"/>
      <w:numFmt w:val="lowerLetter"/>
      <w:start w:val="1"/>
    </w:lvl>
  </w:abstractNum>
  <w:abstractNum w:abstractNumId="80">
    <w:nsid w:val="7906328B"/>
    <w:multiLevelType w:val="hybridMultilevel"/>
    <w:lvl w:ilvl="0">
      <w:lvlJc w:val="left"/>
      <w:lvlText w:val="(%1)"/>
      <w:numFmt w:val="lowerLetter"/>
      <w:start w:val="1"/>
    </w:lvl>
  </w:abstractNum>
  <w:abstractNum w:abstractNumId="81">
    <w:nsid w:val="72BBC16"/>
    <w:multiLevelType w:val="hybridMultilevel"/>
    <w:lvl w:ilvl="0">
      <w:lvlJc w:val="left"/>
      <w:lvlText w:val="(%1)"/>
      <w:numFmt w:val="lowerLetter"/>
      <w:start w:val="1"/>
    </w:lvl>
    <w:lvl w:ilvl="1">
      <w:lvlJc w:val="left"/>
      <w:lvlText w:val="(%2)"/>
      <w:numFmt w:val="lowerRoman"/>
      <w:start w:val="1"/>
    </w:lvl>
  </w:abstractNum>
  <w:abstractNum w:abstractNumId="82">
    <w:nsid w:val="766D98C2"/>
    <w:multiLevelType w:val="hybridMultilevel"/>
    <w:lvl w:ilvl="0">
      <w:lvlJc w:val="left"/>
      <w:lvlText w:val="(%1)"/>
      <w:numFmt w:val="lowerRoman"/>
      <w:start w:val="4"/>
    </w:lvl>
  </w:abstractNum>
  <w:abstractNum w:abstractNumId="83">
    <w:nsid w:val="3C09D4A1"/>
    <w:multiLevelType w:val="hybridMultilevel"/>
    <w:lvl w:ilvl="0">
      <w:lvlJc w:val="left"/>
      <w:lvlText w:val="(%1)"/>
      <w:numFmt w:val="lowerLetter"/>
      <w:start w:val="4"/>
    </w:lvl>
  </w:abstractNum>
  <w:abstractNum w:abstractNumId="84">
    <w:nsid w:val="20E45CA4"/>
    <w:multiLevelType w:val="hybridMultilevel"/>
    <w:lvl w:ilvl="0">
      <w:lvlJc w:val="left"/>
      <w:lvlText w:val="(%1)"/>
      <w:numFmt w:val="lowerLetter"/>
      <w:start w:val="1"/>
    </w:lvl>
  </w:abstractNum>
  <w:abstractNum w:abstractNumId="85">
    <w:nsid w:val="4B232EE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86">
    <w:nsid w:val="159C74CF"/>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87">
    <w:nsid w:val="4AD3AFD2"/>
    <w:multiLevelType w:val="hybridMultilevel"/>
    <w:lvl w:ilvl="0">
      <w:lvlJc w:val="left"/>
      <w:lvlText w:val="☐"/>
      <w:numFmt w:val="bullet"/>
      <w:start w:val="1"/>
    </w:lvl>
  </w:abstractNum>
  <w:abstractNum w:abstractNumId="88">
    <w:nsid w:val="3CF93092"/>
    <w:multiLevelType w:val="hybridMultilevel"/>
    <w:lvl w:ilvl="0">
      <w:lvlJc w:val="left"/>
      <w:lvlText w:val="(%1)"/>
      <w:numFmt w:val="lowerLetter"/>
      <w:start w:val="2"/>
    </w:lvl>
  </w:abstractNum>
  <w:abstractNum w:abstractNumId="89">
    <w:nsid w:val="6863E8D2"/>
    <w:multiLevelType w:val="hybridMultilevel"/>
    <w:lvl w:ilvl="0">
      <w:lvlJc w:val="left"/>
      <w:lvlText w:val="(%1)"/>
      <w:numFmt w:val="lowerLetter"/>
      <w:start w:val="1"/>
    </w:lvl>
  </w:abstractNum>
  <w:abstractNum w:abstractNumId="90">
    <w:nsid w:val="76896198"/>
    <w:multiLevelType w:val="hybridMultilevel"/>
    <w:lvl w:ilvl="0">
      <w:lvlJc w:val="left"/>
      <w:lvlText w:val="%1"/>
      <w:numFmt w:val="upperLetter"/>
      <w:start w:val="1"/>
    </w:lvl>
    <w:lvl w:ilvl="1">
      <w:lvlJc w:val="left"/>
      <w:lvlText w:val="(%2)"/>
      <w:numFmt w:val="lowerLetter"/>
      <w:start w:val="1"/>
    </w:lvl>
  </w:abstractNum>
  <w:abstractNum w:abstractNumId="91">
    <w:nsid w:val="4365174B"/>
    <w:multiLevelType w:val="hybridMultilevel"/>
    <w:lvl w:ilvl="0">
      <w:lvlJc w:val="left"/>
      <w:lvlText w:val="(%1)"/>
      <w:numFmt w:val="upperLetter"/>
      <w:start w:val="2"/>
    </w:lvl>
    <w:lvl w:ilvl="1">
      <w:lvlJc w:val="left"/>
      <w:lvlText w:val="(%2)"/>
      <w:numFmt w:val="lowerLetter"/>
      <w:start w:val="3"/>
    </w:lvl>
  </w:abstractNum>
  <w:abstractNum w:abstractNumId="92">
    <w:nsid w:val="4A872C35"/>
    <w:multiLevelType w:val="hybridMultilevel"/>
    <w:lvl w:ilvl="0">
      <w:lvlJc w:val="left"/>
      <w:lvlText w:val="(%1)"/>
      <w:numFmt w:val="lowerRoman"/>
      <w:start w:val="2"/>
    </w:lvl>
  </w:abstractNum>
  <w:abstractNum w:abstractNumId="93">
    <w:nsid w:val="5D5CE761"/>
    <w:multiLevelType w:val="hybridMultilevel"/>
    <w:lvl w:ilvl="0">
      <w:lvlJc w:val="left"/>
      <w:lvlText w:val="(%1)"/>
      <w:numFmt w:val="lowerLetter"/>
      <w:start w:val="1"/>
    </w:lvl>
  </w:abstractNum>
  <w:abstractNum w:abstractNumId="94">
    <w:nsid w:val="1CD484D5"/>
    <w:multiLevelType w:val="hybridMultilevel"/>
    <w:lvl w:ilvl="0">
      <w:lvlJc w:val="left"/>
      <w:lvlText w:val="(%1)"/>
      <w:numFmt w:val="lowerLetter"/>
      <w:start w:val="3"/>
    </w:lvl>
  </w:abstractNum>
  <w:abstractNum w:abstractNumId="95">
    <w:nsid w:val="21D06255"/>
    <w:multiLevelType w:val="hybridMultilevel"/>
    <w:lvl w:ilvl="0">
      <w:lvlJc w:val="left"/>
      <w:lvlText w:val="(%1)"/>
      <w:numFmt w:val="lowerLetter"/>
      <w:start w:val="1"/>
    </w:lvl>
  </w:abstractNum>
  <w:abstractNum w:abstractNumId="96">
    <w:nsid w:val="51194ED1"/>
    <w:multiLevelType w:val="hybridMultilevel"/>
    <w:lvl w:ilvl="0">
      <w:lvlJc w:val="left"/>
      <w:lvlText w:val="(%1)"/>
      <w:numFmt w:val="lowerLetter"/>
      <w:start w:val="3"/>
    </w:lvl>
    <w:lvl w:ilvl="1">
      <w:lvlJc w:val="left"/>
      <w:lvlText w:val="(%2)"/>
      <w:numFmt w:val="lowerRoman"/>
      <w:start w:val="1"/>
    </w:lvl>
  </w:abstractNum>
  <w:abstractNum w:abstractNumId="97">
    <w:nsid w:val="44E2ED6C"/>
    <w:multiLevelType w:val="hybridMultilevel"/>
    <w:lvl w:ilvl="0">
      <w:lvlJc w:val="left"/>
      <w:lvlText w:val="(%1)"/>
      <w:numFmt w:val="lowerLetter"/>
      <w:start w:val="1"/>
    </w:lvl>
  </w:abstractNum>
  <w:abstractNum w:abstractNumId="98">
    <w:nsid w:val="2219B33"/>
    <w:multiLevelType w:val="hybridMultilevel"/>
    <w:lvl w:ilvl="0">
      <w:lvlJc w:val="left"/>
      <w:lvlText w:val="(%1)"/>
      <w:numFmt w:val="lowerLetter"/>
      <w:start w:val="2"/>
    </w:lvl>
  </w:abstractNum>
  <w:abstractNum w:abstractNumId="99">
    <w:nsid w:val="773BFBDD"/>
    <w:multiLevelType w:val="hybridMultilevel"/>
    <w:lvl w:ilvl="0">
      <w:lvlJc w:val="left"/>
      <w:lvlText w:val="(%1)"/>
      <w:numFmt w:val="decimal"/>
      <w:start w:val="1"/>
    </w:lvl>
    <w:lvl w:ilvl="1">
      <w:lvlJc w:val="left"/>
      <w:lvlText w:val="(%2)"/>
      <w:numFmt w:val="upperLetter"/>
      <w:start w:val="1"/>
    </w:lvl>
  </w:abstractNum>
  <w:abstractNum w:abstractNumId="100">
    <w:nsid w:val="2C7C62C2"/>
    <w:multiLevelType w:val="hybridMultilevel"/>
    <w:lvl w:ilvl="0">
      <w:lvlJc w:val="left"/>
      <w:lvlText w:val="(%1)"/>
      <w:numFmt w:val="upperLetter"/>
      <w:start w:val="4"/>
    </w:lvl>
  </w:abstractNum>
  <w:abstractNum w:abstractNumId="101">
    <w:nsid w:val="1A54D7BC"/>
    <w:multiLevelType w:val="hybridMultilevel"/>
    <w:lvl w:ilvl="0">
      <w:lvlJc w:val="left"/>
      <w:lvlText w:val="(%1)"/>
      <w:numFmt w:val="lowerRoman"/>
      <w:start w:val="1"/>
    </w:lvl>
  </w:abstractNum>
  <w:abstractNum w:abstractNumId="102">
    <w:nsid w:val="42E57EF7"/>
    <w:multiLevelType w:val="hybridMultilevel"/>
    <w:lvl w:ilvl="0">
      <w:lvlJc w:val="left"/>
      <w:lvlText w:val="(%1)"/>
      <w:numFmt w:val="lowerLetter"/>
      <w:start w:val="4"/>
    </w:lvl>
  </w:abstractNum>
  <w:abstractNum w:abstractNumId="103">
    <w:nsid w:val="33537CED"/>
    <w:multiLevelType w:val="hybridMultilevel"/>
    <w:lvl w:ilvl="0">
      <w:lvlJc w:val="left"/>
      <w:lvlText w:val="(%1)"/>
      <w:numFmt w:val="decimal"/>
      <w:start w:val="1"/>
    </w:lvl>
    <w:lvl w:ilvl="1">
      <w:lvlJc w:val="left"/>
      <w:lvlText w:val="(%2)"/>
      <w:numFmt w:val="upperLetter"/>
      <w:start w:val="1"/>
    </w:lvl>
  </w:abstractNum>
  <w:abstractNum w:abstractNumId="104">
    <w:nsid w:val="27514ADE"/>
    <w:multiLevelType w:val="hybridMultilevel"/>
    <w:lvl w:ilvl="0">
      <w:lvlJc w:val="left"/>
      <w:lvlText w:val="(%1)"/>
      <w:numFmt w:val="lowerLetter"/>
      <w:start w:val="5"/>
    </w:lvl>
  </w:abstractNum>
  <w:abstractNum w:abstractNumId="105">
    <w:nsid w:val="57071613"/>
    <w:multiLevelType w:val="hybridMultilevel"/>
    <w:lvl w:ilvl="0">
      <w:lvlJc w:val="left"/>
      <w:lvlText w:val="(%1)"/>
      <w:numFmt w:val="lowerRoman"/>
      <w:start w:val="1"/>
    </w:lvl>
  </w:abstractNum>
  <w:abstractNum w:abstractNumId="106">
    <w:nsid w:val="5293BFEF"/>
    <w:multiLevelType w:val="hybridMultilevel"/>
    <w:lvl w:ilvl="0">
      <w:lvlJc w:val="left"/>
      <w:lvlText w:val="(%1)"/>
      <w:numFmt w:val="lowerLetter"/>
      <w:start w:val="2"/>
    </w:lvl>
  </w:abstractNum>
  <w:abstractNum w:abstractNumId="107">
    <w:nsid w:val="38BF53E5"/>
    <w:multiLevelType w:val="hybridMultilevel"/>
    <w:lvl w:ilvl="0">
      <w:lvlJc w:val="left"/>
      <w:lvlText w:val="(%1)"/>
      <w:numFmt w:val="lowerLetter"/>
      <w:start w:val="2"/>
    </w:lvl>
  </w:abstractNum>
  <w:abstractNum w:abstractNumId="108">
    <w:nsid w:val="226F5320"/>
    <w:multiLevelType w:val="hybridMultilevel"/>
    <w:lvl w:ilvl="0">
      <w:lvlJc w:val="left"/>
      <w:lvlText w:val="(%1)"/>
      <w:numFmt w:val="lowerLetter"/>
      <w:start w:val="6"/>
    </w:lvl>
  </w:abstractNum>
  <w:abstractNum w:abstractNumId="109">
    <w:nsid w:val="5A0201C7"/>
    <w:multiLevelType w:val="hybridMultilevel"/>
    <w:lvl w:ilvl="0">
      <w:lvlJc w:val="left"/>
      <w:lvlText w:val="(%1)"/>
      <w:numFmt w:val="lowerLetter"/>
      <w:start w:val="1"/>
    </w:lvl>
  </w:abstractNum>
  <w:abstractNum w:abstractNumId="110">
    <w:nsid w:val="2A9C34E2"/>
    <w:multiLevelType w:val="hybridMultilevel"/>
    <w:lvl w:ilvl="0">
      <w:lvlJc w:val="left"/>
      <w:lvlText w:val="(%1)"/>
      <w:numFmt w:val="lowerRoman"/>
      <w:start w:val="1"/>
    </w:lvl>
  </w:abstractNum>
  <w:abstractNum w:abstractNumId="111">
    <w:nsid w:val="1B7585AB"/>
    <w:multiLevelType w:val="hybridMultilevel"/>
    <w:lvl w:ilvl="0">
      <w:lvlJc w:val="left"/>
      <w:lvlText w:val="(%1)"/>
      <w:numFmt w:val="lowerLetter"/>
      <w:start w:val="2"/>
    </w:lvl>
  </w:abstractNum>
  <w:abstractNum w:abstractNumId="112">
    <w:nsid w:val="612DBDDD"/>
    <w:multiLevelType w:val="hybridMultilevel"/>
    <w:lvl w:ilvl="0">
      <w:lvlJc w:val="left"/>
      <w:lvlText w:val="(%1)"/>
      <w:numFmt w:val="lowerLetter"/>
      <w:start w:val="1"/>
    </w:lvl>
    <w:lvl w:ilvl="1">
      <w:lvlJc w:val="left"/>
      <w:lvlText w:val="(%2)"/>
      <w:numFmt w:val="lowerRoman"/>
      <w:start w:val="1"/>
    </w:lvl>
  </w:abstractNum>
  <w:abstractNum w:abstractNumId="113">
    <w:nsid w:val="2109CDA4"/>
    <w:multiLevelType w:val="hybridMultilevel"/>
    <w:lvl w:ilvl="0">
      <w:lvlJc w:val="left"/>
      <w:lvlText w:val="(%1)"/>
      <w:numFmt w:val="lowerLetter"/>
      <w:start w:val="7"/>
    </w:lvl>
  </w:abstractNum>
  <w:abstractNum w:abstractNumId="114">
    <w:nsid w:val="577F5A4D"/>
    <w:multiLevelType w:val="hybridMultilevel"/>
    <w:lvl w:ilvl="0">
      <w:lvlJc w:val="left"/>
      <w:lvlText w:val="(%1)"/>
      <w:numFmt w:val="lowerLetter"/>
      <w:start w:val="1"/>
    </w:lvl>
  </w:abstractNum>
  <w:abstractNum w:abstractNumId="115">
    <w:nsid w:val="2121A81"/>
    <w:multiLevelType w:val="hybridMultilevel"/>
    <w:lvl w:ilvl="0">
      <w:lvlJc w:val="left"/>
      <w:lvlText w:val="(%1)"/>
      <w:numFmt w:val="lowerLetter"/>
      <w:start w:val="9"/>
    </w:lvl>
  </w:abstractNum>
  <w:abstractNum w:abstractNumId="116">
    <w:nsid w:val="6C2CFC88"/>
    <w:multiLevelType w:val="hybridMultilevel"/>
    <w:lvl w:ilvl="0">
      <w:lvlJc w:val="left"/>
      <w:lvlText w:val="(%1)"/>
      <w:numFmt w:val="lowerLetter"/>
      <w:start w:val="2"/>
    </w:lvl>
    <w:lvl w:ilvl="1">
      <w:lvlJc w:val="left"/>
      <w:lvlText w:val="(%2)"/>
      <w:numFmt w:val="lowerRoman"/>
      <w:start w:val="1"/>
    </w:lvl>
  </w:abstractNum>
  <w:abstractNum w:abstractNumId="117">
    <w:nsid w:val="6D1BCF1C"/>
    <w:multiLevelType w:val="hybridMultilevel"/>
    <w:lvl w:ilvl="0">
      <w:lvlJc w:val="left"/>
      <w:lvlText w:val="(%1)"/>
      <w:numFmt w:val="lowerLetter"/>
      <w:start w:val="3"/>
    </w:lvl>
  </w:abstractNum>
  <w:abstractNum w:abstractNumId="118">
    <w:nsid w:val="4CE5CA53"/>
    <w:multiLevelType w:val="hybridMultilevel"/>
    <w:lvl w:ilvl="0">
      <w:lvlJc w:val="left"/>
      <w:lvlText w:val="(%1)"/>
      <w:numFmt w:val="lowerLetter"/>
      <w:start w:val="1"/>
    </w:lvl>
  </w:abstractNum>
  <w:abstractNum w:abstractNumId="119">
    <w:nsid w:val="29262D1A"/>
    <w:multiLevelType w:val="hybridMultilevel"/>
    <w:lvl w:ilvl="0">
      <w:lvlJc w:val="left"/>
      <w:lvlText w:val="(%1)"/>
      <w:numFmt w:val="lowerLetter"/>
      <w:start w:val="3"/>
    </w:lvl>
  </w:abstractNum>
  <w:abstractNum w:abstractNumId="120">
    <w:nsid w:val="557FB7EE"/>
    <w:multiLevelType w:val="hybridMultilevel"/>
    <w:lvl w:ilvl="0">
      <w:lvlJc w:val="left"/>
      <w:lvlText w:val="(%1)"/>
      <w:numFmt w:val="lowerLetter"/>
      <w:start w:val="1"/>
    </w:lvl>
  </w:abstractNum>
  <w:abstractNum w:abstractNumId="121">
    <w:nsid w:val="436F2BEB"/>
    <w:multiLevelType w:val="hybridMultilevel"/>
    <w:lvl w:ilvl="0">
      <w:lvlJc w:val="left"/>
      <w:lvlText w:val="(%1)"/>
      <w:numFmt w:val="lowerLetter"/>
      <w:start w:val="1"/>
    </w:lvl>
  </w:abstractNum>
  <w:abstractNum w:abstractNumId="122">
    <w:nsid w:val="6C8B4466"/>
    <w:multiLevelType w:val="hybridMultilevel"/>
    <w:lvl w:ilvl="0">
      <w:lvlJc w:val="left"/>
      <w:lvlText w:val="(%1)"/>
      <w:numFmt w:val="lowerLetter"/>
      <w:start w:val="3"/>
    </w:lvl>
  </w:abstractNum>
  <w:abstractNum w:abstractNumId="123">
    <w:nsid w:val="2006E424"/>
    <w:multiLevelType w:val="hybridMultilevel"/>
    <w:lvl w:ilvl="0">
      <w:lvlJc w:val="left"/>
      <w:lvlText w:val="(%1)"/>
      <w:numFmt w:val="lowerLetter"/>
      <w:start w:val="1"/>
    </w:lvl>
  </w:abstractNum>
  <w:abstractNum w:abstractNumId="124">
    <w:nsid w:val="20CC134C"/>
    <w:multiLevelType w:val="hybridMultilevel"/>
    <w:lvl w:ilvl="0">
      <w:lvlJc w:val="left"/>
      <w:lvlText w:val="(%1)"/>
      <w:numFmt w:val="lowerLetter"/>
      <w:start w:val="1"/>
    </w:lvl>
  </w:abstractNum>
  <w:abstractNum w:abstractNumId="125">
    <w:nsid w:val="95FC93B"/>
    <w:multiLevelType w:val="hybridMultilevel"/>
    <w:lvl w:ilvl="0">
      <w:lvlJc w:val="left"/>
      <w:lvlText w:val="(%1)"/>
      <w:numFmt w:val="lowerRoman"/>
      <w:start w:val="1"/>
    </w:lvl>
    <w:lvl w:ilvl="1">
      <w:lvlJc w:val="left"/>
      <w:lvlText w:val="(%2)"/>
      <w:numFmt w:val="upperLetter"/>
      <w:start w:val="1"/>
    </w:lvl>
  </w:abstractNum>
  <w:abstractNum w:abstractNumId="126">
    <w:nsid w:val="41D74679"/>
    <w:multiLevelType w:val="hybridMultilevel"/>
    <w:lvl w:ilvl="0">
      <w:lvlJc w:val="left"/>
      <w:lvlText w:val="(%1)"/>
      <w:numFmt w:val="lowerRoman"/>
      <w:start w:val="3"/>
    </w:lvl>
  </w:abstractNum>
  <w:abstractNum w:abstractNumId="127">
    <w:nsid w:val="71E5621E"/>
    <w:multiLevelType w:val="hybridMultilevel"/>
    <w:lvl w:ilvl="0">
      <w:lvlJc w:val="left"/>
      <w:lvlText w:val="(%1)"/>
      <w:numFmt w:val="lowerLetter"/>
      <w:start w:val="1"/>
    </w:lvl>
    <w:lvl w:ilvl="1">
      <w:lvlJc w:val="left"/>
      <w:lvlText w:val="(%2)"/>
      <w:numFmt w:val="lowerRoman"/>
      <w:start w:val="1"/>
    </w:lvl>
  </w:abstractNum>
  <w:abstractNum w:abstractNumId="128">
    <w:nsid w:val="4E42B6A8"/>
    <w:multiLevelType w:val="hybridMultilevel"/>
    <w:lvl w:ilvl="0">
      <w:lvlJc w:val="left"/>
      <w:lvlText w:val="%1"/>
      <w:numFmt w:val="lowerLetter"/>
      <w:start w:val="1"/>
    </w:lvl>
    <w:lvl w:ilvl="1">
      <w:lvlJc w:val="left"/>
      <w:lvlText w:val="(%2)"/>
      <w:numFmt w:val="lowerLetter"/>
      <w:start w:val="22"/>
    </w:lvl>
  </w:abstractNum>
  <w:abstractNum w:abstractNumId="129">
    <w:nsid w:val="43F8E1AC"/>
    <w:multiLevelType w:val="hybridMultilevel"/>
    <w:lvl w:ilvl="0">
      <w:lvlJc w:val="left"/>
      <w:lvlText w:val="(%1)"/>
      <w:numFmt w:val="lowerLetter"/>
      <w:start w:val="2"/>
    </w:lvl>
    <w:lvl w:ilvl="1">
      <w:lvlJc w:val="left"/>
      <w:lvlText w:val="%2"/>
      <w:numFmt w:val="lowerLetter"/>
      <w:start w:val="1"/>
    </w:lvl>
  </w:abstractNum>
  <w:abstractNum w:abstractNumId="130">
    <w:nsid w:val="69215DFB"/>
    <w:multiLevelType w:val="hybridMultilevel"/>
    <w:lvl w:ilvl="0">
      <w:lvlJc w:val="left"/>
      <w:lvlText w:val="(%1)"/>
      <w:numFmt w:val="lowerLetter"/>
      <w:start w:val="3"/>
    </w:lvl>
  </w:abstractNum>
  <w:abstractNum w:abstractNumId="131">
    <w:nsid w:val="7ABF196A"/>
    <w:multiLevelType w:val="hybridMultilevel"/>
    <w:lvl w:ilvl="0">
      <w:lvlJc w:val="left"/>
      <w:lvlText w:val="(%1)"/>
      <w:numFmt w:val="lowerLetter"/>
      <w:start w:val="6"/>
    </w:lvl>
  </w:abstractNum>
  <w:abstractNum w:abstractNumId="132">
    <w:nsid w:val="5E4DB968"/>
    <w:multiLevelType w:val="hybridMultilevel"/>
    <w:lvl w:ilvl="0">
      <w:lvlJc w:val="left"/>
      <w:lvlText w:val="(%1)"/>
      <w:numFmt w:val="lowerLetter"/>
      <w:start w:val="1"/>
    </w:lvl>
  </w:abstractNum>
  <w:abstractNum w:abstractNumId="133">
    <w:nsid w:val="2C06DCF3"/>
    <w:multiLevelType w:val="hybridMultilevel"/>
    <w:lvl w:ilvl="0">
      <w:lvlJc w:val="left"/>
      <w:lvlText w:val="(%1)"/>
      <w:numFmt w:val="lowerLetter"/>
      <w:start w:val="4"/>
    </w:lvl>
  </w:abstractNum>
  <w:abstractNum w:abstractNumId="134">
    <w:nsid w:val="2E129658"/>
    <w:multiLevelType w:val="hybridMultilevel"/>
    <w:lvl w:ilvl="0">
      <w:lvlJc w:val="left"/>
      <w:lvlText w:val="(%1)"/>
      <w:numFmt w:val="lowerRoman"/>
      <w:start w:val="1"/>
    </w:lvl>
  </w:abstractNum>
  <w:abstractNum w:abstractNumId="135">
    <w:nsid w:val="59F0446"/>
    <w:multiLevelType w:val="hybridMultilevel"/>
    <w:lvl w:ilvl="0">
      <w:lvlJc w:val="left"/>
      <w:lvlText w:val="(%1)"/>
      <w:numFmt w:val="lowerLetter"/>
      <w:start w:val="6"/>
    </w:lvl>
  </w:abstractNum>
  <w:abstractNum w:abstractNumId="136">
    <w:nsid w:val="30DF306"/>
    <w:multiLevelType w:val="hybridMultilevel"/>
    <w:lvl w:ilvl="0">
      <w:lvlJc w:val="left"/>
      <w:lvlText w:val="(%1)"/>
      <w:numFmt w:val="lowerLetter"/>
      <w:start w:val="1"/>
    </w:lvl>
  </w:abstractNum>
  <w:abstractNum w:abstractNumId="137">
    <w:nsid w:val="A65647"/>
    <w:multiLevelType w:val="hybridMultilevel"/>
    <w:lvl w:ilvl="0">
      <w:lvlJc w:val="left"/>
      <w:lvlText w:val="(%1)"/>
      <w:numFmt w:val="lowerLetter"/>
      <w:start w:val="2"/>
    </w:lvl>
  </w:abstractNum>
  <w:abstractNum w:abstractNumId="138">
    <w:nsid w:val="3E5E582B"/>
    <w:multiLevelType w:val="hybridMultilevel"/>
    <w:lvl w:ilvl="0">
      <w:lvlJc w:val="left"/>
      <w:lvlText w:val="X"/>
      <w:numFmt w:val="bullet"/>
      <w:start w:val="1"/>
    </w:lvl>
  </w:abstractNum>
  <w:abstractNum w:abstractNumId="139">
    <w:nsid w:val="257D4626"/>
    <w:multiLevelType w:val="hybridMultilevel"/>
    <w:lvl w:ilvl="0">
      <w:lvlJc w:val="left"/>
      <w:lvlText w:val="Y"/>
      <w:numFmt w:val="bullet"/>
      <w:start w:val="1"/>
    </w:lvl>
  </w:abstractNum>
  <w:abstractNum w:abstractNumId="140">
    <w:nsid w:val="5AA8580E"/>
    <w:multiLevelType w:val="hybridMultilevel"/>
    <w:lvl w:ilvl="0">
      <w:lvlJc w:val="left"/>
      <w:lvlText w:val="%1"/>
      <w:numFmt w:val="lowerLetter"/>
      <w:start w:val="1"/>
    </w:lvl>
    <w:lvl w:ilvl="1">
      <w:lvlJc w:val="left"/>
      <w:lvlText w:val="(%2)"/>
      <w:numFmt w:val="lowerLetter"/>
      <w:start w:val="3"/>
    </w:lvl>
  </w:abstractNum>
  <w:abstractNum w:abstractNumId="141">
    <w:nsid w:val="68FA8D0D"/>
    <w:multiLevelType w:val="hybridMultilevel"/>
    <w:lvl w:ilvl="0">
      <w:lvlJc w:val="left"/>
      <w:lvlText w:val="(%1)"/>
      <w:numFmt w:val="lowerLetter"/>
      <w:start w:val="9"/>
    </w:lvl>
    <w:lvl w:ilvl="1">
      <w:lvlJc w:val="left"/>
      <w:lvlText w:val="%2"/>
      <w:numFmt w:val="lowerLetter"/>
      <w:start w:val="1"/>
    </w:lvl>
  </w:abstractNum>
  <w:abstractNum w:abstractNumId="142">
    <w:nsid w:val="40F2CBD2"/>
    <w:multiLevelType w:val="hybridMultilevel"/>
    <w:lvl w:ilvl="0">
      <w:lvlJc w:val="left"/>
      <w:lvlText w:val="(%1)"/>
      <w:numFmt w:val="lowerLetter"/>
      <w:start w:val="4"/>
    </w:lvl>
  </w:abstractNum>
  <w:abstractNum w:abstractNumId="143">
    <w:nsid w:val="3BD615EB"/>
    <w:multiLevelType w:val="hybridMultilevel"/>
    <w:lvl w:ilvl="0">
      <w:lvlJc w:val="left"/>
      <w:lvlText w:val="C"/>
      <w:numFmt w:val="bullet"/>
      <w:start w:val="1"/>
    </w:lvl>
  </w:abstractNum>
  <w:abstractNum w:abstractNumId="144">
    <w:nsid w:val="A045AB2"/>
    <w:multiLevelType w:val="hybridMultilevel"/>
    <w:lvl w:ilvl="0">
      <w:lvlJc w:val="left"/>
      <w:lvlText w:val="(%1)"/>
      <w:numFmt w:val="lowerLetter"/>
      <w:start w:val="5"/>
    </w:lvl>
  </w:abstractNum>
  <w:abstractNum w:abstractNumId="145">
    <w:nsid w:val="1872261F"/>
    <w:multiLevelType w:val="hybridMultilevel"/>
    <w:lvl w:ilvl="0">
      <w:lvlJc w:val="left"/>
      <w:lvlText w:val="(%1)"/>
      <w:numFmt w:val="lowerLetter"/>
      <w:start w:val="6"/>
    </w:lvl>
  </w:abstractNum>
  <w:abstractNum w:abstractNumId="146">
    <w:nsid w:val="3DE830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7">
    <w:nsid w:val="7631573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48">
    <w:nsid w:val="58DF53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49">
    <w:nsid w:val="ACDFAC0"/>
    <w:multiLevelType w:val="hybridMultilevel"/>
    <w:lvl w:ilvl="0">
      <w:lvlJc w:val="left"/>
      <w:lvlText w:val="(%1)"/>
      <w:numFmt w:val="lowerLetter"/>
      <w:start w:val="12"/>
    </w:lvl>
  </w:abstractNum>
  <w:abstractNum w:abstractNumId="150">
    <w:nsid w:val="1F578454"/>
    <w:multiLevelType w:val="hybridMultilevel"/>
    <w:lvl w:ilvl="0">
      <w:lvlJc w:val="left"/>
      <w:lvlText w:val="(%1)"/>
      <w:numFmt w:val="lowerLetter"/>
      <w:start w:val="1"/>
    </w:lvl>
    <w:lvl w:ilvl="1">
      <w:lvlJc w:val="left"/>
      <w:lvlText w:val="(%2)"/>
      <w:numFmt w:val="lowerRoman"/>
      <w:start w:val="1"/>
    </w:lvl>
  </w:abstractNum>
  <w:abstractNum w:abstractNumId="151">
    <w:nsid w:val="5B0DAD2A"/>
    <w:multiLevelType w:val="hybridMultilevel"/>
    <w:lvl w:ilvl="0">
      <w:lvlJc w:val="left"/>
      <w:lvlText w:val="(%1)"/>
      <w:numFmt w:val="upperLetter"/>
      <w:start w:val="1"/>
    </w:lvl>
  </w:abstractNum>
  <w:abstractNum w:abstractNumId="152">
    <w:nsid w:val="4E3D26AB"/>
    <w:multiLevelType w:val="hybridMultilevel"/>
    <w:lvl w:ilvl="0">
      <w:lvlJc w:val="left"/>
      <w:lvlText w:val="(%1)"/>
      <w:numFmt w:val="lowerRoman"/>
      <w:start w:val="1"/>
    </w:lvl>
  </w:abstractNum>
  <w:abstractNum w:abstractNumId="153">
    <w:nsid w:val="BE2C8BA"/>
    <w:multiLevelType w:val="hybridMultilevel"/>
    <w:lvl w:ilvl="0">
      <w:lvlJc w:val="left"/>
      <w:lvlText w:val="(%1)"/>
      <w:numFmt w:val="lowerLetter"/>
      <w:start w:val="2"/>
    </w:lvl>
  </w:abstractNum>
  <w:abstractNum w:abstractNumId="154">
    <w:nsid w:val="7B14914E"/>
    <w:multiLevelType w:val="hybridMultilevel"/>
    <w:lvl w:ilvl="0">
      <w:lvlJc w:val="left"/>
      <w:lvlText w:val="(%1)"/>
      <w:numFmt w:val="lowerLetter"/>
      <w:start w:val="1"/>
    </w:lvl>
  </w:abstractNum>
  <w:abstractNum w:abstractNumId="155">
    <w:nsid w:val="6F0939F8"/>
    <w:multiLevelType w:val="hybridMultilevel"/>
    <w:lvl w:ilvl="0">
      <w:lvlJc w:val="left"/>
      <w:lvlText w:val="(%1)"/>
      <w:numFmt w:val="lowerLetter"/>
      <w:start w:val="2"/>
    </w:lvl>
  </w:abstractNum>
  <w:abstractNum w:abstractNumId="156">
    <w:nsid w:val="154291F6"/>
    <w:multiLevelType w:val="hybridMultilevel"/>
    <w:lvl w:ilvl="0">
      <w:lvlJc w:val="left"/>
      <w:lvlText w:val="(%1)"/>
      <w:numFmt w:val="lowerLetter"/>
      <w:start w:val="1"/>
    </w:lvl>
  </w:abstractNum>
  <w:abstractNum w:abstractNumId="157">
    <w:nsid w:val="3CEBD7C7"/>
    <w:multiLevelType w:val="hybridMultilevel"/>
    <w:lvl w:ilvl="0">
      <w:lvlJc w:val="left"/>
      <w:lvlText w:val="(%1)"/>
      <w:numFmt w:val="lowerLetter"/>
      <w:start w:val="1"/>
    </w:lvl>
  </w:abstractNum>
  <w:abstractNum w:abstractNumId="158">
    <w:nsid w:val="60EE9C16"/>
    <w:multiLevelType w:val="hybridMultilevel"/>
    <w:lvl w:ilvl="0">
      <w:lvlJc w:val="left"/>
      <w:lvlText w:val="(%1)"/>
      <w:numFmt w:val="lowerLetter"/>
      <w:start w:val="1"/>
    </w:lvl>
    <w:lvl w:ilvl="1">
      <w:lvlJc w:val="left"/>
      <w:lvlText w:val="(%2)"/>
      <w:numFmt w:val="lowerRoman"/>
      <w:start w:val="1"/>
    </w:lvl>
  </w:abstractNum>
  <w:abstractNum w:abstractNumId="159">
    <w:nsid w:val="6385489E"/>
    <w:multiLevelType w:val="hybridMultilevel"/>
    <w:lvl w:ilvl="0">
      <w:lvlJc w:val="left"/>
      <w:lvlText w:val="(%1)"/>
      <w:numFmt w:val="upperLetter"/>
      <w:start w:val="1"/>
    </w:lvl>
  </w:abstractNum>
  <w:abstractNum w:abstractNumId="160">
    <w:nsid w:val="E4B973"/>
    <w:multiLevelType w:val="hybridMultilevel"/>
    <w:lvl w:ilvl="0">
      <w:lvlJc w:val="left"/>
      <w:lvlText w:val="(%1)"/>
      <w:numFmt w:val="lowerLetter"/>
      <w:start w:val="2"/>
    </w:lvl>
    <w:lvl w:ilvl="1">
      <w:lvlJc w:val="left"/>
      <w:lvlText w:val="(%2)"/>
      <w:numFmt w:val="lowerRoman"/>
      <w:start w:val="1"/>
    </w:lvl>
  </w:abstractNum>
  <w:abstractNum w:abstractNumId="161">
    <w:nsid w:val="4A0FFA11"/>
    <w:multiLevelType w:val="hybridMultilevel"/>
    <w:lvl w:ilvl="0">
      <w:lvlJc w:val="left"/>
      <w:lvlText w:val="(%1)"/>
      <w:numFmt w:val="lowerLetter"/>
      <w:start w:val="3"/>
    </w:lvl>
  </w:abstractNum>
  <w:abstractNum w:abstractNumId="162">
    <w:nsid w:val="5E446208"/>
    <w:multiLevelType w:val="hybridMultilevel"/>
    <w:lvl w:ilvl="0">
      <w:lvlJc w:val="left"/>
      <w:lvlText w:val="(%1)"/>
      <w:numFmt w:val="lowerRoman"/>
      <w:start w:val="1"/>
    </w:lvl>
  </w:abstractNum>
  <w:abstractNum w:abstractNumId="163">
    <w:nsid w:val="5F3272DB"/>
    <w:multiLevelType w:val="hybridMultilevel"/>
    <w:lvl w:ilvl="0">
      <w:lvlJc w:val="left"/>
      <w:lvlText w:val="(%1)"/>
      <w:numFmt w:val="lowerLetter"/>
      <w:start w:val="1"/>
    </w:lvl>
  </w:abstractNum>
  <w:abstractNum w:abstractNumId="164">
    <w:nsid w:val="7616D704"/>
    <w:multiLevelType w:val="hybridMultilevel"/>
    <w:lvl w:ilvl="0">
      <w:lvlJc w:val="left"/>
      <w:lvlText w:val="(%1)"/>
      <w:numFmt w:val="lowerLetter"/>
      <w:start w:val="2"/>
    </w:lvl>
  </w:abstractNum>
  <w:abstractNum w:abstractNumId="165">
    <w:nsid w:val="C56F860"/>
    <w:multiLevelType w:val="hybridMultilevel"/>
    <w:lvl w:ilvl="0">
      <w:lvlJc w:val="left"/>
      <w:lvlText w:val="(%1)"/>
      <w:numFmt w:val="lowerLetter"/>
      <w:start w:val="1"/>
    </w:lvl>
  </w:abstractNum>
  <w:abstractNum w:abstractNumId="166">
    <w:nsid w:val="64D17722"/>
    <w:multiLevelType w:val="hybridMultilevel"/>
    <w:lvl w:ilvl="0">
      <w:lvlJc w:val="left"/>
      <w:lvlText w:val="(%1)"/>
      <w:numFmt w:val="lowerLetter"/>
      <w:start w:val="1"/>
    </w:lvl>
    <w:lvl w:ilvl="1">
      <w:lvlJc w:val="left"/>
      <w:lvlText w:val="(%2)"/>
      <w:numFmt w:val="lowerRoman"/>
      <w:start w:val="1"/>
    </w:lvl>
  </w:abstractNum>
  <w:abstractNum w:abstractNumId="167">
    <w:nsid w:val="7924CA0A"/>
    <w:multiLevelType w:val="hybridMultilevel"/>
    <w:lvl w:ilvl="0">
      <w:lvlJc w:val="left"/>
      <w:lvlText w:val="(%1)"/>
      <w:numFmt w:val="lowerRoman"/>
      <w:start w:val="3"/>
    </w:lvl>
  </w:abstractNum>
  <w:abstractNum w:abstractNumId="168">
    <w:nsid w:val="CFD4EA7"/>
    <w:multiLevelType w:val="hybridMultilevel"/>
    <w:lvl w:ilvl="0">
      <w:lvlJc w:val="left"/>
      <w:lvlText w:val="(%1)"/>
      <w:numFmt w:val="lowerLetter"/>
      <w:start w:val="4"/>
    </w:lvl>
  </w:abstractNum>
  <w:abstractNum w:abstractNumId="169">
    <w:nsid w:val="232FCF4D"/>
    <w:multiLevelType w:val="hybridMultilevel"/>
    <w:lvl w:ilvl="0">
      <w:lvlJc w:val="left"/>
      <w:lvlText w:val="(%1)"/>
      <w:numFmt w:val="lowerLetter"/>
      <w:start w:val="1"/>
    </w:lvl>
  </w:abstractNum>
  <w:abstractNum w:abstractNumId="170">
    <w:nsid w:val="1EA21031"/>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71">
    <w:nsid w:val="67A5A6B5"/>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72">
    <w:nsid w:val="C2A5C5B"/>
    <w:multiLevelType w:val="hybridMultilevel"/>
    <w:lvl w:ilvl="0">
      <w:lvlJc w:val="left"/>
      <w:lvlText w:val="☐"/>
      <w:numFmt w:val="bullet"/>
      <w:start w:val="1"/>
    </w:lvl>
  </w:abstractNum>
  <w:abstractNum w:abstractNumId="173">
    <w:nsid w:val="5F94DC03"/>
    <w:multiLevelType w:val="hybridMultilevel"/>
    <w:lvl w:ilvl="0">
      <w:lvlJc w:val="left"/>
      <w:lvlText w:val="%1."/>
      <w:numFmt w:val="decimal"/>
      <w:start w:val="1"/>
    </w:lvl>
  </w:abstractNum>
  <w:abstractNum w:abstractNumId="174">
    <w:nsid w:val="237BBCA0"/>
    <w:multiLevelType w:val="hybridMultilevel"/>
    <w:lvl w:ilvl="0">
      <w:lvlJc w:val="left"/>
      <w:lvlText w:val="%1."/>
      <w:numFmt w:val="decimal"/>
      <w:start w:val="2"/>
    </w:lvl>
  </w:abstractNum>
  <w:abstractNum w:abstractNumId="175">
    <w:nsid w:val="162EB70D"/>
    <w:multiLevelType w:val="hybridMultilevel"/>
    <w:lvl w:ilvl="0">
      <w:lvlJc w:val="left"/>
      <w:lvlText w:val="(%1)"/>
      <w:numFmt w:val="lowerLetter"/>
      <w:start w:val="2"/>
    </w:lvl>
    <w:lvl w:ilvl="1">
      <w:lvlJc w:val="left"/>
      <w:lvlText w:val="(%2)"/>
      <w:numFmt w:val="lowerRoman"/>
      <w:start w:val="1"/>
    </w:lvl>
  </w:abstractNum>
  <w:abstractNum w:abstractNumId="176">
    <w:nsid w:val="78070222"/>
    <w:multiLevelType w:val="hybridMultilevel"/>
    <w:lvl w:ilvl="0">
      <w:lvlJc w:val="left"/>
      <w:lvlText w:val="(%1)"/>
      <w:numFmt w:val="lowerLetter"/>
      <w:start w:val="3"/>
    </w:lvl>
  </w:abstractNum>
  <w:abstractNum w:abstractNumId="177">
    <w:nsid w:val="6163ED0D"/>
    <w:multiLevelType w:val="hybridMultilevel"/>
    <w:lvl w:ilvl="0">
      <w:lvlJc w:val="left"/>
      <w:lvlText w:val="(%1)"/>
      <w:numFmt w:val="lowerLetter"/>
      <w:start w:val="6"/>
    </w:lvl>
  </w:abstractNum>
  <w:abstractNum w:abstractNumId="178">
    <w:nsid w:val="C600E47"/>
    <w:multiLevelType w:val="hybridMultilevel"/>
    <w:lvl w:ilvl="0">
      <w:lvlJc w:val="left"/>
      <w:lvlText w:val="(%1)"/>
      <w:numFmt w:val="lowerLetter"/>
      <w:start w:val="1"/>
    </w:lvl>
  </w:abstractNum>
  <w:abstractNum w:abstractNumId="179">
    <w:nsid w:val="7D94F75D"/>
    <w:multiLevelType w:val="hybridMultilevel"/>
    <w:lvl w:ilvl="0">
      <w:lvlJc w:val="left"/>
      <w:lvlText w:val="(%1)"/>
      <w:numFmt w:val="lowerLetter"/>
      <w:start w:val="4"/>
    </w:lvl>
  </w:abstractNum>
  <w:abstractNum w:abstractNumId="180">
    <w:nsid w:val="6C31E7CD"/>
    <w:multiLevelType w:val="hybridMultilevel"/>
    <w:lvl w:ilvl="0">
      <w:lvlJc w:val="left"/>
      <w:lvlText w:val="%1"/>
      <w:numFmt w:val="lowerLetter"/>
      <w:start w:val="1"/>
    </w:lvl>
    <w:lvl w:ilvl="1">
      <w:lvlJc w:val="left"/>
      <w:lvlText w:val="(%2)"/>
      <w:numFmt w:val="lowerLetter"/>
      <w:start w:val="7"/>
    </w:lvl>
  </w:abstractNum>
  <w:abstractNum w:abstractNumId="181">
    <w:nsid w:val="2BB7929B"/>
    <w:multiLevelType w:val="hybridMultilevel"/>
    <w:lvl w:ilvl="0">
      <w:lvlJc w:val="left"/>
      <w:lvlText w:val="(%1)"/>
      <w:numFmt w:val="lowerLetter"/>
      <w:start w:val="24"/>
    </w:lvl>
    <w:lvl w:ilvl="1">
      <w:lvlJc w:val="left"/>
      <w:lvlText w:val="%2"/>
      <w:numFmt w:val="lowerLetter"/>
      <w:start w:val="1"/>
    </w:lvl>
  </w:abstractNum>
  <w:abstractNum w:abstractNumId="182">
    <w:nsid w:val="58A2A487"/>
    <w:multiLevelType w:val="hybridMultilevel"/>
    <w:lvl w:ilvl="0">
      <w:lvlJc w:val="left"/>
      <w:lvlText w:val="(%1)"/>
      <w:numFmt w:val="lowerLetter"/>
      <w:start w:val="8"/>
    </w:lvl>
  </w:abstractNum>
  <w:abstractNum w:abstractNumId="183">
    <w:nsid w:val="3A6F0E78"/>
    <w:multiLevelType w:val="hybridMultilevel"/>
    <w:lvl w:ilvl="0">
      <w:lvlJc w:val="left"/>
      <w:lvlText w:val="%1"/>
      <w:numFmt w:val="lowerLetter"/>
      <w:start w:val="1"/>
    </w:lvl>
    <w:lvl w:ilvl="1">
      <w:lvlJc w:val="left"/>
      <w:lvlText w:val="(%2)"/>
      <w:numFmt w:val="lowerLetter"/>
      <w:start w:val="11"/>
    </w:lvl>
  </w:abstractNum>
  <w:abstractNum w:abstractNumId="184">
    <w:nsid w:val="379A5B56"/>
    <w:multiLevelType w:val="hybridMultilevel"/>
    <w:lvl w:ilvl="0">
      <w:lvlJc w:val="left"/>
      <w:lvlText w:val="(%1)"/>
      <w:numFmt w:val="lowerLetter"/>
      <w:start w:val="61"/>
    </w:lvl>
    <w:lvl w:ilvl="1">
      <w:lvlJc w:val="left"/>
      <w:lvlText w:val="%2"/>
      <w:numFmt w:val="lowerLetter"/>
      <w:start w:val="1"/>
    </w:lvl>
  </w:abstractNum>
  <w:abstractNum w:abstractNumId="185">
    <w:nsid w:val="53B735D5"/>
    <w:multiLevelType w:val="hybridMultilevel"/>
    <w:lvl w:ilvl="0">
      <w:lvlJc w:val="left"/>
      <w:lvlText w:val="%1"/>
      <w:numFmt w:val="decimal"/>
      <w:start w:val="1"/>
    </w:lvl>
    <w:lvl w:ilvl="1">
      <w:lvlJc w:val="left"/>
      <w:lvlText w:val="(%2)"/>
      <w:numFmt w:val="lowerLetter"/>
      <w:start w:val="17"/>
    </w:lvl>
  </w:abstractNum>
  <w:abstractNum w:abstractNumId="186">
    <w:nsid w:val="29784870"/>
    <w:multiLevelType w:val="hybridMultilevel"/>
    <w:lvl w:ilvl="0">
      <w:lvlJc w:val="left"/>
      <w:lvlText w:val="(%1)"/>
      <w:numFmt w:val="decimal"/>
      <w:start w:val="1"/>
    </w:lvl>
    <w:lvl w:ilvl="1">
      <w:lvlJc w:val="left"/>
      <w:lvlText w:val="(%2)"/>
      <w:numFmt w:val="lowerLetter"/>
      <w:start w:val="18"/>
    </w:lvl>
  </w:abstractNum>
  <w:abstractNum w:abstractNumId="187">
    <w:nsid w:val="4CDCED4C"/>
    <w:multiLevelType w:val="hybridMultilevel"/>
    <w:lvl w:ilvl="0">
      <w:lvlJc w:val="left"/>
      <w:lvlText w:val="(%1)"/>
      <w:numFmt w:val="lowerLetter"/>
      <w:start w:val="20"/>
    </w:lvl>
  </w:abstractNum>
  <w:abstractNum w:abstractNumId="188">
    <w:nsid w:val="10A30D9C"/>
    <w:multiLevelType w:val="hybridMultilevel"/>
    <w:lvl w:ilvl="0">
      <w:lvlJc w:val="left"/>
      <w:lvlText w:val="(%1)"/>
      <w:numFmt w:val="lowerLetter"/>
      <w:start w:val="24"/>
    </w:lvl>
  </w:abstractNum>
  <w:abstractNum w:abstractNumId="189">
    <w:nsid w:val="A66E486"/>
    <w:multiLevelType w:val="hybridMultilevel"/>
    <w:lvl w:ilvl="0">
      <w:lvlJc w:val="left"/>
      <w:lvlText w:val="(%1)"/>
      <w:numFmt w:val="lowerLetter"/>
      <w:start w:val="27"/>
    </w:lvl>
  </w:abstractNum>
  <w:abstractNum w:abstractNumId="190">
    <w:nsid w:val="306235EA"/>
    <w:multiLevelType w:val="hybridMultilevel"/>
    <w:lvl w:ilvl="0">
      <w:lvlJc w:val="left"/>
      <w:lvlText w:val="(%1)"/>
      <w:numFmt w:val="lowerRoman"/>
      <w:start w:val="6"/>
    </w:lvl>
    <w:lvl w:ilvl="1">
      <w:lvlJc w:val="left"/>
      <w:lvlText w:val="(%2)"/>
      <w:numFmt w:val="lowerLetter"/>
      <w:start w:val="29"/>
    </w:lvl>
  </w:abstractNum>
  <w:abstractNum w:abstractNumId="191">
    <w:nsid w:val="1187C70F"/>
    <w:multiLevelType w:val="hybridMultilevel"/>
    <w:lvl w:ilvl="0">
      <w:lvlJc w:val="left"/>
      <w:lvlText w:val="(%1)"/>
      <w:numFmt w:val="lowerLetter"/>
      <w:start w:val="31"/>
    </w:lvl>
  </w:abstractNum>
  <w:abstractNum w:abstractNumId="192">
    <w:nsid w:val="5476DE98"/>
    <w:multiLevelType w:val="hybridMultilevel"/>
    <w:lvl w:ilvl="0">
      <w:lvlJc w:val="left"/>
      <w:lvlText w:val="(%1)"/>
      <w:numFmt w:val="lowerLetter"/>
      <w:start w:val="35"/>
    </w:lvl>
  </w:abstractNum>
  <w:abstractNum w:abstractNumId="193">
    <w:nsid w:val="EA697F2"/>
    <w:multiLevelType w:val="hybridMultilevel"/>
    <w:lvl w:ilvl="0">
      <w:lvlJc w:val="left"/>
      <w:lvlText w:val="(%1)"/>
      <w:numFmt w:val="lowerLetter"/>
      <w:start w:val="40"/>
    </w:lvl>
  </w:abstractNum>
  <w:abstractNum w:abstractNumId="194">
    <w:nsid w:val="70BA39EB"/>
    <w:multiLevelType w:val="hybridMultilevel"/>
    <w:lvl w:ilvl="0">
      <w:lvlJc w:val="left"/>
      <w:lvlText w:val="(%1)"/>
      <w:numFmt w:val="lowerLetter"/>
      <w:start w:val="43"/>
    </w:lvl>
  </w:abstractNum>
  <w:abstractNum w:abstractNumId="195">
    <w:nsid w:val="4A8DB59C"/>
    <w:multiLevelType w:val="hybridMultilevel"/>
    <w:lvl w:ilvl="0">
      <w:lvlJc w:val="left"/>
      <w:lvlText w:val="(%1)"/>
      <w:numFmt w:val="lowerLetter"/>
      <w:start w:val="47"/>
    </w:lvl>
    <w:lvl w:ilvl="1">
      <w:lvlJc w:val="left"/>
      <w:lvlText w:val="%2."/>
      <w:numFmt w:val="decimal"/>
      <w:start w:val="4"/>
    </w:lvl>
  </w:abstractNum>
  <w:abstractNum w:abstractNumId="196">
    <w:nsid w:val="1AFD9053"/>
    <w:multiLevelType w:val="hybridMultilevel"/>
    <w:lvl w:ilvl="0">
      <w:lvlJc w:val="left"/>
      <w:lvlText w:val="(%1)"/>
      <w:numFmt w:val="lowerLetter"/>
      <w:start w:val="1"/>
    </w:lvl>
  </w:abstractNum>
  <w:abstractNum w:abstractNumId="197">
    <w:nsid w:val="558BB10D"/>
    <w:multiLevelType w:val="hybridMultilevel"/>
    <w:lvl w:ilvl="0">
      <w:lvlJc w:val="left"/>
      <w:lvlText w:val="%1"/>
      <w:numFmt w:val="lowerLetter"/>
      <w:start w:val="1"/>
    </w:lvl>
    <w:lvl w:ilvl="1">
      <w:lvlJc w:val="left"/>
      <w:lvlText w:val="(%2)"/>
      <w:numFmt w:val="lowerLetter"/>
      <w:start w:val="5"/>
    </w:lvl>
  </w:abstractNum>
  <w:abstractNum w:abstractNumId="198">
    <w:nsid w:val="43B27FA7"/>
    <w:multiLevelType w:val="hybridMultilevel"/>
    <w:lvl w:ilvl="0">
      <w:lvlJc w:val="left"/>
      <w:lvlText w:val="(%1)"/>
      <w:numFmt w:val="lowerLetter"/>
      <w:start w:val="61"/>
    </w:lvl>
    <w:lvl w:ilvl="1">
      <w:lvlJc w:val="left"/>
      <w:lvlText w:val="%2"/>
      <w:numFmt w:val="lowerLetter"/>
      <w:start w:val="1"/>
    </w:lvl>
  </w:abstractNum>
  <w:abstractNum w:abstractNumId="199">
    <w:nsid w:val="27FADEFA"/>
    <w:multiLevelType w:val="hybridMultilevel"/>
    <w:lvl w:ilvl="0">
      <w:lvlJc w:val="left"/>
      <w:lvlText w:val="%1"/>
      <w:numFmt w:val="lowerLetter"/>
      <w:start w:val="1"/>
    </w:lvl>
    <w:lvl w:ilvl="1">
      <w:lvlJc w:val="left"/>
      <w:lvlText w:val="(%2)"/>
      <w:numFmt w:val="lowerLetter"/>
      <w:start w:val="7"/>
    </w:lvl>
  </w:abstractNum>
  <w:abstractNum w:abstractNumId="200">
    <w:nsid w:val="78BB805A"/>
    <w:multiLevelType w:val="hybridMultilevel"/>
    <w:lvl w:ilvl="0">
      <w:lvlJc w:val="left"/>
      <w:lvlText w:val="(%1)"/>
      <w:numFmt w:val="lowerLetter"/>
      <w:start w:val="22"/>
    </w:lvl>
    <w:lvl w:ilvl="1">
      <w:lvlJc w:val="left"/>
      <w:lvlText w:val="%2"/>
      <w:numFmt w:val="lowerLetter"/>
      <w:start w:val="1"/>
    </w:lvl>
  </w:abstractNum>
  <w:abstractNum w:abstractNumId="201">
    <w:nsid w:val="62548FD8"/>
    <w:multiLevelType w:val="hybridMultilevel"/>
    <w:lvl w:ilvl="0">
      <w:lvlJc w:val="left"/>
      <w:lvlText w:val="(%1)"/>
      <w:numFmt w:val="lowerLetter"/>
      <w:start w:val="8"/>
    </w:lvl>
  </w:abstractNum>
  <w:abstractNum w:abstractNumId="202">
    <w:nsid w:val="FA085B0"/>
    <w:multiLevelType w:val="hybridMultilevel"/>
    <w:lvl w:ilvl="0">
      <w:lvlJc w:val="left"/>
      <w:lvlText w:val="(%1)"/>
      <w:numFmt w:val="lowerLetter"/>
      <w:start w:val="14"/>
    </w:lvl>
  </w:abstractNum>
  <w:abstractNum w:abstractNumId="203">
    <w:nsid w:val="4E5DCB5"/>
    <w:multiLevelType w:val="hybridMultilevel"/>
    <w:lvl w:ilvl="0">
      <w:lvlJc w:val="left"/>
      <w:lvlText w:val="%1."/>
      <w:numFmt w:val="decimal"/>
      <w:start w:val="5"/>
    </w:lvl>
  </w:abstractNum>
  <w:abstractNum w:abstractNumId="204">
    <w:nsid w:val="41E96BDB"/>
    <w:multiLevelType w:val="hybridMultilevel"/>
    <w:lvl w:ilvl="0">
      <w:lvlJc w:val="left"/>
      <w:lvlText w:val="(%1)"/>
      <w:numFmt w:val="lowerLetter"/>
      <w:start w:val="1"/>
    </w:lvl>
  </w:abstractNum>
  <w:abstractNum w:abstractNumId="205">
    <w:nsid w:val="331C4250"/>
    <w:multiLevelType w:val="hybridMultilevel"/>
    <w:lvl w:ilvl="0">
      <w:lvlJc w:val="left"/>
      <w:lvlText w:val="(%1)"/>
      <w:numFmt w:val="lowerLetter"/>
      <w:start w:val="3"/>
    </w:lvl>
  </w:abstractNum>
  <w:abstractNum w:abstractNumId="206">
    <w:nsid w:val="1B1493C2"/>
    <w:multiLevelType w:val="hybridMultilevel"/>
    <w:lvl w:ilvl="0">
      <w:lvlJc w:val="left"/>
      <w:lvlText w:val="(%1)"/>
      <w:numFmt w:val="lowerRoman"/>
      <w:start w:val="2"/>
    </w:lvl>
  </w:abstractNum>
  <w:abstractNum w:abstractNumId="207">
    <w:nsid w:val="39F06DFD"/>
    <w:multiLevelType w:val="hybridMultilevel"/>
    <w:lvl w:ilvl="0">
      <w:lvlJc w:val="left"/>
      <w:lvlText w:val="(%1)"/>
      <w:numFmt w:val="lowerLetter"/>
      <w:start w:val="6"/>
    </w:lvl>
  </w:abstractNum>
  <w:abstractNum w:abstractNumId="208">
    <w:nsid w:val="14802F5D"/>
    <w:multiLevelType w:val="hybridMultilevel"/>
    <w:lvl w:ilvl="0">
      <w:lvlJc w:val="left"/>
      <w:lvlText w:val="(%1)"/>
      <w:numFmt w:val="lowerLetter"/>
      <w:start w:val="7"/>
    </w:lvl>
  </w:abstractNum>
  <w:abstractNum w:abstractNumId="209">
    <w:nsid w:val="2774A209"/>
    <w:multiLevelType w:val="hybridMultilevel"/>
    <w:lvl w:ilvl="0">
      <w:lvlJc w:val="left"/>
      <w:lvlText w:val="(%1)"/>
      <w:numFmt w:val="lowerLetter"/>
      <w:start w:val="11"/>
    </w:lvl>
  </w:abstractNum>
  <w:abstractNum w:abstractNumId="210">
    <w:nsid w:val="3785655A"/>
    <w:multiLevelType w:val="hybridMultilevel"/>
    <w:lvl w:ilvl="0">
      <w:lvlJc w:val="left"/>
      <w:lvlText w:val="%1."/>
      <w:numFmt w:val="decimal"/>
      <w:start w:val="7"/>
    </w:lvl>
  </w:abstractNum>
  <w:abstractNum w:abstractNumId="211">
    <w:nsid w:val="B2172A"/>
    <w:multiLevelType w:val="hybridMultilevel"/>
    <w:lvl w:ilvl="0">
      <w:lvlJc w:val="left"/>
      <w:lvlText w:val="(%1)"/>
      <w:numFmt w:val="lowerLetter"/>
      <w:start w:val="1"/>
    </w:lvl>
  </w:abstractNum>
  <w:abstractNum w:abstractNumId="212">
    <w:nsid w:val="532C34A5"/>
    <w:multiLevelType w:val="hybridMultilevel"/>
    <w:lvl w:ilvl="0">
      <w:lvlJc w:val="left"/>
      <w:lvlText w:val="(%1)"/>
      <w:numFmt w:val="lowerLetter"/>
      <w:start w:val="4"/>
    </w:lvl>
  </w:abstractNum>
  <w:abstractNum w:abstractNumId="213">
    <w:nsid w:val="102809E2"/>
    <w:multiLevelType w:val="hybridMultilevel"/>
    <w:lvl w:ilvl="0">
      <w:lvlJc w:val="left"/>
      <w:lvlText w:val="%1."/>
      <w:numFmt w:val="decimal"/>
      <w:start w:val="8"/>
    </w:lvl>
  </w:abstractNum>
  <w:abstractNum w:abstractNumId="214">
    <w:nsid w:val="3B2125A3"/>
    <w:multiLevelType w:val="hybridMultilevel"/>
    <w:lvl w:ilvl="0">
      <w:lvlJc w:val="left"/>
      <w:lvlText w:val="%1"/>
      <w:numFmt w:val="lowerRoman"/>
      <w:start w:val="1"/>
    </w:lvl>
    <w:lvl w:ilvl="1">
      <w:lvlJc w:val="left"/>
      <w:lvlText w:val="%2."/>
      <w:numFmt w:val="decimal"/>
      <w:start w:val="9"/>
    </w:lvl>
  </w:abstractNum>
  <w:abstractNum w:abstractNumId="215">
    <w:nsid w:val="AC68FFB"/>
    <w:multiLevelType w:val="hybridMultilevel"/>
    <w:lvl w:ilvl="0">
      <w:lvlJc w:val="left"/>
      <w:lvlText w:val="(%1)"/>
      <w:numFmt w:val="lowerRoman"/>
      <w:start w:val="2"/>
    </w:lvl>
    <w:lvl w:ilvl="1">
      <w:lvlJc w:val="left"/>
      <w:lvlText w:val="%2."/>
      <w:numFmt w:val="decimal"/>
      <w:start w:val="10"/>
    </w:lvl>
  </w:abstractNum>
  <w:abstractNum w:abstractNumId="216">
    <w:nsid w:val="63DF3FB7"/>
    <w:multiLevelType w:val="hybridMultilevel"/>
    <w:lvl w:ilvl="0">
      <w:lvlJc w:val="left"/>
      <w:lvlText w:val="(%1)"/>
      <w:numFmt w:val="lowerLetter"/>
      <w:start w:val="3"/>
    </w:lvl>
  </w:abstractNum>
  <w:abstractNum w:abstractNumId="217">
    <w:nsid w:val="64996E13"/>
    <w:multiLevelType w:val="hybridMultilevel"/>
    <w:lvl w:ilvl="0">
      <w:lvlJc w:val="left"/>
      <w:lvlText w:val="%1"/>
      <w:numFmt w:val="lowerRoman"/>
      <w:start w:val="1"/>
    </w:lvl>
    <w:lvl w:ilvl="1">
      <w:lvlJc w:val="left"/>
      <w:lvlText w:val="%2."/>
      <w:numFmt w:val="decimal"/>
      <w:start w:val="11"/>
    </w:lvl>
  </w:abstractNum>
  <w:abstractNum w:abstractNumId="218">
    <w:nsid w:val="57A37D47"/>
    <w:multiLevelType w:val="hybridMultilevel"/>
    <w:lvl w:ilvl="0">
      <w:lvlJc w:val="left"/>
      <w:lvlText w:val="(%1)"/>
      <w:numFmt w:val="lowerRoman"/>
      <w:start w:val="1"/>
    </w:lvl>
    <w:lvl w:ilvl="1">
      <w:lvlJc w:val="left"/>
      <w:lvlText w:val="%2"/>
      <w:numFmt w:val="decimal"/>
      <w:start w:val="1"/>
    </w:lvl>
  </w:abstractNum>
  <w:abstractNum w:abstractNumId="219">
    <w:nsid w:val="74824D54"/>
    <w:multiLevelType w:val="hybridMultilevel"/>
    <w:lvl w:ilvl="0">
      <w:lvlJc w:val="left"/>
      <w:lvlText w:val="(%1)"/>
      <w:numFmt w:val="lowerRoman"/>
      <w:start w:val="3"/>
    </w:lvl>
    <w:lvl w:ilvl="1">
      <w:lvlJc w:val="left"/>
      <w:lvlText w:val="%2"/>
      <w:numFmt w:val="decimal"/>
      <w:start w:val="1"/>
    </w:lvl>
  </w:abstractNum>
  <w:abstractNum w:abstractNumId="220">
    <w:nsid w:val="6F00529A"/>
    <w:multiLevelType w:val="hybridMultilevel"/>
    <w:lvl w:ilvl="0">
      <w:lvlJc w:val="left"/>
      <w:lvlText w:val="(%1)"/>
      <w:numFmt w:val="lowerLetter"/>
      <w:start w:val="2"/>
    </w:lvl>
  </w:abstractNum>
  <w:abstractNum w:abstractNumId="221">
    <w:nsid w:val="805B331"/>
    <w:multiLevelType w:val="hybridMultilevel"/>
    <w:lvl w:ilvl="0">
      <w:lvlJc w:val="left"/>
      <w:lvlText w:val="%1."/>
      <w:numFmt w:val="decimal"/>
      <w:start w:val="12"/>
    </w:lvl>
  </w:abstractNum>
  <w:abstractNum w:abstractNumId="222">
    <w:nsid w:val="60A1463"/>
    <w:multiLevelType w:val="hybridMultilevel"/>
    <w:lvl w:ilvl="0">
      <w:lvlJc w:val="left"/>
      <w:lvlText w:val="(%1)"/>
      <w:numFmt w:val="lowerLetter"/>
      <w:start w:val="2"/>
    </w:lvl>
  </w:abstractNum>
  <w:abstractNum w:abstractNumId="223">
    <w:nsid w:val="43773132"/>
    <w:multiLevelType w:val="hybridMultilevel"/>
    <w:lvl w:ilvl="0">
      <w:lvlJc w:val="left"/>
      <w:lvlText w:val="(%1)"/>
      <w:numFmt w:val="lowerLetter"/>
      <w:start w:val="3"/>
    </w:lvl>
    <w:lvl w:ilvl="1">
      <w:lvlJc w:val="left"/>
      <w:lvlText w:val="(%2)"/>
      <w:numFmt w:val="lowerRoman"/>
      <w:start w:val="1"/>
    </w:lvl>
  </w:abstractNum>
  <w:abstractNum w:abstractNumId="224">
    <w:nsid w:val="16AC4B23"/>
    <w:multiLevelType w:val="hybridMultilevel"/>
    <w:lvl w:ilvl="0">
      <w:lvlJc w:val="left"/>
      <w:lvlText w:val="(%1)"/>
      <w:numFmt w:val="lowerRoman"/>
      <w:start w:val="1"/>
    </w:lvl>
  </w:abstractNum>
  <w:abstractNum w:abstractNumId="225">
    <w:nsid w:val="76C44E4E"/>
    <w:multiLevelType w:val="hybridMultilevel"/>
    <w:lvl w:ilvl="0">
      <w:lvlJc w:val="left"/>
      <w:lvlText w:val="%1"/>
      <w:numFmt w:val="lowerLetter"/>
      <w:start w:val="1"/>
    </w:lvl>
    <w:lvl w:ilvl="1">
      <w:lvlJc w:val="left"/>
      <w:lvlText w:val="(%2)"/>
      <w:numFmt w:val="lowerLetter"/>
      <w:start w:val="35"/>
    </w:lvl>
  </w:abstractNum>
  <w:abstractNum w:abstractNumId="226">
    <w:nsid w:val="E04E6CE"/>
    <w:multiLevelType w:val="hybridMultilevel"/>
    <w:lvl w:ilvl="0">
      <w:lvlJc w:val="left"/>
      <w:lvlText w:val="(%1)"/>
      <w:numFmt w:val="lowerLetter"/>
      <w:start w:val="6"/>
    </w:lvl>
    <w:lvl w:ilvl="1">
      <w:lvlJc w:val="left"/>
      <w:lvlText w:val="%2"/>
      <w:numFmt w:val="lowerLetter"/>
      <w:start w:val="1"/>
    </w:lvl>
  </w:abstractNum>
  <w:abstractNum w:abstractNumId="227">
    <w:nsid w:val="31A9DB76"/>
    <w:multiLevelType w:val="hybridMultilevel"/>
    <w:lvl w:ilvl="0">
      <w:lvlJc w:val="left"/>
      <w:lvlText w:val="1"/>
      <w:numFmt w:val="bullet"/>
      <w:start w:val="1"/>
    </w:lvl>
  </w:abstractNum>
  <w:abstractNum w:abstractNumId="228">
    <w:nsid w:val="4C4FFF5B"/>
    <w:multiLevelType w:val="hybridMultilevel"/>
    <w:lvl w:ilvl="0">
      <w:lvlJc w:val="left"/>
      <w:lvlText w:val="2"/>
      <w:numFmt w:val="bullet"/>
      <w:start w:val="1"/>
    </w:lvl>
  </w:abstractNum>
  <w:abstractNum w:abstractNumId="229">
    <w:nsid w:val="51B76675"/>
    <w:multiLevelType w:val="hybridMultilevel"/>
    <w:lvl w:ilvl="0">
      <w:lvlJc w:val="left"/>
      <w:lvlText w:val="3"/>
      <w:numFmt w:val="bullet"/>
      <w:start w:val="1"/>
    </w:lvl>
  </w:abstractNum>
  <w:abstractNum w:abstractNumId="230">
    <w:nsid w:val="59A4BA71"/>
    <w:multiLevelType w:val="hybridMultilevel"/>
    <w:lvl w:ilvl="0">
      <w:lvlJc w:val="left"/>
      <w:lvlText w:val="4"/>
      <w:numFmt w:val="bullet"/>
      <w:start w:val="1"/>
    </w:lvl>
  </w:abstractNum>
  <w:abstractNum w:abstractNumId="231">
    <w:nsid w:val="450B7FB6"/>
    <w:multiLevelType w:val="hybridMultilevel"/>
    <w:lvl w:ilvl="0">
      <w:lvlJc w:val="left"/>
      <w:lvlText w:val="5"/>
      <w:numFmt w:val="bullet"/>
      <w:start w:val="1"/>
    </w:lvl>
  </w:abstractNum>
  <w:abstractNum w:abstractNumId="232">
    <w:nsid w:val="340BF64D"/>
    <w:multiLevelType w:val="hybridMultilevel"/>
    <w:lvl w:ilvl="0">
      <w:lvlJc w:val="left"/>
      <w:lvlText w:val="6"/>
      <w:numFmt w:val="bullet"/>
      <w:start w:val="1"/>
    </w:lvl>
  </w:abstractNum>
  <w:abstractNum w:abstractNumId="233">
    <w:nsid w:val="69454021"/>
    <w:multiLevelType w:val="hybridMultilevel"/>
    <w:lvl w:ilvl="0">
      <w:lvlJc w:val="left"/>
      <w:lvlText w:val="7"/>
      <w:numFmt w:val="bullet"/>
      <w:start w:val="1"/>
    </w:lvl>
  </w:abstractNum>
  <w:abstractNum w:abstractNumId="234">
    <w:nsid w:val="49F15C6B"/>
    <w:multiLevelType w:val="hybridMultilevel"/>
    <w:lvl w:ilvl="0">
      <w:lvlJc w:val="left"/>
      <w:lvlText w:val="%1."/>
      <w:numFmt w:val="decimal"/>
      <w:start w:val="1"/>
    </w:lvl>
  </w:abstractNum>
  <w:abstractNum w:abstractNumId="235">
    <w:nsid w:val="75F56228"/>
    <w:multiLevelType w:val="hybridMultilevel"/>
    <w:lvl w:ilvl="0">
      <w:lvlJc w:val="left"/>
      <w:lvlText w:val="8"/>
      <w:numFmt w:val="bullet"/>
      <w:start w:val="1"/>
    </w:lvl>
  </w:abstractNum>
  <w:abstractNum w:abstractNumId="236">
    <w:nsid w:val="1C618271"/>
    <w:multiLevelType w:val="hybridMultilevel"/>
    <w:lvl w:ilvl="0">
      <w:lvlJc w:val="left"/>
      <w:lvlText w:val="9"/>
      <w:numFmt w:val="bullet"/>
      <w:start w:val="1"/>
    </w:lvl>
  </w:abstractNum>
  <w:abstractNum w:abstractNumId="237">
    <w:nsid w:val="6505F02E"/>
    <w:multiLevelType w:val="hybridMultilevel"/>
    <w:lvl w:ilvl="0">
      <w:lvlJc w:val="left"/>
      <w:lvlText w:val="%1"/>
      <w:numFmt w:val="decimal"/>
      <w:start w:val="10"/>
    </w:lvl>
  </w:abstractNum>
  <w:abstractNum w:abstractNumId="238">
    <w:nsid w:val="2FE5D025"/>
    <w:multiLevelType w:val="hybridMultilevel"/>
    <w:lvl w:ilvl="0">
      <w:lvlJc w:val="left"/>
      <w:lvlText w:val="%1"/>
      <w:numFmt w:val="decimal"/>
      <w:start w:val="11"/>
    </w:lvl>
  </w:abstractNum>
  <w:abstractNum w:abstractNumId="239">
    <w:nsid w:val="30E1B1CF"/>
    <w:multiLevelType w:val="hybridMultilevel"/>
    <w:lvl w:ilvl="0">
      <w:lvlJc w:val="left"/>
      <w:lvlText w:val="%1"/>
      <w:numFmt w:val="decimal"/>
      <w:start w:val="16"/>
    </w:lvl>
  </w:abstractNum>
  <w:abstractNum w:abstractNumId="240">
    <w:nsid w:val="C7A9237"/>
    <w:multiLevelType w:val="hybridMultilevel"/>
    <w:lvl w:ilvl="0">
      <w:lvlJc w:val="left"/>
      <w:lvlText w:val="%1."/>
      <w:numFmt w:val="decimal"/>
      <w:start w:val="3"/>
    </w:lvl>
  </w:abstractNum>
  <w:abstractNum w:abstractNumId="241">
    <w:nsid w:val="676B3580"/>
    <w:multiLevelType w:val="hybridMultilevel"/>
    <w:lvl w:ilvl="0">
      <w:lvlJc w:val="left"/>
      <w:lvlText w:val="(%1)"/>
      <w:numFmt w:val="lowerRoman"/>
      <w:start w:val="3"/>
    </w:lvl>
  </w:abstractNum>
  <w:abstractNum w:abstractNumId="242">
    <w:nsid w:val="3193C8F9"/>
    <w:multiLevelType w:val="hybridMultilevel"/>
    <w:lvl w:ilvl="0">
      <w:lvlJc w:val="left"/>
      <w:lvlText w:val="(%1)"/>
      <w:numFmt w:val="lowerRoman"/>
      <w:start w:val="2"/>
    </w:lvl>
  </w:abstractNum>
  <w:abstractNum w:abstractNumId="243">
    <w:nsid w:val="5FA6C6DC"/>
    <w:multiLevelType w:val="hybridMultilevel"/>
    <w:lvl w:ilvl="0">
      <w:lvlJc w:val="left"/>
      <w:lvlText w:val="(%1)"/>
      <w:numFmt w:val="lowerLetter"/>
      <w:start w:val="2"/>
    </w:lvl>
  </w:abstractNum>
  <w:abstractNum w:abstractNumId="244">
    <w:nsid w:val="77933F62"/>
    <w:multiLevelType w:val="hybridMultilevel"/>
    <w:lvl w:ilvl="0">
      <w:lvlJc w:val="left"/>
      <w:lvlText w:val="%1."/>
      <w:numFmt w:val="decimal"/>
      <w:start w:val="4"/>
    </w:lvl>
    <w:lvl w:ilvl="1">
      <w:lvlJc w:val="left"/>
      <w:lvlText w:val="(%2)"/>
      <w:numFmt w:val="lowerLetter"/>
      <w:start w:val="1"/>
    </w:lvl>
  </w:abstractNum>
  <w:abstractNum w:abstractNumId="245">
    <w:nsid w:val="6CB4EE9C"/>
    <w:multiLevelType w:val="hybridMultilevel"/>
    <w:lvl w:ilvl="0">
      <w:lvlJc w:val="left"/>
      <w:lvlText w:val="%1."/>
      <w:numFmt w:val="decimal"/>
      <w:start w:val="6"/>
    </w:lvl>
    <w:lvl w:ilvl="1">
      <w:lvlJc w:val="left"/>
      <w:lvlText w:val="(%2)"/>
      <w:numFmt w:val="lowerLetter"/>
      <w:start w:val="1"/>
    </w:lvl>
  </w:abstractNum>
  <w:abstractNum w:abstractNumId="246">
    <w:nsid w:val="6A6D56D7"/>
    <w:multiLevelType w:val="hybridMultilevel"/>
    <w:lvl w:ilvl="0">
      <w:lvlJc w:val="left"/>
      <w:lvlText w:val="%1."/>
      <w:numFmt w:val="decimal"/>
      <w:start w:val="7"/>
    </w:lvl>
  </w:abstractNum>
  <w:abstractNum w:abstractNumId="247">
    <w:nsid w:val="5B727F19"/>
    <w:multiLevelType w:val="hybridMultilevel"/>
    <w:lvl w:ilvl="0">
      <w:lvlJc w:val="left"/>
      <w:lvlText w:val="(%1)"/>
      <w:numFmt w:val="lowerLetter"/>
      <w:start w:val="1"/>
    </w:lvl>
  </w:abstractNum>
  <w:abstractNum w:abstractNumId="248">
    <w:nsid w:val="514E5CB0"/>
    <w:multiLevelType w:val="hybridMultilevel"/>
    <w:lvl w:ilvl="0">
      <w:lvlJc w:val="left"/>
      <w:lvlText w:val="(%1)"/>
      <w:numFmt w:val="decimal"/>
      <w:start w:val="415"/>
    </w:lvl>
  </w:abstractNum>
  <w:abstractNum w:abstractNumId="249">
    <w:nsid w:val="4210D41E"/>
    <w:multiLevelType w:val="hybridMultilevel"/>
    <w:lvl w:ilvl="0">
      <w:lvlJc w:val="left"/>
      <w:lvlText w:val="%1."/>
      <w:numFmt w:val="decimal"/>
      <w:start w:val="8"/>
    </w:lvl>
  </w:abstractNum>
  <w:abstractNum w:abstractNumId="250">
    <w:nsid w:val="4FF4CC6D"/>
    <w:multiLevelType w:val="hybridMultilevel"/>
    <w:lvl w:ilvl="0">
      <w:lvlJc w:val="left"/>
      <w:lvlText w:val="%1."/>
      <w:numFmt w:val="upperLetter"/>
      <w:start w:val="9"/>
    </w:lvl>
  </w:abstractNum>
  <w:abstractNum w:abstractNumId="251">
    <w:nsid w:val="404EAF4A"/>
    <w:multiLevelType w:val="hybridMultilevel"/>
    <w:lvl w:ilvl="0">
      <w:lvlJc w:val="left"/>
      <w:lvlText w:val="(%1)"/>
      <w:numFmt w:val="lowerLetter"/>
      <w:start w:val="1"/>
    </w:lvl>
  </w:abstractNum>
  <w:abstractNum w:abstractNumId="252">
    <w:nsid w:val="4A16874F"/>
    <w:multiLevelType w:val="hybridMultilevel"/>
    <w:lvl w:ilvl="0">
      <w:lvlJc w:val="left"/>
      <w:lvlText w:val="(%1)"/>
      <w:numFmt w:val="lowerLetter"/>
      <w:start w:val="4"/>
    </w:lvl>
  </w:abstractNum>
  <w:abstractNum w:abstractNumId="253">
    <w:nsid w:val="55FEE0D1"/>
    <w:multiLevelType w:val="hybridMultilevel"/>
    <w:lvl w:ilvl="0">
      <w:lvlJc w:val="left"/>
      <w:lvlText w:val="%1."/>
      <w:numFmt w:val="upperLetter"/>
      <w:start w:val="35"/>
    </w:lvl>
  </w:abstractNum>
  <w:abstractNum w:abstractNumId="254">
    <w:nsid w:val="3C5E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5">
    <w:nsid w:val="60C2D27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35"/>
    </w:lvl>
  </w:abstractNum>
  <w:abstractNum w:abstractNumId="256">
    <w:nsid w:val="4CC32F1F"/>
    <w:multiLevelType w:val="hybridMultilevel"/>
    <w:lvl w:ilvl="0">
      <w:lvlJc w:val="left"/>
      <w:lvlText w:val="%1"/>
      <w:numFmt w:val="decimal"/>
      <w:start w:val="17"/>
    </w:lvl>
  </w:abstractNum>
  <w:abstractNum w:abstractNumId="257">
    <w:nsid w:val="11CAC74A"/>
    <w:multiLevelType w:val="hybridMultilevel"/>
    <w:lvl w:ilvl="0">
      <w:lvlJc w:val="left"/>
      <w:lvlText w:val="(%1)"/>
      <w:numFmt w:val="lowerLetter"/>
      <w:start w:val="3"/>
    </w:lvl>
    <w:lvl w:ilvl="1">
      <w:lvlJc w:val="left"/>
      <w:lvlText w:val="(%2)"/>
      <w:numFmt w:val="lowerRoman"/>
      <w:start w:val="1"/>
    </w:lvl>
  </w:abstractNum>
  <w:abstractNum w:abstractNumId="258">
    <w:nsid w:val="126CADE9"/>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259">
    <w:nsid w:val="19132E7B"/>
    <w:multiLevelType w:val="hybridMultilevel"/>
    <w:lvl w:ilvl="0">
      <w:lvlJc w:val="left"/>
      <w:lvlText w:val="(%1)"/>
      <w:numFmt w:val="lowerRoman"/>
      <w:start w:val="2"/>
    </w:lvl>
    <w:lvl w:ilvl="1">
      <w:lvlJc w:val="left"/>
      <w:lvlText w:val="(%2)"/>
      <w:numFmt w:val="upperLetter"/>
      <w:start w:val="2"/>
    </w:lvl>
    <w:lvl w:ilvl="2">
      <w:lvlJc w:val="left"/>
      <w:lvlText w:val="%3"/>
      <w:numFmt w:val="upperLetter"/>
      <w:start w:val="1"/>
    </w:lvl>
  </w:abstractNum>
  <w:abstractNum w:abstractNumId="260">
    <w:nsid w:val="63822DC0"/>
    <w:multiLevelType w:val="hybridMultilevel"/>
    <w:lvl w:ilvl="0">
      <w:lvlJc w:val="left"/>
      <w:lvlText w:val="%1"/>
      <w:numFmt w:val="lowerLetter"/>
      <w:start w:val="1"/>
    </w:lvl>
    <w:lvl w:ilvl="1">
      <w:lvlJc w:val="left"/>
      <w:lvlText w:val="(%2)"/>
      <w:numFmt w:val="lowerLetter"/>
      <w:start w:val="61"/>
    </w:lvl>
  </w:abstractNum>
  <w:abstractNum w:abstractNumId="261">
    <w:nsid w:val="6C11685A"/>
    <w:multiLevelType w:val="hybridMultilevel"/>
    <w:lvl w:ilvl="0">
      <w:lvlJc w:val="left"/>
      <w:lvlText w:val="(%1)"/>
      <w:numFmt w:val="lowerLetter"/>
      <w:start w:val="5"/>
    </w:lvl>
    <w:lvl w:ilvl="1">
      <w:lvlJc w:val="left"/>
      <w:lvlText w:val="%2"/>
      <w:numFmt w:val="lowerLetter"/>
      <w:start w:val="1"/>
    </w:lvl>
  </w:abstractNum>
  <w:abstractNum w:abstractNumId="262">
    <w:nsid w:val="5E1EAE31"/>
    <w:multiLevelType w:val="hybridMultilevel"/>
    <w:lvl w:ilvl="0">
      <w:lvlJc w:val="left"/>
      <w:lvlText w:val="(%1)"/>
      <w:numFmt w:val="lowerLetter"/>
      <w:start w:val="6"/>
    </w:lvl>
  </w:abstractNum>
  <w:abstractNum w:abstractNumId="263">
    <w:nsid w:val="178E240D"/>
    <w:multiLevelType w:val="hybridMultilevel"/>
    <w:lvl w:ilvl="0">
      <w:lvlJc w:val="left"/>
      <w:lvlText w:val="(%1)"/>
      <w:numFmt w:val="lowerLetter"/>
      <w:start w:val="8"/>
    </w:lvl>
  </w:abstractNum>
  <w:abstractNum w:abstractNumId="264">
    <w:nsid w:val="5556A87B"/>
    <w:multiLevelType w:val="hybridMultilevel"/>
    <w:lvl w:ilvl="0">
      <w:lvlJc w:val="left"/>
      <w:lvlText w:val="(%1)"/>
      <w:numFmt w:val="lowerRoman"/>
      <w:start w:val="1"/>
    </w:lvl>
  </w:abstractNum>
  <w:abstractNum w:abstractNumId="265">
    <w:nsid w:val="28100A9C"/>
    <w:multiLevelType w:val="hybridMultilevel"/>
    <w:lvl w:ilvl="0">
      <w:lvlJc w:val="left"/>
      <w:lvlText w:val="(%1)"/>
      <w:numFmt w:val="lowerRoman"/>
      <w:start w:val="2"/>
    </w:lvl>
  </w:abstractNum>
  <w:abstractNum w:abstractNumId="266">
    <w:nsid w:val="D838636"/>
    <w:multiLevelType w:val="hybridMultilevel"/>
    <w:lvl w:ilvl="0">
      <w:lvlJc w:val="left"/>
      <w:lvlText w:val="%1"/>
      <w:numFmt w:val="decimal"/>
      <w:start w:val="18"/>
    </w:lvl>
  </w:abstractNum>
  <w:abstractNum w:abstractNumId="267">
    <w:nsid w:val="71B82AED"/>
    <w:multiLevelType w:val="hybridMultilevel"/>
    <w:lvl w:ilvl="0">
      <w:lvlJc w:val="left"/>
      <w:lvlText w:val="%1"/>
      <w:numFmt w:val="lowerLetter"/>
      <w:start w:val="1"/>
    </w:lvl>
    <w:lvl w:ilvl="1">
      <w:lvlJc w:val="left"/>
      <w:lvlText w:val="(%2)"/>
      <w:numFmt w:val="lowerLetter"/>
      <w:start w:val="61"/>
    </w:lvl>
  </w:abstractNum>
  <w:abstractNum w:abstractNumId="268">
    <w:nsid w:val="D15FACA"/>
    <w:multiLevelType w:val="hybridMultilevel"/>
    <w:lvl w:ilvl="0">
      <w:lvlJc w:val="left"/>
      <w:lvlText w:val="(%1)"/>
      <w:numFmt w:val="lowerLetter"/>
      <w:start w:val="10"/>
    </w:lvl>
    <w:lvl w:ilvl="1">
      <w:lvlJc w:val="left"/>
      <w:lvlText w:val="(%2)"/>
      <w:numFmt w:val="lowerLetter"/>
      <w:start w:val="9"/>
    </w:lvl>
  </w:abstractNum>
  <w:abstractNum w:abstractNumId="269">
    <w:nsid w:val="3D69565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decimal"/>
      <w:start w:val="2"/>
    </w:lvl>
  </w:abstractNum>
  <w:abstractNum w:abstractNumId="270">
    <w:nsid w:val="2299DCBC"/>
    <w:multiLevelType w:val="hybridMultilevel"/>
    <w:lvl w:ilvl="0">
      <w:lvlJc w:val="left"/>
      <w:lvlText w:val="(%1)"/>
      <w:numFmt w:val="lowerLetter"/>
      <w:start w:val="1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71">
    <w:nsid w:val="19908D02"/>
    <w:multiLevelType w:val="hybridMultilevel"/>
    <w:lvl w:ilvl="0">
      <w:lvlJc w:val="left"/>
      <w:lvlText w:val="(%1)"/>
      <w:numFmt w:val="lowerLetter"/>
      <w:start w:val="13"/>
    </w:lvl>
  </w:abstractNum>
  <w:abstractNum w:abstractNumId="272">
    <w:nsid w:val="24D48BDB"/>
    <w:multiLevelType w:val="hybridMultilevel"/>
    <w:lvl w:ilvl="0">
      <w:lvlJc w:val="left"/>
      <w:lvlText w:val="(%1)"/>
      <w:numFmt w:val="lowerLetter"/>
      <w:start w:val="17"/>
    </w:lvl>
    <w:lvl w:ilvl="1">
      <w:lvlJc w:val="left"/>
      <w:lvlText w:val="(%2)"/>
      <w:numFmt w:val="lowerRoman"/>
      <w:start w:val="1"/>
    </w:lvl>
  </w:abstractNum>
  <w:abstractNum w:abstractNumId="273">
    <w:nsid w:val="542DA5B5"/>
    <w:multiLevelType w:val="hybridMultilevel"/>
    <w:lvl w:ilvl="0">
      <w:lvlJc w:val="left"/>
      <w:lvlText w:val="(%1)"/>
      <w:numFmt w:val="lowerLetter"/>
      <w:start w:val="21"/>
    </w:lvl>
  </w:abstractNum>
  <w:abstractNum w:abstractNumId="274">
    <w:nsid w:val="793753DE"/>
    <w:multiLevelType w:val="hybridMultilevel"/>
    <w:lvl w:ilvl="0">
      <w:lvlJc w:val="left"/>
      <w:lvlText w:val="(%1)"/>
      <w:numFmt w:val="lowerRoman"/>
      <w:start w:val="1"/>
    </w:lvl>
  </w:abstractNum>
  <w:abstractNum w:abstractNumId="275">
    <w:nsid w:val="1C67CB3D"/>
    <w:multiLevelType w:val="hybridMultilevel"/>
    <w:lvl w:ilvl="0">
      <w:lvlJc w:val="left"/>
      <w:lvlText w:val="%1"/>
      <w:numFmt w:val="decimal"/>
      <w:start w:val="19"/>
    </w:lvl>
  </w:abstractNum>
  <w:abstractNum w:abstractNumId="276">
    <w:nsid w:val="40E29452"/>
    <w:multiLevelType w:val="hybridMultilevel"/>
    <w:lvl w:ilvl="0">
      <w:lvlJc w:val="left"/>
      <w:lvlText w:val="%1"/>
      <w:numFmt w:val="lowerLetter"/>
      <w:start w:val="1"/>
    </w:lvl>
    <w:lvl w:ilvl="1">
      <w:lvlJc w:val="left"/>
      <w:lvlText w:val="(%2)"/>
      <w:numFmt w:val="lowerRoman"/>
      <w:start w:val="4"/>
    </w:lvl>
  </w:abstractNum>
  <w:abstractNum w:abstractNumId="277">
    <w:nsid w:val="63A4AAB6"/>
    <w:multiLevelType w:val="hybridMultilevel"/>
    <w:lvl w:ilvl="0">
      <w:lvlJc w:val="left"/>
      <w:lvlText w:val="(%1)"/>
      <w:numFmt w:val="lowerLetter"/>
      <w:start w:val="24"/>
    </w:lvl>
    <w:lvl w:ilvl="1">
      <w:lvlJc w:val="left"/>
      <w:lvlText w:val="%2"/>
      <w:numFmt w:val="lowerRoman"/>
      <w:start w:val="1"/>
    </w:lvl>
  </w:abstractNum>
  <w:abstractNum w:abstractNumId="278">
    <w:nsid w:val="77DA4A57"/>
    <w:multiLevelType w:val="hybridMultilevel"/>
    <w:lvl w:ilvl="0">
      <w:lvlJc w:val="left"/>
      <w:lvlText w:val="%1"/>
      <w:numFmt w:val="decimal"/>
      <w:start w:val="22"/>
    </w:lvl>
  </w:abstractNum>
  <w:abstractNum w:abstractNumId="279">
    <w:nsid w:val="1230F102"/>
    <w:multiLevelType w:val="hybridMultilevel"/>
    <w:lvl w:ilvl="0">
      <w:lvlJc w:val="left"/>
      <w:lvlText w:val="(%1)"/>
      <w:numFmt w:val="lowerLetter"/>
      <w:start w:val="27"/>
    </w:lvl>
  </w:abstractNum>
  <w:abstractNum w:abstractNumId="280">
    <w:nsid w:val="25B57ED4"/>
    <w:multiLevelType w:val="hybridMultilevel"/>
    <w:lvl w:ilvl="0">
      <w:lvlJc w:val="left"/>
      <w:lvlText w:val="1"/>
      <w:numFmt w:val="bullet"/>
      <w:start w:val="1"/>
    </w:lvl>
  </w:abstractNum>
  <w:abstractNum w:abstractNumId="281">
    <w:nsid w:val="47CF16C4"/>
    <w:multiLevelType w:val="hybridMultilevel"/>
    <w:lvl w:ilvl="0">
      <w:lvlJc w:val="left"/>
      <w:lvlText w:val="2"/>
      <w:numFmt w:val="bullet"/>
      <w:start w:val="1"/>
    </w:lvl>
  </w:abstractNum>
  <w:abstractNum w:abstractNumId="282">
    <w:nsid w:val="527FA04C"/>
    <w:multiLevelType w:val="hybridMultilevel"/>
    <w:lvl w:ilvl="0">
      <w:lvlJc w:val="left"/>
      <w:lvlText w:val="3"/>
      <w:numFmt w:val="bullet"/>
      <w:start w:val="1"/>
    </w:lvl>
  </w:abstractNum>
  <w:abstractNum w:abstractNumId="283">
    <w:nsid w:val="6FCC0624"/>
    <w:multiLevelType w:val="hybridMultilevel"/>
    <w:lvl w:ilvl="0">
      <w:lvlJc w:val="left"/>
      <w:lvlText w:val="4"/>
      <w:numFmt w:val="bullet"/>
      <w:start w:val="1"/>
    </w:lvl>
  </w:abstractNum>
  <w:abstractNum w:abstractNumId="284">
    <w:nsid w:val="1DCDF795"/>
    <w:multiLevelType w:val="hybridMultilevel"/>
    <w:lvl w:ilvl="0">
      <w:lvlJc w:val="left"/>
      <w:lvlText w:val="5"/>
      <w:numFmt w:val="bullet"/>
      <w:start w:val="1"/>
    </w:lvl>
  </w:abstractNum>
  <w:abstractNum w:abstractNumId="285">
    <w:nsid w:val="564580C8"/>
    <w:multiLevelType w:val="hybridMultilevel"/>
    <w:lvl w:ilvl="0">
      <w:lvlJc w:val="left"/>
      <w:lvlText w:val="6"/>
      <w:numFmt w:val="bullet"/>
      <w:start w:val="1"/>
    </w:lvl>
  </w:abstractNum>
  <w:abstractNum w:abstractNumId="286">
    <w:nsid w:val="508ED897"/>
    <w:multiLevelType w:val="hybridMultilevel"/>
    <w:lvl w:ilvl="0">
      <w:lvlJc w:val="left"/>
      <w:lvlText w:val="7"/>
      <w:numFmt w:val="bullet"/>
      <w:start w:val="1"/>
    </w:lvl>
  </w:abstractNum>
  <w:abstractNum w:abstractNumId="287">
    <w:nsid w:val="6A9126B5"/>
    <w:multiLevelType w:val="hybridMultilevel"/>
    <w:lvl w:ilvl="0">
      <w:lvlJc w:val="left"/>
      <w:lvlText w:val="%1."/>
      <w:numFmt w:val="decimal"/>
      <w:start w:val="1"/>
    </w:lvl>
  </w:abstractNum>
  <w:abstractNum w:abstractNumId="288">
    <w:nsid w:val="68104812"/>
    <w:multiLevelType w:val="hybridMultilevel"/>
    <w:lvl w:ilvl="0">
      <w:lvlJc w:val="left"/>
      <w:lvlText w:val="8"/>
      <w:numFmt w:val="bullet"/>
      <w:start w:val="1"/>
    </w:lvl>
  </w:abstractNum>
  <w:abstractNum w:abstractNumId="289">
    <w:nsid w:val="62FB8680"/>
    <w:multiLevelType w:val="hybridMultilevel"/>
    <w:lvl w:ilvl="0">
      <w:lvlJc w:val="left"/>
      <w:lvlText w:val="9"/>
      <w:numFmt w:val="bullet"/>
      <w:start w:val="1"/>
    </w:lvl>
  </w:abstractNum>
  <w:abstractNum w:abstractNumId="290">
    <w:nsid w:val="3A45530"/>
    <w:multiLevelType w:val="hybridMultilevel"/>
    <w:lvl w:ilvl="0">
      <w:lvlJc w:val="left"/>
      <w:lvlText w:val="%1"/>
      <w:numFmt w:val="decimal"/>
      <w:start w:val="10"/>
    </w:lvl>
  </w:abstractNum>
  <w:abstractNum w:abstractNumId="291">
    <w:nsid w:val="4B9275D2"/>
    <w:multiLevelType w:val="hybridMultilevel"/>
    <w:lvl w:ilvl="0">
      <w:lvlJc w:val="left"/>
      <w:lvlText w:val="%1."/>
      <w:numFmt w:val="decimal"/>
      <w:start w:val="2"/>
    </w:lvl>
  </w:abstractNum>
  <w:abstractNum w:abstractNumId="292">
    <w:nsid w:val="4F0CEEDB"/>
    <w:multiLevelType w:val="hybridMultilevel"/>
    <w:lvl w:ilvl="0">
      <w:lvlJc w:val="left"/>
      <w:lvlText w:val="%1"/>
      <w:numFmt w:val="decimal"/>
      <w:start w:val="11"/>
    </w:lvl>
  </w:abstractNum>
  <w:abstractNum w:abstractNumId="293">
    <w:nsid w:val="61C30361"/>
    <w:multiLevelType w:val="hybridMultilevel"/>
    <w:lvl w:ilvl="0">
      <w:lvlJc w:val="left"/>
      <w:lvlText w:val="%1"/>
      <w:numFmt w:val="decimal"/>
      <w:start w:val="16"/>
    </w:lvl>
  </w:abstractNum>
  <w:abstractNum w:abstractNumId="294">
    <w:nsid w:val="632099E0"/>
    <w:multiLevelType w:val="hybridMultilevel"/>
    <w:lvl w:ilvl="0">
      <w:lvlJc w:val="left"/>
      <w:lvlText w:val="%1."/>
      <w:numFmt w:val="decimal"/>
      <w:start w:val="3"/>
    </w:lvl>
  </w:abstractNum>
  <w:abstractNum w:abstractNumId="295">
    <w:nsid w:val="24639756"/>
    <w:multiLevelType w:val="hybridMultilevel"/>
    <w:lvl w:ilvl="0">
      <w:lvlJc w:val="left"/>
      <w:lvlText w:val="(%1)"/>
      <w:numFmt w:val="lowerRoman"/>
      <w:start w:val="3"/>
    </w:lvl>
  </w:abstractNum>
  <w:abstractNum w:abstractNumId="296">
    <w:nsid w:val="9D30DFD"/>
    <w:multiLevelType w:val="hybridMultilevel"/>
    <w:lvl w:ilvl="0">
      <w:lvlJc w:val="left"/>
      <w:lvlText w:val="(%1)"/>
      <w:numFmt w:val="lowerRoman"/>
      <w:start w:val="2"/>
    </w:lvl>
  </w:abstractNum>
  <w:abstractNum w:abstractNumId="297">
    <w:nsid w:val="70A42016"/>
    <w:multiLevelType w:val="hybridMultilevel"/>
    <w:lvl w:ilvl="0">
      <w:lvlJc w:val="left"/>
      <w:lvlText w:val="%1."/>
      <w:numFmt w:val="decimal"/>
      <w:start w:val="4"/>
    </w:lvl>
    <w:lvl w:ilvl="1">
      <w:lvlJc w:val="left"/>
      <w:lvlText w:val="(%2)"/>
      <w:numFmt w:val="lowerLetter"/>
      <w:start w:val="1"/>
    </w:lvl>
  </w:abstractNum>
  <w:abstractNum w:abstractNumId="298">
    <w:nsid w:val="161BC243"/>
    <w:multiLevelType w:val="hybridMultilevel"/>
    <w:lvl w:ilvl="0">
      <w:lvlJc w:val="left"/>
      <w:lvlText w:val="(%1)"/>
      <w:numFmt w:val="lowerLetter"/>
      <w:start w:val="2"/>
    </w:lvl>
  </w:abstractNum>
  <w:abstractNum w:abstractNumId="299">
    <w:nsid w:val="16E908C8"/>
    <w:multiLevelType w:val="hybridMultilevel"/>
    <w:lvl w:ilvl="0">
      <w:lvlJc w:val="left"/>
      <w:lvlText w:val="%1."/>
      <w:numFmt w:val="decimal"/>
      <w:start w:val="6"/>
    </w:lvl>
    <w:lvl w:ilvl="1">
      <w:lvlJc w:val="left"/>
      <w:lvlText w:val="(%2)"/>
      <w:numFmt w:val="lowerLetter"/>
      <w:start w:val="1"/>
    </w:lvl>
  </w:abstractNum>
  <w:abstractNum w:abstractNumId="300">
    <w:nsid w:val="2E0D7671"/>
    <w:multiLevelType w:val="hybridMultilevel"/>
    <w:lvl w:ilvl="0">
      <w:lvlJc w:val="left"/>
      <w:lvlText w:val="%1."/>
      <w:numFmt w:val="decimal"/>
      <w:start w:val="7"/>
    </w:lvl>
    <w:lvl w:ilvl="1">
      <w:lvlJc w:val="left"/>
      <w:lvlText w:val="(%2)"/>
      <w:numFmt w:val="lowerLetter"/>
      <w:start w:val="1"/>
    </w:lvl>
  </w:abstractNum>
  <w:abstractNum w:abstractNumId="301">
    <w:nsid w:val="38B59EFF"/>
    <w:multiLevelType w:val="hybridMultilevel"/>
    <w:lvl w:ilvl="0">
      <w:lvlJc w:val="left"/>
      <w:lvlText w:val="%1."/>
      <w:numFmt w:val="decimal"/>
      <w:start w:val="8"/>
    </w:lvl>
    <w:lvl w:ilvl="1">
      <w:lvlJc w:val="left"/>
      <w:lvlText w:val="%2."/>
      <w:numFmt w:val="upperLetter"/>
      <w:start w:val="9"/>
    </w:lvl>
  </w:abstractNum>
  <w:abstractNum w:abstractNumId="302">
    <w:nsid w:val="307995CA"/>
    <w:multiLevelType w:val="hybridMultilevel"/>
    <w:lvl w:ilvl="0">
      <w:lvlJc w:val="left"/>
      <w:lvlText w:val="(%1)"/>
      <w:numFmt w:val="lowerLetter"/>
      <w:start w:val="1"/>
    </w:lvl>
  </w:abstractNum>
  <w:abstractNum w:abstractNumId="303">
    <w:nsid w:val="52E2024D"/>
    <w:multiLevelType w:val="hybridMultilevel"/>
    <w:lvl w:ilvl="0">
      <w:lvlJc w:val="left"/>
      <w:lvlText w:val="(%1)"/>
      <w:numFmt w:val="lowerLetter"/>
      <w:start w:val="4"/>
    </w:lvl>
  </w:abstractNum>
  <w:abstractNum w:abstractNumId="304">
    <w:nsid w:val="CE344B5"/>
    <w:multiLevelType w:val="hybridMultilevel"/>
    <w:lvl w:ilvl="0">
      <w:lvlJc w:val="left"/>
      <w:lvlText w:val="%1."/>
      <w:numFmt w:val="upperLetter"/>
      <w:start w:val="35"/>
    </w:lvl>
  </w:abstractNum>
  <w:abstractNum w:abstractNumId="305">
    <w:nsid w:val="29B0E9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06">
    <w:nsid w:val="6F49CD8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35"/>
    </w:lvl>
  </w:abstractNum>
  <w:abstractNum w:abstractNumId="307">
    <w:nsid w:val="4DC5D907"/>
    <w:multiLevelType w:val="hybridMultilevel"/>
    <w:lvl w:ilvl="0">
      <w:lvlJc w:val="left"/>
      <w:lvlText w:val="%1"/>
      <w:numFmt w:val="decimal"/>
      <w:start w:val="17"/>
    </w:lvl>
  </w:abstractNum>
  <w:abstractNum w:abstractNumId="308">
    <w:nsid w:val="D55945E"/>
    <w:multiLevelType w:val="hybridMultilevel"/>
    <w:lvl w:ilvl="0">
      <w:lvlJc w:val="left"/>
      <w:lvlText w:val="(%1)"/>
      <w:numFmt w:val="lowerLetter"/>
      <w:start w:val="3"/>
    </w:lvl>
    <w:lvl w:ilvl="1">
      <w:lvlJc w:val="left"/>
      <w:lvlText w:val="(%2)"/>
      <w:numFmt w:val="lowerRoman"/>
      <w:start w:val="1"/>
    </w:lvl>
  </w:abstractNum>
  <w:abstractNum w:abstractNumId="309">
    <w:nsid w:val="672417E1"/>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10">
    <w:nsid w:val="5FF6CA09"/>
    <w:multiLevelType w:val="hybridMultilevel"/>
    <w:lvl w:ilvl="0">
      <w:lvlJc w:val="left"/>
      <w:lvlText w:val="(%1)"/>
      <w:numFmt w:val="lowerRoman"/>
      <w:start w:val="2"/>
    </w:lvl>
    <w:lvl w:ilvl="1">
      <w:lvlJc w:val="left"/>
      <w:lvlText w:val="(%2)"/>
      <w:numFmt w:val="upperLetter"/>
      <w:start w:val="2"/>
    </w:lvl>
    <w:lvl w:ilvl="2">
      <w:lvlJc w:val="left"/>
      <w:lvlText w:val="%3"/>
      <w:numFmt w:val="upperLetter"/>
      <w:start w:val="1"/>
    </w:lvl>
  </w:abstractNum>
  <w:abstractNum w:abstractNumId="311">
    <w:nsid w:val="330B1333"/>
    <w:multiLevelType w:val="hybridMultilevel"/>
    <w:lvl w:ilvl="0">
      <w:lvlJc w:val="left"/>
      <w:lvlText w:val="%1"/>
      <w:numFmt w:val="lowerLetter"/>
      <w:start w:val="1"/>
    </w:lvl>
    <w:lvl w:ilvl="1">
      <w:lvlJc w:val="left"/>
      <w:lvlText w:val="(%2)"/>
      <w:numFmt w:val="lowerLetter"/>
      <w:start w:val="61"/>
    </w:lvl>
  </w:abstractNum>
  <w:abstractNum w:abstractNumId="312">
    <w:nsid w:val="2EF32EA6"/>
    <w:multiLevelType w:val="hybridMultilevel"/>
    <w:lvl w:ilvl="0">
      <w:lvlJc w:val="left"/>
      <w:lvlText w:val="(%1)"/>
      <w:numFmt w:val="lowerLetter"/>
      <w:start w:val="5"/>
    </w:lvl>
    <w:lvl w:ilvl="1">
      <w:lvlJc w:val="left"/>
      <w:lvlText w:val="%2"/>
      <w:numFmt w:val="lowerLetter"/>
      <w:start w:val="1"/>
    </w:lvl>
  </w:abstractNum>
  <w:abstractNum w:abstractNumId="313">
    <w:nsid w:val="32766A55"/>
    <w:multiLevelType w:val="hybridMultilevel"/>
    <w:lvl w:ilvl="0">
      <w:lvlJc w:val="left"/>
      <w:lvlText w:val="(%1)"/>
      <w:numFmt w:val="lowerLetter"/>
      <w:start w:val="6"/>
    </w:lvl>
  </w:abstractNum>
  <w:abstractNum w:abstractNumId="314">
    <w:nsid w:val="22D71957"/>
    <w:multiLevelType w:val="hybridMultilevel"/>
    <w:lvl w:ilvl="0">
      <w:lvlJc w:val="left"/>
      <w:lvlText w:val="(%1)"/>
      <w:numFmt w:val="lowerLetter"/>
      <w:start w:val="8"/>
    </w:lvl>
    <w:lvl w:ilvl="1">
      <w:lvlJc w:val="left"/>
      <w:lvlText w:val="(%2)"/>
      <w:numFmt w:val="lowerRoman"/>
      <w:start w:val="1"/>
    </w:lvl>
  </w:abstractNum>
  <w:abstractNum w:abstractNumId="315">
    <w:nsid w:val="4CC1263B"/>
    <w:multiLevelType w:val="hybridMultilevel"/>
    <w:lvl w:ilvl="0">
      <w:lvlJc w:val="left"/>
      <w:lvlText w:val="%1"/>
      <w:numFmt w:val="lowerRoman"/>
      <w:start w:val="1"/>
    </w:lvl>
    <w:lvl w:ilvl="1">
      <w:lvlJc w:val="left"/>
      <w:lvlText w:val="(%2)"/>
      <w:numFmt w:val="upperLetter"/>
      <w:start w:val="1"/>
    </w:lvl>
  </w:abstractNum>
  <w:abstractNum w:abstractNumId="316">
    <w:nsid w:val="8BBEB1D"/>
    <w:multiLevelType w:val="hybridMultilevel"/>
    <w:lvl w:ilvl="0">
      <w:lvlJc w:val="left"/>
      <w:lvlText w:val="%1"/>
      <w:numFmt w:val="lowerRoman"/>
      <w:start w:val="1"/>
    </w:lvl>
    <w:lvl w:ilvl="1">
      <w:lvlJc w:val="left"/>
      <w:lvlText w:val="(%2)"/>
      <w:numFmt w:val="upperLetter"/>
      <w:start w:val="3"/>
    </w:lvl>
  </w:abstractNum>
  <w:abstractNum w:abstractNumId="317">
    <w:nsid w:val="7365F1EE"/>
    <w:multiLevelType w:val="hybridMultilevel"/>
    <w:lvl w:ilvl="0">
      <w:lvlJc w:val="left"/>
      <w:lvlText w:val="(%1)"/>
      <w:numFmt w:val="lowerRoman"/>
      <w:start w:val="2"/>
    </w:lvl>
    <w:lvl w:ilvl="1">
      <w:lvlJc w:val="left"/>
      <w:lvlText w:val="%2"/>
      <w:numFmt w:val="upperLetter"/>
      <w:start w:val="1"/>
    </w:lvl>
  </w:abstractNum>
  <w:abstractNum w:abstractNumId="318">
    <w:nsid w:val="37524CF0"/>
    <w:multiLevelType w:val="hybridMultilevel"/>
    <w:lvl w:ilvl="0">
      <w:lvlJc w:val="left"/>
      <w:lvlText w:val="%1"/>
      <w:numFmt w:val="decimal"/>
      <w:start w:val="18"/>
    </w:lvl>
  </w:abstractNum>
  <w:abstractNum w:abstractNumId="319">
    <w:nsid w:val="70CC332F"/>
    <w:multiLevelType w:val="hybridMultilevel"/>
    <w:lvl w:ilvl="0">
      <w:lvlJc w:val="left"/>
      <w:lvlText w:val="%1"/>
      <w:numFmt w:val="lowerLetter"/>
      <w:start w:val="1"/>
    </w:lvl>
    <w:lvl w:ilvl="1">
      <w:lvlJc w:val="left"/>
      <w:lvlText w:val="(%2)"/>
      <w:numFmt w:val="lowerLetter"/>
      <w:start w:val="61"/>
    </w:lvl>
  </w:abstractNum>
  <w:abstractNum w:abstractNumId="320">
    <w:nsid w:val="5661786E"/>
    <w:multiLevelType w:val="hybridMultilevel"/>
    <w:lvl w:ilvl="0">
      <w:lvlJc w:val="left"/>
      <w:lvlText w:val="(%1)"/>
      <w:numFmt w:val="lowerLetter"/>
      <w:start w:val="10"/>
    </w:lvl>
    <w:lvl w:ilvl="1">
      <w:lvlJc w:val="left"/>
      <w:lvlText w:val="(%2)"/>
      <w:numFmt w:val="lowerLetter"/>
      <w:start w:val="9"/>
    </w:lvl>
  </w:abstractNum>
  <w:abstractNum w:abstractNumId="321">
    <w:nsid w:val="3AF6A22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decimal"/>
      <w:start w:val="2"/>
    </w:lvl>
  </w:abstractNum>
  <w:abstractNum w:abstractNumId="322">
    <w:nsid w:val="3C5EA902"/>
    <w:multiLevelType w:val="hybridMultilevel"/>
    <w:lvl w:ilvl="0">
      <w:lvlJc w:val="left"/>
      <w:lvlText w:val="(%1)"/>
      <w:numFmt w:val="lowerLetter"/>
      <w:start w:val="1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323">
    <w:nsid w:val="256E6749"/>
    <w:multiLevelType w:val="hybridMultilevel"/>
    <w:lvl w:ilvl="0">
      <w:lvlJc w:val="left"/>
      <w:lvlText w:val="(%1)"/>
      <w:numFmt w:val="lowerLetter"/>
      <w:start w:val="13"/>
    </w:lvl>
  </w:abstractNum>
  <w:abstractNum w:abstractNumId="324">
    <w:nsid w:val="1CB9A581"/>
    <w:multiLevelType w:val="hybridMultilevel"/>
    <w:lvl w:ilvl="0">
      <w:lvlJc w:val="left"/>
      <w:lvlText w:val="(%1)"/>
      <w:numFmt w:val="lowerLetter"/>
      <w:start w:val="17"/>
    </w:lvl>
    <w:lvl w:ilvl="1">
      <w:lvlJc w:val="left"/>
      <w:lvlText w:val="(%2)"/>
      <w:numFmt w:val="lowerRoman"/>
      <w:start w:val="1"/>
    </w:lvl>
  </w:abstractNum>
  <w:abstractNum w:abstractNumId="325">
    <w:nsid w:val="1F7F42E2"/>
    <w:multiLevelType w:val="hybridMultilevel"/>
    <w:lvl w:ilvl="0">
      <w:lvlJc w:val="left"/>
      <w:lvlText w:val="(%1)"/>
      <w:numFmt w:val="lowerLetter"/>
      <w:start w:val="21"/>
    </w:lvl>
  </w:abstractNum>
  <w:abstractNum w:abstractNumId="326">
    <w:nsid w:val="49D1FEA0"/>
    <w:multiLevelType w:val="hybridMultilevel"/>
    <w:lvl w:ilvl="0">
      <w:lvlJc w:val="left"/>
      <w:lvlText w:val="(%1)"/>
      <w:numFmt w:val="lowerRoman"/>
      <w:start w:val="1"/>
    </w:lvl>
  </w:abstractNum>
  <w:abstractNum w:abstractNumId="327">
    <w:nsid w:val="268CB37F"/>
    <w:multiLevelType w:val="hybridMultilevel"/>
    <w:lvl w:ilvl="0">
      <w:lvlJc w:val="left"/>
      <w:lvlText w:val="%1"/>
      <w:numFmt w:val="decimal"/>
      <w:start w:val="19"/>
    </w:lvl>
  </w:abstractNum>
  <w:abstractNum w:abstractNumId="328">
    <w:nsid w:val="102362F8"/>
    <w:multiLevelType w:val="hybridMultilevel"/>
    <w:lvl w:ilvl="0">
      <w:lvlJc w:val="left"/>
      <w:lvlText w:val="%1"/>
      <w:numFmt w:val="lowerLetter"/>
      <w:start w:val="1"/>
    </w:lvl>
    <w:lvl w:ilvl="1">
      <w:lvlJc w:val="left"/>
      <w:lvlText w:val="(%2)"/>
      <w:numFmt w:val="lowerRoman"/>
      <w:start w:val="4"/>
    </w:lvl>
  </w:abstractNum>
  <w:abstractNum w:abstractNumId="329">
    <w:nsid w:val="5FEDC0E3"/>
    <w:multiLevelType w:val="hybridMultilevel"/>
    <w:lvl w:ilvl="0">
      <w:lvlJc w:val="left"/>
      <w:lvlText w:val="(%1)"/>
      <w:numFmt w:val="lowerLetter"/>
      <w:start w:val="24"/>
    </w:lvl>
    <w:lvl w:ilvl="1">
      <w:lvlJc w:val="left"/>
      <w:lvlText w:val="%2"/>
      <w:numFmt w:val="lowerRoman"/>
      <w:start w:val="1"/>
    </w:lvl>
  </w:abstractNum>
  <w:abstractNum w:abstractNumId="330">
    <w:nsid w:val="3D75BC47"/>
    <w:multiLevelType w:val="hybridMultilevel"/>
    <w:lvl w:ilvl="0">
      <w:lvlJc w:val="left"/>
      <w:lvlText w:val="(%1)"/>
      <w:numFmt w:val="lowerLetter"/>
      <w:start w:val="27"/>
    </w:lvl>
  </w:abstractNum>
  <w:abstractNum w:abstractNumId="331">
    <w:nsid w:val="3E30D969"/>
    <w:multiLevelType w:val="hybridMultilevel"/>
    <w:lvl w:ilvl="0">
      <w:lvlJc w:val="left"/>
      <w:lvlText w:val="%1"/>
      <w:numFmt w:val="decimal"/>
      <w:start w:val="22"/>
    </w:lvl>
  </w:abstractNum>
  <w:abstractNum w:abstractNumId="332">
    <w:nsid w:val="18A35FE3"/>
    <w:multiLevelType w:val="hybridMultilevel"/>
    <w:lvl w:ilvl="0">
      <w:lvlJc w:val="left"/>
      <w:lvlText w:val="(%1)"/>
      <w:numFmt w:val="decimal"/>
      <w:start w:val="415"/>
    </w:lvl>
  </w:abstractNum>
  <w:abstractNum w:abstractNumId="333">
    <w:nsid w:val="6DEF5211"/>
    <w:multiLevelType w:val="hybridMultilevel"/>
    <w:lvl w:ilvl="0">
      <w:lvlJc w:val="left"/>
      <w:lvlText w:val="%1."/>
      <w:numFmt w:val="decimal"/>
      <w:start w:val="1"/>
    </w:lvl>
  </w:abstractNum>
  <w:abstractNum w:abstractNumId="334">
    <w:nsid w:val="1112DBB6"/>
    <w:multiLevelType w:val="hybridMultilevel"/>
    <w:lvl w:ilvl="0">
      <w:lvlJc w:val="left"/>
      <w:lvlText w:val="%1."/>
      <w:numFmt w:val="decimal"/>
      <w:start w:val="2"/>
    </w:lvl>
  </w:abstractNum>
  <w:abstractNum w:abstractNumId="335">
    <w:nsid w:val="2586A498"/>
    <w:multiLevelType w:val="hybridMultilevel"/>
    <w:lvl w:ilvl="0">
      <w:lvlJc w:val="left"/>
      <w:lvlText w:val="1"/>
      <w:numFmt w:val="bullet"/>
      <w:start w:val="1"/>
    </w:lvl>
  </w:abstractNum>
  <w:abstractNum w:abstractNumId="336">
    <w:nsid w:val="17A03BB9"/>
    <w:multiLevelType w:val="hybridMultilevel"/>
    <w:lvl w:ilvl="0">
      <w:lvlJc w:val="left"/>
      <w:lvlText w:val="%1."/>
      <w:numFmt w:val="decimal"/>
      <w:start w:val="3"/>
    </w:lvl>
  </w:abstractNum>
  <w:abstractNum w:abstractNumId="337">
    <w:nsid w:val="5CA941"/>
    <w:multiLevelType w:val="hybridMultilevel"/>
    <w:lvl w:ilvl="0">
      <w:lvlJc w:val="left"/>
      <w:lvlText w:val="(%1)"/>
      <w:numFmt w:val="lowerLetter"/>
      <w:start w:val="1"/>
    </w:lvl>
  </w:abstractNum>
  <w:abstractNum w:abstractNumId="338">
    <w:nsid w:val="734C7D9F"/>
    <w:multiLevelType w:val="hybridMultilevel"/>
    <w:lvl w:ilvl="0">
      <w:lvlJc w:val="left"/>
      <w:lvlText w:val="%1."/>
      <w:numFmt w:val="decimal"/>
      <w:start w:val="4"/>
    </w:lvl>
  </w:abstractNum>
  <w:abstractNum w:abstractNumId="339">
    <w:nsid w:val="24F5D018"/>
    <w:multiLevelType w:val="hybridMultilevel"/>
    <w:lvl w:ilvl="0">
      <w:lvlJc w:val="left"/>
      <w:lvlText w:val="(%1)"/>
      <w:numFmt w:val="lowerLetter"/>
      <w:start w:val="1"/>
    </w:lvl>
  </w:abstractNum>
  <w:abstractNum w:abstractNumId="340">
    <w:nsid w:val="6780C122"/>
    <w:multiLevelType w:val="hybridMultilevel"/>
    <w:lvl w:ilvl="0">
      <w:lvlJc w:val="left"/>
      <w:lvlText w:val="(%1)"/>
      <w:numFmt w:val="lowerLetter"/>
      <w:start w:val="1"/>
    </w:lvl>
    <w:lvl w:ilvl="1">
      <w:lvlJc w:val="left"/>
      <w:lvlText w:val="["/>
      <w:numFmt w:val="bullet"/>
      <w:start w:val="1"/>
    </w:lvl>
  </w:abstractNum>
  <w:abstractNum w:abstractNumId="341">
    <w:nsid w:val="534347A8"/>
    <w:multiLevelType w:val="hybridMultilevel"/>
    <w:lvl w:ilvl="0">
      <w:lvlJc w:val="left"/>
      <w:lvlText w:val="%1."/>
      <w:numFmt w:val="decimal"/>
      <w:start w:val="5"/>
    </w:lvl>
    <w:lvl w:ilvl="1">
      <w:lvlJc w:val="left"/>
      <w:lvlText w:val="["/>
      <w:numFmt w:val="bullet"/>
      <w:start w:val="1"/>
    </w:lvl>
  </w:abstractNum>
  <w:abstractNum w:abstractNumId="342">
    <w:nsid w:val="5800E34B"/>
    <w:multiLevelType w:val="hybridMultilevel"/>
    <w:lvl w:ilvl="0">
      <w:lvlJc w:val="left"/>
      <w:lvlText w:val="(%1)"/>
      <w:numFmt w:val="lowerLetter"/>
      <w:start w:val="1"/>
    </w:lvl>
  </w:abstractNum>
  <w:abstractNum w:abstractNumId="343">
    <w:nsid w:val="1673EFC8"/>
    <w:multiLevelType w:val="hybridMultilevel"/>
    <w:lvl w:ilvl="0">
      <w:lvlJc w:val="left"/>
      <w:lvlText w:val="%1."/>
      <w:numFmt w:val="decimal"/>
      <w:start w:val="7"/>
    </w:lvl>
    <w:lvl w:ilvl="1">
      <w:lvlJc w:val="left"/>
      <w:lvlText w:val="(%2)"/>
      <w:numFmt w:val="lowerLetter"/>
      <w:start w:val="1"/>
    </w:lvl>
  </w:abstractNum>
  <w:abstractNum w:abstractNumId="344">
    <w:nsid w:val="5B9B1FD"/>
    <w:multiLevelType w:val="hybridMultilevel"/>
    <w:lvl w:ilvl="0">
      <w:lvlJc w:val="left"/>
      <w:lvlText w:val="(%1)"/>
      <w:numFmt w:val="decimal"/>
      <w:start w:val="415"/>
    </w:lvl>
  </w:abstractNum>
  <w:abstractNum w:abstractNumId="345">
    <w:nsid w:val="7AD7FCA2"/>
    <w:multiLevelType w:val="hybridMultilevel"/>
    <w:lvl w:ilvl="0">
      <w:lvlJc w:val="left"/>
      <w:lvlText w:val="(%1)"/>
      <w:numFmt w:val="lowerLetter"/>
      <w:start w:val="2"/>
    </w:lvl>
  </w:abstractNum>
  <w:abstractNum w:abstractNumId="346">
    <w:nsid w:val="63351604"/>
    <w:multiLevelType w:val="hybridMultilevel"/>
    <w:lvl w:ilvl="0">
      <w:lvlJc w:val="left"/>
      <w:lvlText w:val="["/>
      <w:numFmt w:val="bullet"/>
      <w:start w:val="1"/>
    </w:lvl>
  </w:abstractNum>
  <w:abstractNum w:abstractNumId="347">
    <w:nsid w:val="E759D1A"/>
    <w:multiLevelType w:val="hybridMultilevel"/>
    <w:lvl w:ilvl="0">
      <w:lvlJc w:val="left"/>
      <w:lvlText w:val="%1."/>
      <w:numFmt w:val="decimal"/>
      <w:start w:val="7"/>
    </w:lvl>
    <w:lvl w:ilvl="1">
      <w:lvlJc w:val="left"/>
      <w:lvlText w:val="%2."/>
      <w:numFmt w:val="upperLetter"/>
      <w:start w:val="9"/>
    </w:lvl>
    <w:lvl w:ilvl="2">
      <w:lvlJc w:val="left"/>
      <w:lvlText w:val="["/>
      <w:numFmt w:val="bullet"/>
      <w:start w:val="1"/>
    </w:lvl>
  </w:abstractNum>
  <w:abstractNum w:abstractNumId="348">
    <w:nsid w:val="6E3DEE90"/>
    <w:multiLevelType w:val="hybridMultilevel"/>
    <w:lvl w:ilvl="0">
      <w:lvlJc w:val="left"/>
      <w:lvlText w:val="(%1)"/>
      <w:numFmt w:val="lowerLetter"/>
      <w:start w:val="1"/>
    </w:lvl>
  </w:abstractNum>
  <w:abstractNum w:abstractNumId="349">
    <w:nsid w:val="1A8762F4"/>
    <w:multiLevelType w:val="hybridMultilevel"/>
    <w:lvl w:ilvl="0">
      <w:lvlJc w:val="left"/>
      <w:lvlText w:val="(%1)"/>
      <w:numFmt w:val="lowerLetter"/>
      <w:start w:val="6"/>
    </w:lvl>
  </w:abstractNum>
  <w:abstractNum w:abstractNumId="350">
    <w:nsid w:val="7F41D049"/>
    <w:multiLevelType w:val="hybridMultilevel"/>
    <w:lvl w:ilvl="0">
      <w:lvlJc w:val="left"/>
      <w:lvlText w:val="%1."/>
      <w:numFmt w:val="upperLetter"/>
      <w:start w:val="35"/>
    </w:lvl>
  </w:abstractNum>
  <w:abstractNum w:abstractNumId="351">
    <w:nsid w:val="449F66FE"/>
    <w:multiLevelType w:val="hybridMultilevel"/>
    <w:lvl w:ilvl="0">
      <w:lvlJc w:val="left"/>
      <w:lvlText w:val="%1"/>
      <w:numFmt w:val="decimal"/>
      <w:start w:val="1"/>
    </w:lvl>
    <w:lvl w:ilvl="1">
      <w:lvlJc w:val="left"/>
      <w:lvlText w:val="%2."/>
      <w:numFmt w:val="upperLetter"/>
      <w:start w:val="61"/>
    </w:lvl>
  </w:abstractNum>
  <w:abstractNum w:abstractNumId="352">
    <w:nsid w:val="557E0515"/>
    <w:multiLevelType w:val="hybridMultilevel"/>
    <w:lvl w:ilvl="0">
      <w:lvlJc w:val="left"/>
      <w:lvlText w:val="%1."/>
      <w:numFmt w:val="decimal"/>
      <w:start w:val="9"/>
    </w:lvl>
    <w:lvl w:ilvl="1">
      <w:lvlJc w:val="left"/>
      <w:lvlText w:val="%2"/>
      <w:numFmt w:val="upperLetter"/>
      <w:start w:val="1"/>
    </w:lvl>
  </w:abstractNum>
  <w:abstractNum w:abstractNumId="353">
    <w:nsid w:val="3BA0794B"/>
    <w:multiLevelType w:val="hybridMultilevel"/>
    <w:lvl w:ilvl="0">
      <w:lvlJc w:val="left"/>
      <w:lvlText w:val="(%1)"/>
      <w:numFmt w:val="lowerLetter"/>
      <w:start w:val="1"/>
    </w:lvl>
  </w:abstractNum>
  <w:abstractNum w:abstractNumId="354">
    <w:nsid w:val="6A0DCE48"/>
    <w:multiLevelType w:val="hybridMultilevel"/>
    <w:lvl w:ilvl="0">
      <w:lvlJc w:val="left"/>
      <w:lvlText w:val="(%1)"/>
      <w:numFmt w:val="lowerLetter"/>
      <w:start w:val="2"/>
    </w:lvl>
  </w:abstractNum>
  <w:abstractNum w:abstractNumId="355">
    <w:nsid w:val="7237AA96"/>
    <w:multiLevelType w:val="hybridMultilevel"/>
    <w:lvl w:ilvl="0">
      <w:lvlJc w:val="left"/>
      <w:lvlText w:val="2"/>
      <w:numFmt w:val="bullet"/>
      <w:start w:val="1"/>
    </w:lvl>
  </w:abstractNum>
  <w:abstractNum w:abstractNumId="356">
    <w:nsid w:val="5B1FBC2D"/>
    <w:multiLevelType w:val="hybridMultilevel"/>
    <w:lvl w:ilvl="0">
      <w:lvlJc w:val="left"/>
      <w:lvlText w:val="(%1)"/>
      <w:numFmt w:val="lowerLetter"/>
      <w:start w:val="3"/>
    </w:lvl>
    <w:lvl w:ilvl="1">
      <w:lvlJc w:val="left"/>
      <w:lvlText w:val="(%2)"/>
      <w:numFmt w:val="lowerRoman"/>
      <w:start w:val="1"/>
    </w:lvl>
  </w:abstractNum>
  <w:abstractNum w:abstractNumId="357">
    <w:nsid w:val="33DFCCE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lowerLetter"/>
      <w:start w:val="1"/>
    </w:lvl>
  </w:abstractNum>
  <w:abstractNum w:abstractNumId="358">
    <w:nsid w:val="18C45E15"/>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lvl w:ilvl="3">
      <w:lvlJc w:val="left"/>
      <w:lvlText w:val="(%4)"/>
      <w:numFmt w:val="lowerLetter"/>
      <w:start w:val="9"/>
    </w:lvl>
  </w:abstractNum>
  <w:abstractNum w:abstractNumId="359">
    <w:nsid w:val="6B431F2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25"/>
    </w:lvl>
  </w:abstractNum>
  <w:abstractNum w:abstractNumId="360">
    <w:nsid w:val="13CD8DCB"/>
    <w:multiLevelType w:val="hybridMultilevel"/>
    <w:lvl w:ilvl="0">
      <w:lvlJc w:val="left"/>
      <w:lvlText w:val="(%1)"/>
      <w:numFmt w:val="upperLetter"/>
      <w:start w:val="3"/>
    </w:lvl>
    <w:lvl w:ilvl="1">
      <w:lvlJc w:val="left"/>
      <w:lvlText w:val="(%2)"/>
      <w:numFmt w:val="lowerLetter"/>
      <w:start w:val="25"/>
    </w:lvl>
  </w:abstractNum>
  <w:abstractNum w:abstractNumId="361">
    <w:nsid w:val="563A1A5C"/>
    <w:multiLevelType w:val="hybridMultilevel"/>
    <w:lvl w:ilvl="0">
      <w:lvlJc w:val="left"/>
      <w:lvlText w:val="%1"/>
      <w:numFmt w:val="upperLetter"/>
      <w:start w:val="1"/>
    </w:lvl>
    <w:lvl w:ilvl="1">
      <w:lvlJc w:val="left"/>
      <w:lvlText w:val="(%2)"/>
      <w:numFmt w:val="lowerLetter"/>
      <w:start w:val="24"/>
    </w:lvl>
  </w:abstractNum>
  <w:abstractNum w:abstractNumId="362">
    <w:nsid w:val="2973F88F"/>
    <w:multiLevelType w:val="hybridMultilevel"/>
    <w:lvl w:ilvl="0">
      <w:lvlJc w:val="left"/>
      <w:lvlText w:val="(%1)"/>
      <w:numFmt w:val="upperLetter"/>
      <w:start w:val="7"/>
    </w:lvl>
    <w:lvl w:ilvl="1">
      <w:lvlJc w:val="left"/>
      <w:lvlText w:val="(%2)"/>
      <w:numFmt w:val="lowerLetter"/>
      <w:start w:val="24"/>
    </w:lvl>
  </w:abstractNum>
  <w:abstractNum w:abstractNumId="363">
    <w:nsid w:val="2C70EDAE"/>
    <w:multiLevelType w:val="hybridMultilevel"/>
    <w:lvl w:ilvl="0">
      <w:lvlJc w:val="left"/>
      <w:lvlText w:val="(%1)"/>
      <w:numFmt w:val="lowerRoman"/>
      <w:start w:val="2"/>
    </w:lvl>
    <w:lvl w:ilvl="1">
      <w:lvlJc w:val="left"/>
      <w:lvlText w:val="(%2)"/>
      <w:numFmt w:val="upperLetter"/>
      <w:start w:val="1"/>
    </w:lvl>
  </w:abstractNum>
  <w:abstractNum w:abstractNumId="364">
    <w:nsid w:val="44296C6D"/>
    <w:multiLevelType w:val="hybridMultilevel"/>
    <w:lvl w:ilvl="0">
      <w:lvlJc w:val="left"/>
      <w:lvlText w:val="(%1)"/>
      <w:numFmt w:val="upperLetter"/>
      <w:start w:val="2"/>
    </w:lvl>
  </w:abstractNum>
  <w:abstractNum w:abstractNumId="365">
    <w:nsid w:val="3A86D445"/>
    <w:multiLevelType w:val="hybridMultilevel"/>
    <w:lvl w:ilvl="0">
      <w:lvlJc w:val="left"/>
      <w:lvlText w:val="(%1)"/>
      <w:numFmt w:val="upperLetter"/>
      <w:start w:val="6"/>
    </w:lvl>
  </w:abstractNum>
  <w:abstractNum w:abstractNumId="366">
    <w:nsid w:val="51F79246"/>
    <w:multiLevelType w:val="hybridMultilevel"/>
    <w:lvl w:ilvl="0">
      <w:lvlJc w:val="left"/>
      <w:lvlText w:val="(%1)"/>
      <w:numFmt w:val="lowerRoman"/>
      <w:start w:val="3"/>
    </w:lvl>
  </w:abstractNum>
  <w:abstractNum w:abstractNumId="367">
    <w:nsid w:val="5BC9A827"/>
    <w:multiLevelType w:val="hybridMultilevel"/>
    <w:lvl w:ilvl="0">
      <w:lvlJc w:val="left"/>
      <w:lvlText w:val="(%1)"/>
      <w:numFmt w:val="lowerLetter"/>
      <w:start w:val="8"/>
    </w:lvl>
  </w:abstractNum>
  <w:abstractNum w:abstractNumId="368">
    <w:nsid w:val="3AE37D86"/>
    <w:multiLevelType w:val="hybridMultilevel"/>
    <w:lvl w:ilvl="0">
      <w:lvlJc w:val="left"/>
      <w:lvlText w:val="(%1)"/>
      <w:numFmt w:val="lowerLetter"/>
      <w:start w:val="10"/>
    </w:lvl>
  </w:abstractNum>
  <w:abstractNum w:abstractNumId="369">
    <w:nsid w:val="45440FE5"/>
    <w:multiLevelType w:val="hybridMultilevel"/>
    <w:lvl w:ilvl="0">
      <w:lvlJc w:val="left"/>
      <w:lvlText w:val="(%1)"/>
      <w:numFmt w:val="lowerRoman"/>
      <w:start w:val="1"/>
    </w:lvl>
  </w:abstractNum>
  <w:abstractNum w:abstractNumId="370">
    <w:nsid w:val="BF783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371">
    <w:nsid w:val="22643EA9"/>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372">
    <w:nsid w:val="1887578D"/>
    <w:multiLevelType w:val="hybridMultilevel"/>
    <w:lvl w:ilvl="0">
      <w:lvlJc w:val="left"/>
      <w:lvlText w:val="(%1)"/>
      <w:numFmt w:val="lowerLetter"/>
      <w:start w:val="11"/>
    </w:lvl>
    <w:lvl w:ilvl="1">
      <w:lvlJc w:val="left"/>
      <w:lvlText w:val="%2"/>
      <w:numFmt w:val="lowerRoman"/>
      <w:start w:val="1"/>
    </w:lvl>
    <w:lvl w:ilvl="2">
      <w:lvlJc w:val="left"/>
      <w:lvlText w:val="%3"/>
      <w:numFmt w:val="lowerLetter"/>
      <w:start w:val="1"/>
    </w:lvl>
  </w:abstractNum>
  <w:abstractNum w:abstractNumId="373">
    <w:nsid w:val="58C05B8A"/>
    <w:multiLevelType w:val="hybridMultilevel"/>
    <w:lvl w:ilvl="0">
      <w:lvlJc w:val="left"/>
      <w:lvlText w:val="(%1)"/>
      <w:numFmt w:val="lowerLetter"/>
      <w:start w:val="11"/>
    </w:lvl>
    <w:lvl w:ilvl="1">
      <w:lvlJc w:val="left"/>
      <w:lvlText w:val="["/>
      <w:numFmt w:val="bullet"/>
      <w:start w:val="1"/>
    </w:lvl>
  </w:abstractNum>
  <w:abstractNum w:abstractNumId="374">
    <w:nsid w:val="38D82E71"/>
    <w:multiLevelType w:val="hybridMultilevel"/>
    <w:lvl w:ilvl="0">
      <w:lvlJc w:val="left"/>
      <w:lvlText w:val="(%1)"/>
      <w:numFmt w:val="lowerRoman"/>
      <w:start w:val="1"/>
    </w:lvl>
  </w:abstractNum>
  <w:abstractNum w:abstractNumId="375">
    <w:nsid w:val="1E41098A"/>
    <w:multiLevelType w:val="hybridMultilevel"/>
    <w:lvl w:ilvl="0">
      <w:lvlJc w:val="left"/>
      <w:lvlText w:val="3"/>
      <w:numFmt w:val="bullet"/>
      <w:start w:val="1"/>
    </w:lvl>
  </w:abstractNum>
  <w:abstractNum w:abstractNumId="376">
    <w:nsid w:val="5398582C"/>
    <w:multiLevelType w:val="hybridMultilevel"/>
    <w:lvl w:ilvl="0">
      <w:lvlJc w:val="left"/>
      <w:lvlText w:val="4"/>
      <w:numFmt w:val="bullet"/>
      <w:start w:val="1"/>
    </w:lvl>
  </w:abstractNum>
  <w:abstractNum w:abstractNumId="377">
    <w:nsid w:val="1C0D447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2"/>
    </w:lvl>
  </w:abstractNum>
  <w:abstractNum w:abstractNumId="378">
    <w:nsid w:val="2CB6A6A4"/>
    <w:multiLevelType w:val="hybridMultilevel"/>
    <w:lvl w:ilvl="0">
      <w:lvlJc w:val="left"/>
      <w:lvlText w:val="(%1)"/>
      <w:numFmt w:val="lowerLetter"/>
      <w:start w:val="16"/>
    </w:lvl>
    <w:lvl w:ilvl="1">
      <w:lvlJc w:val="left"/>
      <w:lvlText w:val="%2"/>
      <w:numFmt w:val="lowerLetter"/>
      <w:start w:val="1"/>
    </w:lvl>
    <w:lvl w:ilvl="2">
      <w:lvlJc w:val="left"/>
      <w:lvlText w:val="%3"/>
      <w:numFmt w:val="upperLetter"/>
      <w:start w:val="1"/>
    </w:lvl>
  </w:abstractNum>
  <w:abstractNum w:abstractNumId="379">
    <w:nsid w:val="41D646BC"/>
    <w:multiLevelType w:val="hybridMultilevel"/>
    <w:lvl w:ilvl="0">
      <w:lvlJc w:val="left"/>
      <w:lvlText w:val="(%1)"/>
      <w:numFmt w:val="lowerLetter"/>
      <w:start w:val="17"/>
    </w:lvl>
  </w:abstractNum>
  <w:abstractNum w:abstractNumId="380">
    <w:nsid w:val="3694A76A"/>
    <w:multiLevelType w:val="hybridMultilevel"/>
    <w:lvl w:ilvl="0">
      <w:lvlJc w:val="left"/>
      <w:lvlText w:val="(%1)"/>
      <w:numFmt w:val="lowerLetter"/>
      <w:start w:val="19"/>
    </w:lvl>
  </w:abstractNum>
  <w:abstractNum w:abstractNumId="381">
    <w:nsid w:val="2BF876EE"/>
    <w:multiLevelType w:val="hybridMultilevel"/>
    <w:lvl w:ilvl="0">
      <w:lvlJc w:val="left"/>
      <w:lvlText w:val="5"/>
      <w:numFmt w:val="bullet"/>
      <w:start w:val="1"/>
    </w:lvl>
  </w:abstractNum>
  <w:abstractNum w:abstractNumId="382">
    <w:nsid w:val="675ADBA"/>
    <w:multiLevelType w:val="hybridMultilevel"/>
    <w:lvl w:ilvl="0">
      <w:lvlJc w:val="left"/>
      <w:lvlText w:val="6"/>
      <w:numFmt w:val="bullet"/>
      <w:start w:val="1"/>
    </w:lvl>
  </w:abstractNum>
  <w:abstractNum w:abstractNumId="383">
    <w:nsid w:val="C12AC7F"/>
    <w:multiLevelType w:val="hybridMultilevel"/>
    <w:lvl w:ilvl="0">
      <w:lvlJc w:val="left"/>
      <w:lvlText w:val="(%1)"/>
      <w:numFmt w:val="lowerLetter"/>
      <w:start w:val="23"/>
    </w:lvl>
    <w:lvl w:ilvl="1">
      <w:lvlJc w:val="left"/>
      <w:lvlText w:val="(%2)"/>
      <w:numFmt w:val="lowerLetter"/>
      <w:start w:val="9"/>
    </w:lvl>
  </w:abstractNum>
  <w:abstractNum w:abstractNumId="384">
    <w:nsid w:val="6798F039"/>
    <w:multiLevelType w:val="hybridMultilevel"/>
    <w:lvl w:ilvl="0">
      <w:lvlJc w:val="left"/>
      <w:lvlText w:val="(%1)"/>
      <w:numFmt w:val="lowerRoman"/>
      <w:start w:val="2"/>
    </w:lvl>
  </w:abstractNum>
  <w:abstractNum w:abstractNumId="385">
    <w:nsid w:val="70837C02"/>
    <w:multiLevelType w:val="hybridMultilevel"/>
    <w:lvl w:ilvl="0">
      <w:lvlJc w:val="left"/>
      <w:lvlText w:val="7"/>
      <w:numFmt w:val="bullet"/>
      <w:start w:val="1"/>
    </w:lvl>
  </w:abstractNum>
  <w:abstractNum w:abstractNumId="386">
    <w:nsid w:val="7E4A5715"/>
    <w:multiLevelType w:val="hybridMultilevel"/>
    <w:lvl w:ilvl="0">
      <w:lvlJc w:val="left"/>
      <w:lvlText w:val="%1"/>
      <w:numFmt w:val="lowerLetter"/>
      <w:start w:val="1"/>
    </w:lvl>
    <w:lvl w:ilvl="1">
      <w:lvlJc w:val="left"/>
      <w:lvlText w:val="(%2)"/>
      <w:numFmt w:val="lowerRoman"/>
      <w:start w:val="4"/>
    </w:lvl>
  </w:abstractNum>
  <w:abstractNum w:abstractNumId="387">
    <w:nsid w:val="42B8AC67"/>
    <w:multiLevelType w:val="hybridMultilevel"/>
    <w:lvl w:ilvl="0">
      <w:lvlJc w:val="left"/>
      <w:lvlText w:val="(%1)"/>
      <w:numFmt w:val="lowerLetter"/>
      <w:start w:val="27"/>
    </w:lvl>
    <w:lvl w:ilvl="1">
      <w:lvlJc w:val="left"/>
      <w:lvlText w:val="%2"/>
      <w:numFmt w:val="lowerRoman"/>
      <w:start w:val="1"/>
    </w:lvl>
  </w:abstractNum>
  <w:abstractNum w:abstractNumId="388">
    <w:nsid w:val="246348EA"/>
    <w:multiLevelType w:val="hybridMultilevel"/>
    <w:lvl w:ilvl="0">
      <w:lvlJc w:val="left"/>
      <w:lvlText w:val="(%1)"/>
      <w:numFmt w:val="decimal"/>
      <w:start w:val="415"/>
    </w:lvl>
  </w:abstractNum>
  <w:abstractNum w:abstractNumId="389">
    <w:nsid w:val="170EB52B"/>
    <w:multiLevelType w:val="hybridMultilevel"/>
    <w:lvl w:ilvl="0">
      <w:lvlJc w:val="left"/>
      <w:lvlText w:val="%1."/>
      <w:numFmt w:val="decimal"/>
      <w:start w:val="1"/>
    </w:lvl>
  </w:abstractNum>
  <w:abstractNum w:abstractNumId="390">
    <w:nsid w:val="2DFBCB8C"/>
    <w:multiLevelType w:val="hybridMultilevel"/>
    <w:lvl w:ilvl="0">
      <w:lvlJc w:val="left"/>
      <w:lvlText w:val="%1."/>
      <w:numFmt w:val="decimal"/>
      <w:start w:val="2"/>
    </w:lvl>
  </w:abstractNum>
  <w:abstractNum w:abstractNumId="391">
    <w:nsid w:val="3830D6B6"/>
    <w:multiLevelType w:val="hybridMultilevel"/>
    <w:lvl w:ilvl="0">
      <w:lvlJc w:val="left"/>
      <w:lvlText w:val="1"/>
      <w:numFmt w:val="bullet"/>
      <w:start w:val="1"/>
    </w:lvl>
  </w:abstractNum>
  <w:abstractNum w:abstractNumId="392">
    <w:nsid w:val="6D48CF87"/>
    <w:multiLevelType w:val="hybridMultilevel"/>
    <w:lvl w:ilvl="0">
      <w:lvlJc w:val="left"/>
      <w:lvlText w:val="%1."/>
      <w:numFmt w:val="decimal"/>
      <w:start w:val="3"/>
    </w:lvl>
  </w:abstractNum>
  <w:abstractNum w:abstractNumId="393">
    <w:nsid w:val="576FC41B"/>
    <w:multiLevelType w:val="hybridMultilevel"/>
    <w:lvl w:ilvl="0">
      <w:lvlJc w:val="left"/>
      <w:lvlText w:val="(%1)"/>
      <w:numFmt w:val="lowerLetter"/>
      <w:start w:val="1"/>
    </w:lvl>
  </w:abstractNum>
  <w:abstractNum w:abstractNumId="394">
    <w:nsid w:val="64A1C464"/>
    <w:multiLevelType w:val="hybridMultilevel"/>
    <w:lvl w:ilvl="0">
      <w:lvlJc w:val="left"/>
      <w:lvlText w:val="%1."/>
      <w:numFmt w:val="decimal"/>
      <w:start w:val="4"/>
    </w:lvl>
  </w:abstractNum>
  <w:abstractNum w:abstractNumId="395">
    <w:nsid w:val="31723BF5"/>
    <w:multiLevelType w:val="hybridMultilevel"/>
    <w:lvl w:ilvl="0">
      <w:lvlJc w:val="left"/>
      <w:lvlText w:val="(%1)"/>
      <w:numFmt w:val="lowerLetter"/>
      <w:start w:val="1"/>
    </w:lvl>
  </w:abstractNum>
  <w:abstractNum w:abstractNumId="396">
    <w:nsid w:val="11F69861"/>
    <w:multiLevelType w:val="hybridMultilevel"/>
    <w:lvl w:ilvl="0">
      <w:lvlJc w:val="left"/>
      <w:lvlText w:val="(%1)"/>
      <w:numFmt w:val="lowerLetter"/>
      <w:start w:val="1"/>
    </w:lvl>
    <w:lvl w:ilvl="1">
      <w:lvlJc w:val="left"/>
      <w:lvlText w:val="["/>
      <w:numFmt w:val="bullet"/>
      <w:start w:val="1"/>
    </w:lvl>
  </w:abstractNum>
  <w:abstractNum w:abstractNumId="397">
    <w:nsid w:val="369956A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98">
    <w:nsid w:val="D3BE41C"/>
    <w:multiLevelType w:val="hybridMultilevel"/>
    <w:lvl w:ilvl="0">
      <w:lvlJc w:val="left"/>
      <w:lvlText w:val="%1."/>
      <w:numFmt w:val="decimal"/>
      <w:start w:val="7"/>
    </w:lvl>
    <w:lvl w:ilvl="1">
      <w:lvlJc w:val="left"/>
      <w:lvlText w:val="(%2)"/>
      <w:numFmt w:val="lowerLetter"/>
      <w:start w:val="1"/>
    </w:lvl>
  </w:abstractNum>
  <w:abstractNum w:abstractNumId="399">
    <w:nsid w:val="4CDA15E7"/>
    <w:multiLevelType w:val="hybridMultilevel"/>
    <w:lvl w:ilvl="0">
      <w:lvlJc w:val="left"/>
      <w:lvlText w:val="%1"/>
      <w:numFmt w:val="lowerLetter"/>
      <w:start w:val="1"/>
    </w:lvl>
    <w:lvl w:ilvl="1">
      <w:lvlJc w:val="left"/>
      <w:lvlText w:val="(%2)"/>
      <w:numFmt w:val="decimal"/>
      <w:start w:val="415"/>
    </w:lvl>
  </w:abstractNum>
  <w:abstractNum w:abstractNumId="400">
    <w:nsid w:val="7BDD6690"/>
    <w:multiLevelType w:val="hybridMultilevel"/>
    <w:lvl w:ilvl="0">
      <w:lvlJc w:val="left"/>
      <w:lvlText w:val="(%1)"/>
      <w:numFmt w:val="lowerLetter"/>
      <w:start w:val="2"/>
    </w:lvl>
    <w:lvl w:ilvl="1">
      <w:lvlJc w:val="left"/>
      <w:lvlText w:val="%2"/>
      <w:numFmt w:val="decimal"/>
      <w:start w:val="1"/>
    </w:lvl>
  </w:abstractNum>
  <w:abstractNum w:abstractNumId="401">
    <w:nsid w:val="DFB5C5B"/>
    <w:multiLevelType w:val="hybridMultilevel"/>
    <w:lvl w:ilvl="0">
      <w:lvlJc w:val="left"/>
      <w:lvlText w:val="%1."/>
      <w:numFmt w:val="decimal"/>
      <w:start w:val="7"/>
    </w:lvl>
    <w:lvl w:ilvl="1">
      <w:lvlJc w:val="left"/>
      <w:lvlText w:val="%2."/>
      <w:numFmt w:val="upperLetter"/>
      <w:start w:val="9"/>
    </w:lvl>
    <w:lvl w:ilvl="2">
      <w:lvlJc w:val="left"/>
      <w:lvlText w:val="["/>
      <w:numFmt w:val="bullet"/>
      <w:start w:val="1"/>
    </w:lvl>
  </w:abstractNum>
  <w:abstractNum w:abstractNumId="402">
    <w:nsid w:val="6F3E5490"/>
    <w:multiLevelType w:val="hybridMultilevel"/>
    <w:lvl w:ilvl="0">
      <w:lvlJc w:val="left"/>
      <w:lvlText w:val="(%1)"/>
      <w:numFmt w:val="lowerLetter"/>
      <w:start w:val="1"/>
    </w:lvl>
  </w:abstractNum>
  <w:abstractNum w:abstractNumId="403">
    <w:nsid w:val="1464BE1E"/>
    <w:multiLevelType w:val="hybridMultilevel"/>
    <w:lvl w:ilvl="0">
      <w:lvlJc w:val="left"/>
      <w:lvlText w:val="(%1)"/>
      <w:numFmt w:val="lowerLetter"/>
      <w:start w:val="6"/>
    </w:lvl>
  </w:abstractNum>
  <w:abstractNum w:abstractNumId="404">
    <w:nsid w:val="66BBB7E5"/>
    <w:multiLevelType w:val="hybridMultilevel"/>
    <w:lvl w:ilvl="0">
      <w:lvlJc w:val="left"/>
      <w:lvlText w:val="%1."/>
      <w:numFmt w:val="upperLetter"/>
      <w:start w:val="35"/>
    </w:lvl>
  </w:abstractNum>
  <w:abstractNum w:abstractNumId="405">
    <w:nsid w:val="28168302"/>
    <w:multiLevelType w:val="hybridMultilevel"/>
    <w:lvl w:ilvl="0">
      <w:lvlJc w:val="left"/>
      <w:lvlText w:val="%1"/>
      <w:numFmt w:val="decimal"/>
      <w:start w:val="1"/>
    </w:lvl>
    <w:lvl w:ilvl="1">
      <w:lvlJc w:val="left"/>
      <w:lvlText w:val="%2."/>
      <w:numFmt w:val="upperLetter"/>
      <w:start w:val="61"/>
    </w:lvl>
  </w:abstractNum>
  <w:abstractNum w:abstractNumId="406">
    <w:nsid w:val="32A5C7A8"/>
    <w:multiLevelType w:val="hybridMultilevel"/>
    <w:lvl w:ilvl="0">
      <w:lvlJc w:val="left"/>
      <w:lvlText w:val="%1."/>
      <w:numFmt w:val="decimal"/>
      <w:start w:val="9"/>
    </w:lvl>
    <w:lvl w:ilvl="1">
      <w:lvlJc w:val="left"/>
      <w:lvlText w:val="%2"/>
      <w:numFmt w:val="upperLetter"/>
      <w:start w:val="1"/>
    </w:lvl>
  </w:abstractNum>
  <w:abstractNum w:abstractNumId="407">
    <w:nsid w:val="3A541011"/>
    <w:multiLevelType w:val="hybridMultilevel"/>
    <w:lvl w:ilvl="0">
      <w:lvlJc w:val="left"/>
      <w:lvlText w:val="(%1)"/>
      <w:numFmt w:val="lowerLetter"/>
      <w:start w:val="1"/>
    </w:lvl>
  </w:abstractNum>
  <w:abstractNum w:abstractNumId="408">
    <w:nsid w:val="4423C777"/>
    <w:multiLevelType w:val="hybridMultilevel"/>
    <w:lvl w:ilvl="0">
      <w:lvlJc w:val="left"/>
      <w:lvlText w:val="(%1)"/>
      <w:numFmt w:val="lowerLetter"/>
      <w:start w:val="2"/>
    </w:lvl>
  </w:abstractNum>
  <w:abstractNum w:abstractNumId="409">
    <w:nsid w:val="5F5C6E4D"/>
    <w:multiLevelType w:val="hybridMultilevel"/>
    <w:lvl w:ilvl="0">
      <w:lvlJc w:val="left"/>
      <w:lvlText w:val="2"/>
      <w:numFmt w:val="bullet"/>
      <w:start w:val="1"/>
    </w:lvl>
  </w:abstractNum>
  <w:abstractNum w:abstractNumId="410">
    <w:nsid w:val="7C2A56CD"/>
    <w:multiLevelType w:val="hybridMultilevel"/>
    <w:lvl w:ilvl="0">
      <w:lvlJc w:val="left"/>
      <w:lvlText w:val="(%1)"/>
      <w:numFmt w:val="lowerLetter"/>
      <w:start w:val="3"/>
    </w:lvl>
    <w:lvl w:ilvl="1">
      <w:lvlJc w:val="left"/>
      <w:lvlText w:val="(%2)"/>
      <w:numFmt w:val="lowerRoman"/>
      <w:start w:val="1"/>
    </w:lvl>
  </w:abstractNum>
  <w:abstractNum w:abstractNumId="411">
    <w:nsid w:val="7AB86EE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lowerLetter"/>
      <w:start w:val="1"/>
    </w:lvl>
  </w:abstractNum>
  <w:abstractNum w:abstractNumId="412">
    <w:nsid w:val="B54E53B"/>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lvl w:ilvl="3">
      <w:lvlJc w:val="left"/>
      <w:lvlText w:val="(%4)"/>
      <w:numFmt w:val="lowerLetter"/>
      <w:start w:val="9"/>
    </w:lvl>
  </w:abstractNum>
  <w:abstractNum w:abstractNumId="413">
    <w:nsid w:val="2A0048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25"/>
    </w:lvl>
  </w:abstractNum>
  <w:abstractNum w:abstractNumId="414">
    <w:nsid w:val="6CB1B60"/>
    <w:multiLevelType w:val="hybridMultilevel"/>
    <w:lvl w:ilvl="0">
      <w:lvlJc w:val="left"/>
      <w:lvlText w:val="(%1)"/>
      <w:numFmt w:val="upperLetter"/>
      <w:start w:val="3"/>
    </w:lvl>
    <w:lvl w:ilvl="1">
      <w:lvlJc w:val="left"/>
      <w:lvlText w:val="(%2)"/>
      <w:numFmt w:val="lowerLetter"/>
      <w:start w:val="25"/>
    </w:lvl>
  </w:abstractNum>
  <w:abstractNum w:abstractNumId="415">
    <w:nsid w:val="72EDD574"/>
    <w:multiLevelType w:val="hybridMultilevel"/>
    <w:lvl w:ilvl="0">
      <w:lvlJc w:val="left"/>
      <w:lvlText w:val="%1"/>
      <w:numFmt w:val="upperLetter"/>
      <w:start w:val="1"/>
    </w:lvl>
    <w:lvl w:ilvl="1">
      <w:lvlJc w:val="left"/>
      <w:lvlText w:val="(%2)"/>
      <w:numFmt w:val="lowerLetter"/>
      <w:start w:val="24"/>
    </w:lvl>
  </w:abstractNum>
  <w:abstractNum w:abstractNumId="416">
    <w:nsid w:val="7323808A"/>
    <w:multiLevelType w:val="hybridMultilevel"/>
    <w:lvl w:ilvl="0">
      <w:lvlJc w:val="left"/>
      <w:lvlText w:val="(%1)"/>
      <w:numFmt w:val="upperLetter"/>
      <w:start w:val="7"/>
    </w:lvl>
    <w:lvl w:ilvl="1">
      <w:lvlJc w:val="left"/>
      <w:lvlText w:val="(%2)"/>
      <w:numFmt w:val="lowerLetter"/>
      <w:start w:val="24"/>
    </w:lvl>
  </w:abstractNum>
  <w:abstractNum w:abstractNumId="417">
    <w:nsid w:val="5157276"/>
    <w:multiLevelType w:val="hybridMultilevel"/>
    <w:lvl w:ilvl="0">
      <w:lvlJc w:val="left"/>
      <w:lvlText w:val="(%1)"/>
      <w:numFmt w:val="lowerRoman"/>
      <w:start w:val="2"/>
    </w:lvl>
    <w:lvl w:ilvl="1">
      <w:lvlJc w:val="left"/>
      <w:lvlText w:val="(%2)"/>
      <w:numFmt w:val="upperLetter"/>
      <w:start w:val="1"/>
    </w:lvl>
  </w:abstractNum>
  <w:abstractNum w:abstractNumId="418">
    <w:nsid w:val="35A681DB"/>
    <w:multiLevelType w:val="hybridMultilevel"/>
    <w:lvl w:ilvl="0">
      <w:lvlJc w:val="left"/>
      <w:lvlText w:val="(%1)"/>
      <w:numFmt w:val="upperLetter"/>
      <w:start w:val="2"/>
    </w:lvl>
  </w:abstractNum>
  <w:abstractNum w:abstractNumId="419">
    <w:nsid w:val="1786C974"/>
    <w:multiLevelType w:val="hybridMultilevel"/>
    <w:lvl w:ilvl="0">
      <w:lvlJc w:val="left"/>
      <w:lvlText w:val="(%1)"/>
      <w:numFmt w:val="upperLetter"/>
      <w:start w:val="6"/>
    </w:lvl>
  </w:abstractNum>
  <w:abstractNum w:abstractNumId="420">
    <w:nsid w:val="1C2427A1"/>
    <w:multiLevelType w:val="hybridMultilevel"/>
    <w:lvl w:ilvl="0">
      <w:lvlJc w:val="left"/>
      <w:lvlText w:val="(%1)"/>
      <w:numFmt w:val="lowerRoman"/>
      <w:start w:val="3"/>
    </w:lvl>
  </w:abstractNum>
  <w:abstractNum w:abstractNumId="421">
    <w:nsid w:val="63A24D68"/>
    <w:multiLevelType w:val="hybridMultilevel"/>
    <w:lvl w:ilvl="0">
      <w:lvlJc w:val="left"/>
      <w:lvlText w:val="(%1)"/>
      <w:numFmt w:val="lowerLetter"/>
      <w:start w:val="8"/>
    </w:lvl>
  </w:abstractNum>
  <w:abstractNum w:abstractNumId="422">
    <w:nsid w:val="4FB7A02A"/>
    <w:multiLevelType w:val="hybridMultilevel"/>
    <w:lvl w:ilvl="0">
      <w:lvlJc w:val="left"/>
      <w:lvlText w:val="(%1)"/>
      <w:numFmt w:val="lowerLetter"/>
      <w:start w:val="10"/>
    </w:lvl>
  </w:abstractNum>
  <w:abstractNum w:abstractNumId="423">
    <w:nsid w:val="96CF728"/>
    <w:multiLevelType w:val="hybridMultilevel"/>
    <w:lvl w:ilvl="0">
      <w:lvlJc w:val="left"/>
      <w:lvlText w:val="(%1)"/>
      <w:numFmt w:val="lowerRoman"/>
      <w:start w:val="1"/>
    </w:lvl>
  </w:abstractNum>
  <w:abstractNum w:abstractNumId="424">
    <w:nsid w:val="3B12118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425">
    <w:nsid w:val="3459648F"/>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426">
    <w:nsid w:val="3ADF331D"/>
    <w:multiLevelType w:val="hybridMultilevel"/>
    <w:lvl w:ilvl="0">
      <w:lvlJc w:val="left"/>
      <w:lvlText w:val="(%1)"/>
      <w:numFmt w:val="lowerLetter"/>
      <w:start w:val="11"/>
    </w:lvl>
    <w:lvl w:ilvl="1">
      <w:lvlJc w:val="left"/>
      <w:lvlText w:val="%2"/>
      <w:numFmt w:val="lowerRoman"/>
      <w:start w:val="1"/>
    </w:lvl>
    <w:lvl w:ilvl="2">
      <w:lvlJc w:val="left"/>
      <w:lvlText w:val="%3"/>
      <w:numFmt w:val="lowerLetter"/>
      <w:start w:val="1"/>
    </w:lvl>
  </w:abstractNum>
  <w:abstractNum w:abstractNumId="427">
    <w:nsid w:val="4D08A9E4"/>
    <w:multiLevelType w:val="hybridMultilevel"/>
    <w:lvl w:ilvl="0">
      <w:lvlJc w:val="left"/>
      <w:lvlText w:val="(%1)"/>
      <w:numFmt w:val="lowerLetter"/>
      <w:start w:val="11"/>
    </w:lvl>
    <w:lvl w:ilvl="1">
      <w:lvlJc w:val="left"/>
      <w:lvlText w:val="["/>
      <w:numFmt w:val="bullet"/>
      <w:start w:val="1"/>
    </w:lvl>
  </w:abstractNum>
  <w:abstractNum w:abstractNumId="428">
    <w:nsid w:val="6AF2BB3A"/>
    <w:multiLevelType w:val="hybridMultilevel"/>
    <w:lvl w:ilvl="0">
      <w:lvlJc w:val="left"/>
      <w:lvlText w:val="(%1)"/>
      <w:numFmt w:val="lowerRoman"/>
      <w:start w:val="1"/>
    </w:lvl>
  </w:abstractNum>
  <w:abstractNum w:abstractNumId="429">
    <w:nsid w:val="481B1739"/>
    <w:multiLevelType w:val="hybridMultilevel"/>
    <w:lvl w:ilvl="0">
      <w:lvlJc w:val="left"/>
      <w:lvlText w:val="3"/>
      <w:numFmt w:val="bullet"/>
      <w:start w:val="1"/>
    </w:lvl>
  </w:abstractNum>
  <w:abstractNum w:abstractNumId="430">
    <w:nsid w:val="19E2BFCC"/>
    <w:multiLevelType w:val="hybridMultilevel"/>
    <w:lvl w:ilvl="0">
      <w:lvlJc w:val="left"/>
      <w:lvlText w:val="4"/>
      <w:numFmt w:val="bullet"/>
      <w:start w:val="1"/>
    </w:lvl>
  </w:abstractNum>
  <w:abstractNum w:abstractNumId="431">
    <w:nsid w:val="66D021C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2"/>
    </w:lvl>
  </w:abstractNum>
  <w:abstractNum w:abstractNumId="432">
    <w:nsid w:val="56167394"/>
    <w:multiLevelType w:val="hybridMultilevel"/>
    <w:lvl w:ilvl="0">
      <w:lvlJc w:val="left"/>
      <w:lvlText w:val="(%1)"/>
      <w:numFmt w:val="lowerLetter"/>
      <w:start w:val="16"/>
    </w:lvl>
    <w:lvl w:ilvl="1">
      <w:lvlJc w:val="left"/>
      <w:lvlText w:val="%2"/>
      <w:numFmt w:val="lowerLetter"/>
      <w:start w:val="1"/>
    </w:lvl>
    <w:lvl w:ilvl="2">
      <w:lvlJc w:val="left"/>
      <w:lvlText w:val="%3"/>
      <w:numFmt w:val="upperLetter"/>
      <w:start w:val="1"/>
    </w:lvl>
  </w:abstractNum>
  <w:abstractNum w:abstractNumId="433">
    <w:nsid w:val="921145C"/>
    <w:multiLevelType w:val="hybridMultilevel"/>
    <w:lvl w:ilvl="0">
      <w:lvlJc w:val="left"/>
      <w:lvlText w:val="(%1)"/>
      <w:numFmt w:val="lowerLetter"/>
      <w:start w:val="17"/>
    </w:lvl>
  </w:abstractNum>
  <w:abstractNum w:abstractNumId="434">
    <w:nsid w:val="7B34DFE8"/>
    <w:multiLevelType w:val="hybridMultilevel"/>
    <w:lvl w:ilvl="0">
      <w:lvlJc w:val="left"/>
      <w:lvlText w:val="(%1)"/>
      <w:numFmt w:val="lowerLetter"/>
      <w:start w:val="19"/>
    </w:lvl>
  </w:abstractNum>
  <w:abstractNum w:abstractNumId="435">
    <w:nsid w:val="3CD22B79"/>
    <w:multiLevelType w:val="hybridMultilevel"/>
    <w:lvl w:ilvl="0">
      <w:lvlJc w:val="left"/>
      <w:lvlText w:val="5"/>
      <w:numFmt w:val="bullet"/>
      <w:start w:val="1"/>
    </w:lvl>
  </w:abstractNum>
  <w:abstractNum w:abstractNumId="436">
    <w:nsid w:val="3137975E"/>
    <w:multiLevelType w:val="hybridMultilevel"/>
    <w:lvl w:ilvl="0">
      <w:lvlJc w:val="left"/>
      <w:lvlText w:val="6"/>
      <w:numFmt w:val="bullet"/>
      <w:start w:val="1"/>
    </w:lvl>
  </w:abstractNum>
  <w:abstractNum w:abstractNumId="437">
    <w:nsid w:val="2DDAA791"/>
    <w:multiLevelType w:val="hybridMultilevel"/>
    <w:lvl w:ilvl="0">
      <w:lvlJc w:val="left"/>
      <w:lvlText w:val="(%1)"/>
      <w:numFmt w:val="lowerLetter"/>
      <w:start w:val="23"/>
    </w:lvl>
    <w:lvl w:ilvl="1">
      <w:lvlJc w:val="left"/>
      <w:lvlText w:val="(%2)"/>
      <w:numFmt w:val="lowerRoman"/>
      <w:start w:val="1"/>
    </w:lvl>
  </w:abstractNum>
  <w:abstractNum w:abstractNumId="438">
    <w:nsid w:val="77263B8A"/>
    <w:multiLevelType w:val="hybridMultilevel"/>
    <w:lvl w:ilvl="0">
      <w:lvlJc w:val="left"/>
      <w:lvlText w:val="7"/>
      <w:numFmt w:val="bullet"/>
      <w:start w:val="1"/>
    </w:lvl>
  </w:abstractNum>
  <w:abstractNum w:abstractNumId="439">
    <w:nsid w:val="755B5ED6"/>
    <w:multiLevelType w:val="hybridMultilevel"/>
    <w:lvl w:ilvl="0">
      <w:lvlJc w:val="left"/>
      <w:lvlText w:val="%1"/>
      <w:numFmt w:val="lowerLetter"/>
      <w:start w:val="1"/>
    </w:lvl>
    <w:lvl w:ilvl="1">
      <w:lvlJc w:val="left"/>
      <w:lvlText w:val="(%2)"/>
      <w:numFmt w:val="lowerRoman"/>
      <w:start w:val="4"/>
    </w:lvl>
  </w:abstractNum>
  <w:abstractNum w:abstractNumId="440">
    <w:nsid w:val="D3715DE"/>
    <w:multiLevelType w:val="hybridMultilevel"/>
    <w:lvl w:ilvl="0">
      <w:lvlJc w:val="left"/>
      <w:lvlText w:val="(%1)"/>
      <w:numFmt w:val="lowerLetter"/>
      <w:start w:val="27"/>
    </w:lvl>
    <w:lvl w:ilvl="1">
      <w:lvlJc w:val="left"/>
      <w:lvlText w:val="%2"/>
      <w:numFmt w:val="lowerRoman"/>
      <w:start w:val="1"/>
    </w:lvl>
  </w:abstractNum>
  <w:abstractNum w:abstractNumId="441">
    <w:nsid w:val="73509257"/>
    <w:multiLevelType w:val="hybridMultilevel"/>
    <w:lvl w:ilvl="0">
      <w:lvlJc w:val="left"/>
      <w:lvlText w:val="(%1)"/>
      <w:numFmt w:val="lowerLetter"/>
      <w:start w:val="1"/>
    </w:lvl>
  </w:abstractNum>
  <w:abstractNum w:abstractNumId="442">
    <w:nsid w:val="7013CDB7"/>
    <w:multiLevelType w:val="hybridMultilevel"/>
    <w:lvl w:ilvl="0">
      <w:lvlJc w:val="left"/>
      <w:lvlText w:val="(%1)"/>
      <w:numFmt w:val="lowerLetter"/>
      <w:start w:val="2"/>
    </w:lvl>
  </w:abstractNum>
  <w:abstractNum w:abstractNumId="443">
    <w:nsid w:val="188BFB19"/>
    <w:multiLevelType w:val="hybridMultilevel"/>
    <w:lvl w:ilvl="0">
      <w:lvlJc w:val="left"/>
      <w:lvlText w:val="(%1)"/>
      <w:numFmt w:val="lowerLetter"/>
      <w:start w:val="1"/>
    </w:lvl>
    <w:lvl w:ilvl="1">
      <w:lvlJc w:val="left"/>
      <w:lvlText w:val="(%2)"/>
      <w:numFmt w:val="lowerLetter"/>
      <w:start w:val="2"/>
    </w:lvl>
  </w:abstractNum>
  <w:abstractNum w:abstractNumId="444">
    <w:nsid w:val="75F096DF"/>
    <w:multiLevelType w:val="hybridMultilevel"/>
    <w:lvl w:ilvl="0">
      <w:lvlJc w:val="left"/>
      <w:lvlText w:val="(%1)"/>
      <w:numFmt w:val="lowerLetter"/>
      <w:start w:val="1"/>
    </w:lvl>
  </w:abstractNum>
  <w:abstractNum w:abstractNumId="445">
    <w:nsid w:val="76DEE918"/>
    <w:multiLevelType w:val="hybridMultilevel"/>
    <w:lvl w:ilvl="0">
      <w:lvlJc w:val="left"/>
      <w:lvlText w:val="(%1)"/>
      <w:numFmt w:val="lowerRoman"/>
      <w:start w:val="1"/>
    </w:lvl>
  </w:abstractNum>
  <w:abstractNum w:abstractNumId="446">
    <w:nsid w:val="B79D08D"/>
    <w:multiLevelType w:val="hybridMultilevel"/>
    <w:lvl w:ilvl="0">
      <w:lvlJc w:val="left"/>
      <w:lvlText w:val="(%1)"/>
      <w:numFmt w:val="lowerRoman"/>
      <w:start w:val="2"/>
    </w:lvl>
    <w:lvl w:ilvl="1">
      <w:lvlJc w:val="left"/>
      <w:lvlText w:val="(%2)"/>
      <w:numFmt w:val="upperLetter"/>
      <w:start w:val="1"/>
    </w:lvl>
  </w:abstractNum>
  <w:abstractNum w:abstractNumId="447">
    <w:nsid w:val="6914176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448">
    <w:nsid w:val="7BF45B8E"/>
    <w:multiLevelType w:val="hybridMultilevel"/>
    <w:lvl w:ilvl="0">
      <w:lvlJc w:val="left"/>
      <w:lvlText w:val="(%1)"/>
      <w:numFmt w:val="lowerRoman"/>
      <w:start w:val="8"/>
    </w:lvl>
    <w:lvl w:ilvl="1">
      <w:lvlJc w:val="left"/>
      <w:lvlText w:val="(%2)"/>
      <w:numFmt w:val="lowerLetter"/>
      <w:start w:val="2"/>
    </w:lvl>
    <w:lvl w:ilvl="2">
      <w:lvlJc w:val="left"/>
      <w:lvlText w:val="%3"/>
      <w:numFmt w:val="upperLetter"/>
      <w:start w:val="1"/>
    </w:lvl>
  </w:abstractNum>
  <w:abstractNum w:abstractNumId="449">
    <w:nsid w:val="41205269"/>
    <w:multiLevelType w:val="hybridMultilevel"/>
    <w:lvl w:ilvl="0">
      <w:lvlJc w:val="left"/>
      <w:lvlText w:val="(%1)"/>
      <w:numFmt w:val="lowerLetter"/>
      <w:start w:val="2"/>
    </w:lvl>
  </w:abstractNum>
  <w:abstractNum w:abstractNumId="450">
    <w:nsid w:val="9AE0DD"/>
    <w:multiLevelType w:val="hybridMultilevel"/>
    <w:lvl w:ilvl="0">
      <w:lvlJc w:val="left"/>
      <w:lvlText w:val="1"/>
      <w:numFmt w:val="bullet"/>
      <w:start w:val="1"/>
    </w:lvl>
  </w:abstractNum>
  <w:abstractNum w:abstractNumId="451">
    <w:nsid w:val="1818832F"/>
    <w:multiLevelType w:val="hybridMultilevel"/>
    <w:lvl w:ilvl="0">
      <w:lvlJc w:val="left"/>
      <w:lvlText w:val="(%1)"/>
      <w:numFmt w:val="lowerLetter"/>
      <w:start w:val="2"/>
    </w:lvl>
  </w:abstractNum>
  <w:abstractNum w:abstractNumId="452">
    <w:nsid w:val="24C29FD1"/>
    <w:multiLevelType w:val="hybridMultilevel"/>
    <w:lvl w:ilvl="0">
      <w:lvlJc w:val="left"/>
      <w:lvlText w:val="(%1)"/>
      <w:numFmt w:val="lowerLetter"/>
      <w:start w:val="1"/>
    </w:lvl>
  </w:abstractNum>
  <w:abstractNum w:abstractNumId="453">
    <w:nsid w:val="50528108"/>
    <w:multiLevelType w:val="hybridMultilevel"/>
    <w:lvl w:ilvl="0">
      <w:lvlJc w:val="left"/>
      <w:lvlText w:val="(%1)"/>
      <w:numFmt w:val="lowerLetter"/>
      <w:start w:val="5"/>
    </w:lvl>
  </w:abstractNum>
  <w:abstractNum w:abstractNumId="454">
    <w:nsid w:val="21857A57"/>
    <w:multiLevelType w:val="hybridMultilevel"/>
    <w:lvl w:ilvl="0">
      <w:lvlJc w:val="left"/>
      <w:lvlText w:val="(%1)"/>
      <w:numFmt w:val="lowerLetter"/>
      <w:start w:val="7"/>
    </w:lvl>
  </w:abstractNum>
  <w:abstractNum w:abstractNumId="455">
    <w:nsid w:val="5FD4B154"/>
    <w:multiLevelType w:val="hybridMultilevel"/>
    <w:lvl w:ilvl="0">
      <w:lvlJc w:val="left"/>
      <w:lvlText w:val="(%1)"/>
      <w:numFmt w:val="decimal"/>
      <w:start w:val="1"/>
    </w:lvl>
  </w:abstractNum>
  <w:abstractNum w:abstractNumId="456">
    <w:nsid w:val="4ABE597"/>
    <w:multiLevelType w:val="hybridMultilevel"/>
    <w:lvl w:ilvl="0">
      <w:lvlJc w:val="left"/>
      <w:lvlText w:val="(%1)"/>
      <w:numFmt w:val="decimal"/>
      <w:start w:val="2"/>
    </w:lvl>
  </w:abstractNum>
  <w:abstractNum w:abstractNumId="457">
    <w:nsid w:val="5C64AD75"/>
    <w:multiLevelType w:val="hybridMultilevel"/>
    <w:lvl w:ilvl="0">
      <w:lvlJc w:val="left"/>
      <w:lvlText w:val="(%1)"/>
      <w:numFmt w:val="decimal"/>
      <w:start w:val="1"/>
    </w:lvl>
  </w:abstractNum>
  <w:abstractNum w:abstractNumId="458">
    <w:nsid w:val="2CDD5B39"/>
    <w:multiLevelType w:val="hybridMultilevel"/>
    <w:lvl w:ilvl="0">
      <w:lvlJc w:val="left"/>
      <w:lvlText w:val="(%1)"/>
      <w:numFmt w:val="lowerLetter"/>
      <w:start w:val="1"/>
    </w:lvl>
  </w:abstractNum>
  <w:abstractNum w:abstractNumId="459">
    <w:nsid w:val="6F9EA0D1"/>
    <w:multiLevelType w:val="hybridMultilevel"/>
    <w:lvl w:ilvl="0">
      <w:lvlJc w:val="left"/>
      <w:lvlText w:val="(%1)"/>
      <w:numFmt w:val="decimal"/>
      <w:start w:val="2"/>
    </w:lvl>
  </w:abstractNum>
  <w:abstractNum w:abstractNumId="460">
    <w:nsid w:val="247FC4AE"/>
    <w:multiLevelType w:val="hybridMultilevel"/>
    <w:lvl w:ilvl="0">
      <w:lvlJc w:val="left"/>
      <w:lvlText w:val="(%1)"/>
      <w:numFmt w:val="decimal"/>
      <w:start w:val="1"/>
    </w:lvl>
  </w:abstractNum>
  <w:abstractNum w:abstractNumId="461">
    <w:nsid w:val="46C01B05"/>
    <w:multiLevelType w:val="hybridMultilevel"/>
    <w:lvl w:ilvl="0">
      <w:lvlJc w:val="left"/>
      <w:lvlText w:val="(%1)"/>
      <w:numFmt w:val="decimal"/>
      <w:start w:val="1"/>
    </w:lvl>
  </w:abstractNum>
  <w:abstractNum w:abstractNumId="462">
    <w:nsid w:val="566EC29B"/>
    <w:multiLevelType w:val="hybridMultilevel"/>
    <w:lvl w:ilvl="0">
      <w:lvlJc w:val="left"/>
      <w:lvlText w:val="%1"/>
      <w:numFmt w:val="lowerRoman"/>
      <w:start w:val="1"/>
    </w:lvl>
    <w:lvl w:ilvl="1">
      <w:lvlJc w:val="left"/>
      <w:lvlText w:val="(%2)"/>
      <w:numFmt w:val="decimal"/>
      <w:start w:val="1"/>
    </w:lvl>
  </w:abstractNum>
  <w:abstractNum w:abstractNumId="463">
    <w:nsid w:val="7A963843"/>
    <w:multiLevelType w:val="hybridMultilevel"/>
    <w:lvl w:ilvl="0">
      <w:lvlJc w:val="left"/>
      <w:lvlText w:val="(%1)"/>
      <w:numFmt w:val="lowerRoman"/>
      <w:start w:val="3"/>
    </w:lvl>
    <w:lvl w:ilvl="1">
      <w:lvlJc w:val="left"/>
      <w:lvlText w:val="(%2)"/>
      <w:numFmt w:val="decimal"/>
      <w:start w:val="4"/>
    </w:lvl>
  </w:abstractNum>
  <w:abstractNum w:abstractNumId="464">
    <w:nsid w:val="4FE12F61"/>
    <w:multiLevelType w:val="hybridMultilevel"/>
    <w:lvl w:ilvl="0">
      <w:lvlJc w:val="left"/>
      <w:lvlText w:val="(%1)"/>
      <w:numFmt w:val="decimal"/>
      <w:start w:val="8"/>
    </w:lvl>
  </w:abstractNum>
  <w:abstractNum w:abstractNumId="465">
    <w:nsid w:val="51A3A284"/>
    <w:multiLevelType w:val="hybridMultilevel"/>
    <w:lvl w:ilvl="0">
      <w:lvlJc w:val="left"/>
      <w:lvlText w:val="(%1)"/>
      <w:numFmt w:val="lowerLetter"/>
      <w:start w:val="3"/>
    </w:lvl>
  </w:abstractNum>
  <w:abstractNum w:abstractNumId="466">
    <w:nsid w:val="376863BC"/>
    <w:multiLevelType w:val="hybridMultilevel"/>
    <w:lvl w:ilvl="0">
      <w:lvlJc w:val="left"/>
      <w:lvlText w:val="(%1)"/>
      <w:numFmt w:val="lowerLetter"/>
      <w:start w:val="3"/>
    </w:lvl>
  </w:abstractNum>
  <w:abstractNum w:abstractNumId="467">
    <w:nsid w:val="118C6C0"/>
    <w:multiLevelType w:val="hybridMultilevel"/>
    <w:lvl w:ilvl="0">
      <w:lvlJc w:val="left"/>
      <w:lvlText w:val="(%1)"/>
      <w:numFmt w:val="decimal"/>
      <w:start w:val="1"/>
    </w:lvl>
  </w:abstractNum>
  <w:abstractNum w:abstractNumId="468">
    <w:nsid w:val="7F7E4A15"/>
    <w:multiLevelType w:val="hybridMultilevel"/>
    <w:lvl w:ilvl="0">
      <w:lvlJc w:val="left"/>
      <w:lvlText w:val="(%1)"/>
      <w:numFmt w:val="decimal"/>
      <w:start w:val="2"/>
    </w:lvl>
  </w:abstractNum>
  <w:abstractNum w:abstractNumId="469">
    <w:nsid w:val="2E8E9F47"/>
    <w:multiLevelType w:val="hybridMultilevel"/>
    <w:lvl w:ilvl="0">
      <w:lvlJc w:val="left"/>
      <w:lvlText w:val="(%1)"/>
      <w:numFmt w:val="lowerLetter"/>
      <w:start w:val="2"/>
    </w:lvl>
  </w:abstractNum>
  <w:abstractNum w:abstractNumId="470">
    <w:nsid w:val="76742596"/>
    <w:multiLevelType w:val="hybridMultilevel"/>
    <w:lvl w:ilvl="0">
      <w:lvlJc w:val="left"/>
      <w:lvlText w:val="(%1)"/>
      <w:numFmt w:val="lowerLetter"/>
      <w:start w:val="5"/>
    </w:lvl>
  </w:abstractNum>
  <w:abstractNum w:abstractNumId="471">
    <w:nsid w:val="CB55FF3"/>
    <w:multiLevelType w:val="hybridMultilevel"/>
    <w:lvl w:ilvl="0">
      <w:lvlJc w:val="left"/>
      <w:lvlText w:val="(%1)"/>
      <w:numFmt w:val="lowerLetter"/>
      <w:start w:val="2"/>
    </w:lvl>
  </w:abstractNum>
  <w:abstractNum w:abstractNumId="472">
    <w:nsid w:val="21DF319E"/>
    <w:multiLevelType w:val="hybridMultilevel"/>
    <w:lvl w:ilvl="0">
      <w:lvlJc w:val="left"/>
      <w:lvlText w:val="(%1)"/>
      <w:numFmt w:val="lowerLetter"/>
      <w:start w:val="1"/>
    </w:lvl>
  </w:abstractNum>
  <w:abstractNum w:abstractNumId="473">
    <w:nsid w:val="6687F34D"/>
    <w:multiLevelType w:val="hybridMultilevel"/>
    <w:lvl w:ilvl="0">
      <w:lvlJc w:val="left"/>
      <w:lvlText w:val="(%1)"/>
      <w:numFmt w:val="lowerLetter"/>
      <w:start w:val="3"/>
    </w:lvl>
  </w:abstractNum>
  <w:abstractNum w:abstractNumId="474">
    <w:nsid w:val="25415B0C"/>
    <w:multiLevelType w:val="hybridMultilevel"/>
    <w:lvl w:ilvl="0">
      <w:lvlJc w:val="left"/>
      <w:lvlText w:val="(%1)"/>
      <w:numFmt w:val="lowerLetter"/>
      <w:start w:val="3"/>
    </w:lvl>
  </w:abstractNum>
  <w:abstractNum w:abstractNumId="475">
    <w:nsid w:val="17CFC87D"/>
    <w:multiLevelType w:val="hybridMultilevel"/>
    <w:lvl w:ilvl="0">
      <w:lvlJc w:val="left"/>
      <w:lvlText w:val="(%1)"/>
      <w:numFmt w:val="lowerLetter"/>
      <w:start w:val="9"/>
    </w:lvl>
  </w:abstractNum>
  <w:abstractNum w:abstractNumId="476">
    <w:nsid w:val="5D66DC65"/>
    <w:multiLevelType w:val="hybridMultilevel"/>
    <w:lvl w:ilvl="0">
      <w:lvlJc w:val="left"/>
      <w:lvlText w:val="(%1)"/>
      <w:numFmt w:val="decimal"/>
      <w:start w:val="519"/>
    </w:lvl>
  </w:abstractNum>
  <w:abstractNum w:abstractNumId="477">
    <w:nsid w:val="30BB2B99"/>
    <w:multiLevelType w:val="hybridMultilevel"/>
    <w:lvl w:ilvl="0">
      <w:lvlJc w:val="left"/>
      <w:lvlText w:val="(%1)"/>
      <w:numFmt w:val="lowerLetter"/>
      <w:start w:val="3"/>
    </w:lvl>
  </w:abstractNum>
  <w:abstractNum w:abstractNumId="478">
    <w:nsid w:val="E3DFE6"/>
    <w:multiLevelType w:val="hybridMultilevel"/>
    <w:lvl w:ilvl="0">
      <w:lvlJc w:val="left"/>
      <w:lvlText w:val="(%1)"/>
      <w:numFmt w:val="lowerLetter"/>
      <w:start w:val="2"/>
    </w:lvl>
  </w:abstractNum>
  <w:abstractNum w:abstractNumId="479">
    <w:nsid w:val="595B37F3"/>
    <w:multiLevelType w:val="hybridMultilevel"/>
    <w:lvl w:ilvl="0">
      <w:lvlJc w:val="left"/>
      <w:lvlText w:val="(%1)"/>
      <w:numFmt w:val="lowerLetter"/>
      <w:start w:val="2"/>
    </w:lvl>
  </w:abstractNum>
  <w:abstractNum w:abstractNumId="480">
    <w:nsid w:val="71DB7E02"/>
    <w:multiLevelType w:val="hybridMultilevel"/>
    <w:lvl w:ilvl="0">
      <w:lvlJc w:val="left"/>
      <w:lvlText w:val="(%1)"/>
      <w:numFmt w:val="lowerLetter"/>
      <w:start w:val="2"/>
    </w:lvl>
  </w:abstractNum>
  <w:abstractNum w:abstractNumId="481">
    <w:nsid w:val="17EC0C4"/>
    <w:multiLevelType w:val="hybridMultilevel"/>
    <w:lvl w:ilvl="0">
      <w:lvlJc w:val="left"/>
      <w:lvlText w:val="(%1)"/>
      <w:numFmt w:val="lowerLetter"/>
      <w:start w:val="2"/>
    </w:lvl>
  </w:abstractNum>
  <w:abstractNum w:abstractNumId="482">
    <w:nsid w:val="7173BB22"/>
    <w:multiLevelType w:val="hybridMultilevel"/>
    <w:lvl w:ilvl="0">
      <w:lvlJc w:val="left"/>
      <w:lvlText w:val="(%1)"/>
      <w:numFmt w:val="lowerLetter"/>
      <w:start w:val="4"/>
    </w:lvl>
  </w:abstractNum>
  <w:abstractNum w:abstractNumId="483">
    <w:nsid w:val="169E1DD3"/>
    <w:multiLevelType w:val="hybridMultilevel"/>
    <w:lvl w:ilvl="0">
      <w:lvlJc w:val="left"/>
      <w:lvlText w:val="(%1)"/>
      <w:numFmt w:val="lowerLetter"/>
      <w:start w:val="3"/>
    </w:lvl>
    <w:lvl w:ilvl="1">
      <w:lvlJc w:val="left"/>
      <w:lvlText w:val="(%2)"/>
      <w:numFmt w:val="lowerLetter"/>
      <w:start w:val="2"/>
    </w:lvl>
  </w:abstractNum>
  <w:abstractNum w:abstractNumId="484">
    <w:nsid w:val="51D141CC"/>
    <w:multiLevelType w:val="hybridMultilevel"/>
    <w:lvl w:ilvl="0">
      <w:lvlJc w:val="left"/>
      <w:lvlText w:val="(%1)"/>
      <w:numFmt w:val="lowerLetter"/>
      <w:start w:val="3"/>
    </w:lvl>
  </w:abstractNum>
  <w:abstractNum w:abstractNumId="485">
    <w:nsid w:val="12F9357A"/>
    <w:multiLevelType w:val="hybridMultilevel"/>
    <w:lvl w:ilvl="0">
      <w:lvlJc w:val="left"/>
      <w:lvlText w:val="(%1)"/>
      <w:numFmt w:val="lowerLetter"/>
      <w:start w:val="4"/>
    </w:lvl>
  </w:abstractNum>
  <w:abstractNum w:abstractNumId="486">
    <w:nsid w:val="7672CF28"/>
    <w:multiLevelType w:val="hybridMultilevel"/>
    <w:lvl w:ilvl="0">
      <w:lvlJc w:val="left"/>
      <w:lvlText w:val="(%1)"/>
      <w:numFmt w:val="lowerLetter"/>
      <w:start w:val="5"/>
    </w:lvl>
  </w:abstractNum>
  <w:abstractNum w:abstractNumId="487">
    <w:nsid w:val="567D2763"/>
    <w:multiLevelType w:val="hybridMultilevel"/>
    <w:lvl w:ilvl="0">
      <w:lvlJc w:val="left"/>
      <w:lvlText w:val="(%1)"/>
      <w:numFmt w:val="lowerLetter"/>
      <w:start w:val="6"/>
    </w:lvl>
  </w:abstractNum>
  <w:abstractNum w:abstractNumId="488">
    <w:nsid w:val="6F5DE2EF"/>
    <w:multiLevelType w:val="hybridMultilevel"/>
    <w:lvl w:ilvl="0">
      <w:lvlJc w:val="left"/>
      <w:lvlText w:val="(%1)"/>
      <w:numFmt w:val="lowerLetter"/>
      <w:start w:val="8"/>
    </w:lvl>
  </w:abstractNum>
  <w:abstractNum w:abstractNumId="489">
    <w:nsid w:val="23502A61"/>
    <w:multiLevelType w:val="hybridMultilevel"/>
    <w:lvl w:ilvl="0">
      <w:lvlJc w:val="left"/>
      <w:lvlText w:val="(%1)"/>
      <w:numFmt w:val="lowerLetter"/>
      <w:start w:val="11"/>
    </w:lvl>
  </w:abstractNum>
  <w:abstractNum w:abstractNumId="490">
    <w:nsid w:val="461BC834"/>
    <w:multiLevelType w:val="hybridMultilevel"/>
    <w:lvl w:ilvl="0">
      <w:lvlJc w:val="left"/>
      <w:lvlText w:val="(%1)"/>
      <w:numFmt w:val="lowerRoman"/>
      <w:start w:val="1"/>
    </w:lvl>
  </w:abstractNum>
  <w:abstractNum w:abstractNumId="491">
    <w:nsid w:val="13DDA79D"/>
    <w:multiLevelType w:val="hybridMultilevel"/>
    <w:lvl w:ilvl="0">
      <w:lvlJc w:val="left"/>
      <w:lvlText w:val="(%1)"/>
      <w:numFmt w:val="lowerRoman"/>
      <w:start w:val="3"/>
    </w:lvl>
  </w:abstractNum>
  <w:abstractNum w:abstractNumId="492">
    <w:nsid w:val="6A104566"/>
    <w:multiLevelType w:val="hybridMultilevel"/>
    <w:lvl w:ilvl="0">
      <w:lvlJc w:val="left"/>
      <w:lvlText w:val="(%1)"/>
      <w:numFmt w:val="lowerLetter"/>
      <w:start w:val="2"/>
    </w:lvl>
  </w:abstractNum>
  <w:abstractNum w:abstractNumId="493">
    <w:nsid w:val="1C8A8ACF"/>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494">
    <w:nsid w:val="E73DFE0"/>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495">
    <w:nsid w:val="39F174C7"/>
    <w:multiLevelType w:val="hybridMultilevel"/>
    <w:lvl w:ilvl="0">
      <w:lvlJc w:val="left"/>
      <w:lvlText w:val="(%1)"/>
      <w:numFmt w:val="lowerRoman"/>
      <w:start w:val="4"/>
    </w:lvl>
    <w:lvl w:ilvl="1">
      <w:lvlJc w:val="left"/>
      <w:lvlText w:val="(%2)"/>
      <w:numFmt w:val="lowerRoman"/>
      <w:start w:val="2"/>
    </w:lvl>
    <w:lvl w:ilvl="2">
      <w:lvlJc w:val="left"/>
      <w:lvlText w:val="%3"/>
      <w:numFmt w:val="lowerLetter"/>
      <w:start w:val="1"/>
    </w:lvl>
  </w:abstractNum>
  <w:abstractNum w:abstractNumId="496">
    <w:nsid w:val="6E2E2D53"/>
    <w:multiLevelType w:val="hybridMultilevel"/>
    <w:lvl w:ilvl="0">
      <w:lvlJc w:val="left"/>
      <w:lvlText w:val="(%1)"/>
      <w:numFmt w:val="lowerLetter"/>
      <w:start w:val="4"/>
    </w:lvl>
  </w:abstractNum>
  <w:abstractNum w:abstractNumId="497">
    <w:nsid w:val="45DC439D"/>
    <w:multiLevelType w:val="hybridMultilevel"/>
    <w:lvl w:ilvl="0">
      <w:lvlJc w:val="left"/>
      <w:lvlText w:val="(%1)"/>
      <w:numFmt w:val="lowerLetter"/>
      <w:start w:val="1"/>
    </w:lvl>
  </w:abstractNum>
  <w:abstractNum w:abstractNumId="498">
    <w:nsid w:val="3B0A3B87"/>
    <w:multiLevelType w:val="hybridMultilevel"/>
    <w:lvl w:ilvl="0">
      <w:lvlJc w:val="left"/>
      <w:lvlText w:val="(%1)"/>
      <w:numFmt w:val="lowerLetter"/>
      <w:start w:val="2"/>
    </w:lvl>
  </w:abstractNum>
  <w:abstractNum w:abstractNumId="499">
    <w:nsid w:val="6DAC7768"/>
    <w:multiLevelType w:val="hybridMultilevel"/>
    <w:lvl w:ilvl="0">
      <w:lvlJc w:val="left"/>
      <w:lvlText w:val="(%1)"/>
      <w:numFmt w:val="lowerLetter"/>
      <w:start w:val="2"/>
    </w:lvl>
  </w:abstractNum>
  <w:abstractNum w:abstractNumId="500">
    <w:nsid w:val="746AE2E4"/>
    <w:multiLevelType w:val="hybridMultilevel"/>
    <w:lvl w:ilvl="0">
      <w:lvlJc w:val="left"/>
      <w:lvlText w:val="(%1)"/>
      <w:numFmt w:val="lowerLetter"/>
      <w:start w:val="2"/>
    </w:lvl>
  </w:abstractNum>
  <w:abstractNum w:abstractNumId="501">
    <w:nsid w:val="317E611D"/>
    <w:multiLevelType w:val="hybridMultilevel"/>
    <w:lvl w:ilvl="0">
      <w:lvlJc w:val="left"/>
      <w:lvlText w:val="%1"/>
      <w:numFmt w:val="lowerRoman"/>
      <w:start w:val="1"/>
    </w:lvl>
    <w:lvl w:ilvl="1">
      <w:lvlJc w:val="left"/>
      <w:lvlText w:val="(%2)"/>
      <w:numFmt w:val="lowerLetter"/>
      <w:start w:val="4"/>
    </w:lvl>
  </w:abstractNum>
  <w:abstractNum w:abstractNumId="502">
    <w:nsid w:val="7A61D75B"/>
    <w:multiLevelType w:val="hybridMultilevel"/>
    <w:lvl w:ilvl="0">
      <w:lvlJc w:val="left"/>
      <w:lvlText w:val="(%1)"/>
      <w:numFmt w:val="lowerRoman"/>
      <w:start w:val="1"/>
    </w:lvl>
    <w:lvl w:ilvl="1">
      <w:lvlJc w:val="left"/>
      <w:lvlText w:val="%2"/>
      <w:numFmt w:val="lowerLetter"/>
      <w:start w:val="1"/>
    </w:lvl>
  </w:abstractNum>
  <w:abstractNum w:abstractNumId="503">
    <w:nsid w:val="164A1482"/>
    <w:multiLevelType w:val="hybridMultilevel"/>
    <w:lvl w:ilvl="0">
      <w:lvlJc w:val="left"/>
      <w:lvlText w:val="(%1)"/>
      <w:numFmt w:val="lowerLetter"/>
      <w:start w:val="5"/>
    </w:lvl>
  </w:abstractNum>
  <w:abstractNum w:abstractNumId="504">
    <w:nsid w:val="1806546B"/>
    <w:multiLevelType w:val="hybridMultilevel"/>
    <w:lvl w:ilvl="0">
      <w:lvlJc w:val="left"/>
      <w:lvlText w:val="%1"/>
      <w:numFmt w:val="lowerRoman"/>
      <w:start w:val="1"/>
    </w:lvl>
    <w:lvl w:ilvl="1">
      <w:lvlJc w:val="left"/>
      <w:lvlText w:val="(%2)"/>
      <w:numFmt w:val="lowerLetter"/>
      <w:start w:val="2"/>
    </w:lvl>
  </w:abstractNum>
  <w:abstractNum w:abstractNumId="505">
    <w:nsid w:val="1FA33267"/>
    <w:multiLevelType w:val="hybridMultilevel"/>
    <w:lvl w:ilvl="0">
      <w:lvlJc w:val="left"/>
      <w:lvlText w:val="(%1)"/>
      <w:numFmt w:val="lowerRoman"/>
      <w:start w:val="1"/>
    </w:lvl>
    <w:lvl w:ilvl="1">
      <w:lvlJc w:val="left"/>
      <w:lvlText w:val="%2"/>
      <w:numFmt w:val="lowerLetter"/>
      <w:start w:val="1"/>
    </w:lvl>
  </w:abstractNum>
  <w:abstractNum w:abstractNumId="506">
    <w:nsid w:val="2E19DD00"/>
    <w:multiLevelType w:val="hybridMultilevel"/>
    <w:lvl w:ilvl="0">
      <w:lvlJc w:val="left"/>
      <w:lvlText w:val="(%1)"/>
      <w:numFmt w:val="lowerLetter"/>
      <w:start w:val="4"/>
    </w:lvl>
  </w:abstractNum>
  <w:abstractNum w:abstractNumId="507">
    <w:nsid w:val="756D30D0"/>
    <w:multiLevelType w:val="hybridMultilevel"/>
    <w:lvl w:ilvl="0">
      <w:lvlJc w:val="left"/>
      <w:lvlText w:val="(%1)"/>
      <w:numFmt w:val="lowerRoman"/>
      <w:start w:val="1"/>
    </w:lvl>
  </w:abstractNum>
  <w:abstractNum w:abstractNumId="508">
    <w:nsid w:val="505E5E01"/>
    <w:multiLevelType w:val="hybridMultilevel"/>
    <w:lvl w:ilvl="0">
      <w:lvlJc w:val="left"/>
      <w:lvlText w:val="(%1)"/>
      <w:numFmt w:val="lowerLetter"/>
      <w:start w:val="2"/>
    </w:lvl>
  </w:abstractNum>
  <w:abstractNum w:abstractNumId="509">
    <w:nsid w:val="2EFDBCE6"/>
    <w:multiLevelType w:val="hybridMultilevel"/>
    <w:lvl w:ilvl="0">
      <w:lvlJc w:val="left"/>
      <w:lvlText w:val="(%1)"/>
      <w:numFmt w:val="lowerLetter"/>
      <w:start w:val="4"/>
    </w:lvl>
  </w:abstractNum>
  <w:abstractNum w:abstractNumId="510">
    <w:nsid w:val="4EC868C4"/>
    <w:multiLevelType w:val="hybridMultilevel"/>
    <w:lvl w:ilvl="0">
      <w:lvlJc w:val="left"/>
      <w:lvlText w:val="(%1)"/>
      <w:numFmt w:val="lowerRoman"/>
      <w:start w:val="1"/>
    </w:lvl>
  </w:abstractNum>
  <w:abstractNum w:abstractNumId="511">
    <w:nsid w:val="4239DC03"/>
    <w:multiLevelType w:val="hybridMultilevel"/>
    <w:lvl w:ilvl="0">
      <w:lvlJc w:val="left"/>
      <w:lvlText w:val="(%1)"/>
      <w:numFmt w:val="lowerLetter"/>
      <w:start w:val="2"/>
    </w:lvl>
  </w:abstractNum>
  <w:abstractNum w:abstractNumId="512">
    <w:nsid w:val="307C7DAA"/>
    <w:multiLevelType w:val="hybridMultilevel"/>
    <w:lvl w:ilvl="0">
      <w:lvlJc w:val="left"/>
      <w:lvlText w:val="(%1)"/>
      <w:numFmt w:val="lowerLetter"/>
      <w:start w:val="3"/>
    </w:lvl>
  </w:abstractNum>
  <w:abstractNum w:abstractNumId="513">
    <w:nsid w:val="403C23E6"/>
    <w:multiLevelType w:val="hybridMultilevel"/>
    <w:lvl w:ilvl="0">
      <w:lvlJc w:val="left"/>
      <w:lvlText w:val="%1"/>
      <w:numFmt w:val="lowerLetter"/>
      <w:start w:val="1"/>
    </w:lvl>
    <w:lvl w:ilvl="1">
      <w:lvlJc w:val="left"/>
      <w:lvlText w:val="(%2)"/>
      <w:numFmt w:val="lowerLetter"/>
      <w:start w:val="2"/>
    </w:lvl>
  </w:abstractNum>
  <w:abstractNum w:abstractNumId="514">
    <w:nsid w:val="58D7F9D7"/>
    <w:multiLevelType w:val="hybridMultilevel"/>
    <w:lvl w:ilvl="0">
      <w:lvlJc w:val="left"/>
      <w:lvlText w:val="(%1)"/>
      <w:numFmt w:val="lowerLetter"/>
      <w:start w:val="35"/>
    </w:lvl>
    <w:lvl w:ilvl="1">
      <w:lvlJc w:val="left"/>
      <w:lvlText w:val="(%2)"/>
      <w:numFmt w:val="lowerLetter"/>
      <w:start w:val="3"/>
    </w:lvl>
  </w:abstractNum>
  <w:abstractNum w:abstractNumId="515">
    <w:nsid w:val="24DBF76"/>
    <w:multiLevelType w:val="hybridMultilevel"/>
    <w:lvl w:ilvl="0">
      <w:lvlJc w:val="left"/>
      <w:lvlText w:val="(%1)"/>
      <w:numFmt w:val="lowerRoman"/>
      <w:start w:val="2"/>
    </w:lvl>
  </w:abstractNum>
  <w:abstractNum w:abstractNumId="516">
    <w:nsid w:val="53355960"/>
    <w:multiLevelType w:val="hybridMultilevel"/>
    <w:lvl w:ilvl="0">
      <w:lvlJc w:val="left"/>
      <w:lvlText w:val="%1"/>
      <w:numFmt w:val="lowerLetter"/>
      <w:start w:val="1"/>
    </w:lvl>
    <w:lvl w:ilvl="1">
      <w:lvlJc w:val="left"/>
      <w:lvlText w:val="(%2)"/>
      <w:numFmt w:val="upperLetter"/>
      <w:start w:val="1"/>
    </w:lvl>
  </w:abstractNum>
  <w:abstractNum w:abstractNumId="517">
    <w:nsid w:val="4F4AC8FF"/>
    <w:multiLevelType w:val="hybridMultilevel"/>
    <w:lvl w:ilvl="0">
      <w:lvlJc w:val="left"/>
      <w:lvlText w:val="(%1)"/>
      <w:numFmt w:val="lowerLetter"/>
      <w:start w:val="25"/>
    </w:lvl>
    <w:lvl w:ilvl="1">
      <w:lvlJc w:val="left"/>
      <w:lvlText w:val="%2"/>
      <w:numFmt w:val="upperLetter"/>
      <w:start w:val="1"/>
    </w:lvl>
  </w:abstractNum>
  <w:abstractNum w:abstractNumId="518">
    <w:nsid w:val="58CAE6D9"/>
    <w:multiLevelType w:val="hybridMultilevel"/>
    <w:lvl w:ilvl="0">
      <w:lvlJc w:val="left"/>
      <w:lvlText w:val="(%1)"/>
      <w:numFmt w:val="upperLetter"/>
      <w:start w:val="2"/>
    </w:lvl>
  </w:abstractNum>
  <w:abstractNum w:abstractNumId="519">
    <w:nsid w:val="42933C4F"/>
    <w:multiLevelType w:val="hybridMultilevel"/>
    <w:lvl w:ilvl="0">
      <w:lvlJc w:val="left"/>
      <w:lvlText w:val="(%1)"/>
      <w:numFmt w:val="lowerRoman"/>
      <w:start w:val="4"/>
    </w:lvl>
    <w:lvl w:ilvl="1">
      <w:lvlJc w:val="left"/>
      <w:lvlText w:val="(%2)"/>
      <w:numFmt w:val="lowerLetter"/>
      <w:start w:val="6"/>
    </w:lvl>
  </w:abstractNum>
  <w:abstractNum w:abstractNumId="520">
    <w:nsid w:val="729AF360"/>
    <w:multiLevelType w:val="hybridMultilevel"/>
    <w:lvl w:ilvl="0">
      <w:lvlJc w:val="left"/>
      <w:lvlText w:val="(%1)"/>
      <w:numFmt w:val="lowerLetter"/>
      <w:start w:val="7"/>
    </w:lvl>
  </w:abstractNum>
  <w:abstractNum w:abstractNumId="521">
    <w:nsid w:val="1EE6AF0D"/>
    <w:multiLevelType w:val="hybridMultilevel"/>
    <w:lvl w:ilvl="0">
      <w:lvlJc w:val="left"/>
      <w:lvlText w:val="%1"/>
      <w:numFmt w:val="lowerLetter"/>
      <w:start w:val="1"/>
    </w:lvl>
    <w:lvl w:ilvl="1">
      <w:lvlJc w:val="left"/>
      <w:lvlText w:val="(%2)"/>
      <w:numFmt w:val="lowerLetter"/>
      <w:start w:val="2"/>
    </w:lvl>
  </w:abstractNum>
  <w:abstractNum w:abstractNumId="522">
    <w:nsid w:val="5670E3ED"/>
    <w:multiLevelType w:val="hybridMultilevel"/>
    <w:lvl w:ilvl="0">
      <w:lvlJc w:val="left"/>
      <w:lvlText w:val="(%1)"/>
      <w:numFmt w:val="lowerLetter"/>
      <w:start w:val="35"/>
    </w:lvl>
    <w:lvl w:ilvl="1">
      <w:lvlJc w:val="left"/>
      <w:lvlText w:val="(%2)"/>
      <w:numFmt w:val="lowerLetter"/>
      <w:start w:val="3"/>
    </w:lvl>
  </w:abstractNum>
  <w:abstractNum w:abstractNumId="523">
    <w:nsid w:val="5CAB38C6"/>
    <w:multiLevelType w:val="hybridMultilevel"/>
    <w:lvl w:ilvl="0">
      <w:lvlJc w:val="left"/>
      <w:lvlText w:val="(%1)"/>
      <w:numFmt w:val="lowerLetter"/>
      <w:start w:val="5"/>
    </w:lvl>
  </w:abstractNum>
  <w:abstractNum w:abstractNumId="524">
    <w:nsid w:val="3B7139DD"/>
    <w:multiLevelType w:val="hybridMultilevel"/>
    <w:lvl w:ilvl="0">
      <w:lvlJc w:val="left"/>
      <w:lvlText w:val="(%1)"/>
      <w:numFmt w:val="lowerLetter"/>
      <w:start w:val="2"/>
    </w:lvl>
  </w:abstractNum>
  <w:abstractNum w:abstractNumId="525">
    <w:nsid w:val="64E4C3CD"/>
    <w:multiLevelType w:val="hybridMultilevel"/>
    <w:lvl w:ilvl="0">
      <w:lvlJc w:val="left"/>
      <w:lvlText w:val="(%1)"/>
      <w:numFmt w:val="lowerLetter"/>
      <w:start w:val="3"/>
    </w:lvl>
  </w:abstractNum>
  <w:abstractNum w:abstractNumId="526">
    <w:nsid w:val="169CAD8D"/>
    <w:multiLevelType w:val="hybridMultilevel"/>
    <w:lvl w:ilvl="0">
      <w:lvlJc w:val="left"/>
      <w:lvlText w:val="(%1)"/>
      <w:numFmt w:val="lowerLetter"/>
      <w:start w:val="2"/>
    </w:lvl>
  </w:abstractNum>
  <w:abstractNum w:abstractNumId="527">
    <w:nsid w:val="299F673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528">
    <w:nsid w:val="2AC1076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529">
    <w:nsid w:val="51A6E915"/>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530">
    <w:nsid w:val="174BDE99"/>
    <w:multiLevelType w:val="hybridMultilevel"/>
    <w:lvl w:ilvl="0">
      <w:lvlJc w:val="left"/>
      <w:lvlText w:val="(%1)"/>
      <w:numFmt w:val="lowerLetter"/>
      <w:start w:val="24"/>
    </w:lvl>
  </w:abstractNum>
  <w:abstractNum w:abstractNumId="531">
    <w:nsid w:val="1F2BEA4E"/>
    <w:multiLevelType w:val="hybridMultilevel"/>
    <w:lvl w:ilvl="0">
      <w:lvlJc w:val="left"/>
      <w:lvlText w:val="(%1)"/>
      <w:numFmt w:val="lowerLetter"/>
      <w:start w:val="4"/>
    </w:lvl>
  </w:abstractNum>
  <w:abstractNum w:abstractNumId="532">
    <w:nsid w:val="3254A32"/>
    <w:multiLevelType w:val="hybridMultilevel"/>
    <w:lvl w:ilvl="0">
      <w:lvlJc w:val="left"/>
      <w:lvlText w:val="(%1)"/>
      <w:numFmt w:val="lowerLetter"/>
      <w:start w:val="2"/>
    </w:lvl>
  </w:abstractNum>
  <w:abstractNum w:abstractNumId="533">
    <w:nsid w:val="11ADB5F4"/>
    <w:multiLevelType w:val="hybridMultilevel"/>
    <w:lvl w:ilvl="0">
      <w:lvlJc w:val="left"/>
      <w:lvlText w:val="(%1)"/>
      <w:numFmt w:val="lowerLetter"/>
      <w:start w:val="4"/>
    </w:lvl>
  </w:abstractNum>
  <w:abstractNum w:abstractNumId="534">
    <w:nsid w:val="3575FED1"/>
    <w:multiLevelType w:val="hybridMultilevel"/>
    <w:lvl w:ilvl="0">
      <w:lvlJc w:val="left"/>
      <w:lvlText w:val="(%1)"/>
      <w:numFmt w:val="lowerRoman"/>
      <w:start w:val="1"/>
    </w:lvl>
    <w:lvl w:ilvl="1">
      <w:lvlJc w:val="left"/>
      <w:lvlText w:val="(%2)"/>
      <w:numFmt w:val="upperLetter"/>
      <w:start w:val="1"/>
    </w:lvl>
  </w:abstractNum>
  <w:abstractNum w:abstractNumId="535">
    <w:nsid w:val="1B2B9E9D"/>
    <w:multiLevelType w:val="hybridMultilevel"/>
    <w:lvl w:ilvl="0">
      <w:lvlJc w:val="left"/>
      <w:lvlText w:val="%1"/>
      <w:numFmt w:val="lowerRoman"/>
      <w:start w:val="1"/>
    </w:lvl>
    <w:lvl w:ilvl="1">
      <w:lvlJc w:val="left"/>
      <w:lvlText w:val="(%2)"/>
      <w:numFmt w:val="upperLetter"/>
      <w:start w:val="3"/>
    </w:lvl>
  </w:abstractNum>
  <w:abstractNum w:abstractNumId="536">
    <w:nsid w:val="3150E85C"/>
    <w:multiLevelType w:val="hybridMultilevel"/>
    <w:lvl w:ilvl="0">
      <w:lvlJc w:val="left"/>
      <w:lvlText w:val="(%1)"/>
      <w:numFmt w:val="lowerRoman"/>
      <w:start w:val="3"/>
    </w:lvl>
    <w:lvl w:ilvl="1">
      <w:lvlJc w:val="left"/>
      <w:lvlText w:val="%2"/>
      <w:numFmt w:val="upperLetter"/>
      <w:start w:val="1"/>
    </w:lvl>
  </w:abstractNum>
  <w:abstractNum w:abstractNumId="537">
    <w:nsid w:val="638FDBD1"/>
    <w:multiLevelType w:val="hybridMultilevel"/>
    <w:lvl w:ilvl="0">
      <w:lvlJc w:val="left"/>
      <w:lvlText w:val="(%1)"/>
      <w:numFmt w:val="lowerLetter"/>
      <w:start w:val="22"/>
    </w:lvl>
    <w:lvl w:ilvl="1">
      <w:lvlJc w:val="left"/>
      <w:lvlText w:val="(%2)"/>
      <w:numFmt w:val="lowerLetter"/>
      <w:start w:val="2"/>
    </w:lvl>
  </w:abstractNum>
  <w:abstractNum w:abstractNumId="538">
    <w:nsid w:val="1098CF6E"/>
    <w:multiLevelType w:val="hybridMultilevel"/>
    <w:lvl w:ilvl="0">
      <w:lvlJc w:val="left"/>
      <w:lvlText w:val="(%1)"/>
      <w:numFmt w:val="lowerLetter"/>
      <w:start w:val="3"/>
    </w:lvl>
  </w:abstractNum>
  <w:abstractNum w:abstractNumId="539">
    <w:nsid w:val="1AF465D"/>
    <w:multiLevelType w:val="hybridMultilevel"/>
    <w:lvl w:ilvl="0">
      <w:lvlJc w:val="left"/>
      <w:lvlText w:val="(%1)"/>
      <w:numFmt w:val="lowerLetter"/>
      <w:start w:val="2"/>
    </w:lvl>
  </w:abstractNum>
  <w:abstractNum w:abstractNumId="540">
    <w:nsid w:val="128D98B7"/>
    <w:multiLevelType w:val="hybridMultilevel"/>
    <w:lvl w:ilvl="0">
      <w:lvlJc w:val="left"/>
      <w:lvlText w:val="(%1)"/>
      <w:numFmt w:val="lowerLetter"/>
      <w:start w:val="2"/>
    </w:lvl>
  </w:abstractNum>
  <w:abstractNum w:abstractNumId="541">
    <w:nsid w:val="5F613832"/>
    <w:multiLevelType w:val="hybridMultilevel"/>
    <w:lvl w:ilvl="0">
      <w:lvlJc w:val="left"/>
      <w:lvlText w:val="(%1)"/>
      <w:numFmt w:val="lowerLetter"/>
      <w:start w:val="2"/>
    </w:lvl>
  </w:abstractNum>
  <w:abstractNum w:abstractNumId="542">
    <w:nsid w:val="43E92260"/>
    <w:multiLevelType w:val="hybridMultilevel"/>
    <w:lvl w:ilvl="0">
      <w:lvlJc w:val="left"/>
      <w:lvlText w:val="(%1)"/>
      <w:numFmt w:val="lowerLetter"/>
      <w:start w:val="2"/>
    </w:lvl>
  </w:abstractNum>
  <w:abstractNum w:abstractNumId="543">
    <w:nsid w:val="430A1662"/>
    <w:multiLevelType w:val="hybridMultilevel"/>
    <w:lvl w:ilvl="0">
      <w:lvlJc w:val="left"/>
      <w:lvlText w:val="(%1)"/>
      <w:numFmt w:val="lowerLetter"/>
      <w:start w:val="9"/>
    </w:lvl>
    <w:lvl w:ilvl="1">
      <w:lvlJc w:val="left"/>
      <w:lvlText w:val="(%2)"/>
      <w:numFmt w:val="lowerLetter"/>
      <w:start w:val="2"/>
    </w:lvl>
  </w:abstractNum>
  <w:abstractNum w:abstractNumId="544">
    <w:nsid w:val="1F9D5C18"/>
    <w:multiLevelType w:val="hybridMultilevel"/>
    <w:lvl w:ilvl="0">
      <w:lvlJc w:val="left"/>
      <w:lvlText w:val="(%1)"/>
      <w:numFmt w:val="lowerLetter"/>
      <w:start w:val="2"/>
    </w:lvl>
  </w:abstractNum>
  <w:abstractNum w:abstractNumId="545">
    <w:nsid w:val="1CC11C37"/>
    <w:multiLevelType w:val="hybridMultilevel"/>
    <w:lvl w:ilvl="0">
      <w:lvlJc w:val="left"/>
      <w:lvlText w:val="(%1)"/>
      <w:numFmt w:val="lowerLetter"/>
      <w:start w:val="1"/>
    </w:lvl>
  </w:abstractNum>
  <w:abstractNum w:abstractNumId="546">
    <w:nsid w:val="4557D5D8"/>
    <w:multiLevelType w:val="hybridMultilevel"/>
    <w:lvl w:ilvl="0">
      <w:lvlJc w:val="left"/>
      <w:lvlText w:val="(%1)"/>
      <w:numFmt w:val="lowerLetter"/>
      <w:start w:val="1"/>
    </w:lvl>
  </w:abstractNum>
  <w:abstractNum w:abstractNumId="547">
    <w:nsid w:val="72D2B579"/>
    <w:multiLevelType w:val="hybridMultilevel"/>
    <w:lvl w:ilvl="0">
      <w:lvlJc w:val="left"/>
      <w:lvlText w:val="(%1)"/>
      <w:numFmt w:val="lowerLetter"/>
      <w:start w:val="4"/>
    </w:lvl>
  </w:abstractNum>
  <w:abstractNum w:abstractNumId="548">
    <w:nsid w:val="6C0BE536"/>
    <w:multiLevelType w:val="hybridMultilevel"/>
    <w:lvl w:ilvl="0">
      <w:lvlJc w:val="left"/>
      <w:lvlText w:val="%1"/>
      <w:numFmt w:val="lowerRoman"/>
      <w:start w:val="1"/>
    </w:lvl>
    <w:lvl w:ilvl="1">
      <w:lvlJc w:val="left"/>
      <w:lvlText w:val="(%2)"/>
      <w:numFmt w:val="lowerLetter"/>
      <w:start w:val="1"/>
    </w:lvl>
  </w:abstractNum>
  <w:abstractNum w:abstractNumId="549">
    <w:nsid w:val="1E22BCB2"/>
    <w:multiLevelType w:val="hybridMultilevel"/>
    <w:lvl w:ilvl="0">
      <w:lvlJc w:val="left"/>
      <w:lvlText w:val="(%1)"/>
      <w:numFmt w:val="lowerRoman"/>
      <w:start w:val="11"/>
    </w:lvl>
    <w:lvl w:ilvl="1">
      <w:lvlJc w:val="left"/>
      <w:lvlText w:val="(%2)"/>
      <w:numFmt w:val="lowerLetter"/>
      <w:start w:val="4"/>
    </w:lvl>
  </w:abstractNum>
  <w:abstractNum w:abstractNumId="550">
    <w:nsid w:val="3565F1C8"/>
    <w:multiLevelType w:val="hybridMultilevel"/>
    <w:lvl w:ilvl="0">
      <w:lvlJc w:val="left"/>
      <w:lvlText w:val="%1"/>
      <w:numFmt w:val="lowerLetter"/>
      <w:start w:val="1"/>
    </w:lvl>
    <w:lvl w:ilvl="1">
      <w:lvlJc w:val="left"/>
      <w:lvlText w:val="(%2)"/>
      <w:numFmt w:val="lowerLetter"/>
      <w:start w:val="2"/>
    </w:lvl>
  </w:abstractNum>
  <w:abstractNum w:abstractNumId="551">
    <w:nsid w:val="5EA6D896"/>
    <w:multiLevelType w:val="hybridMultilevel"/>
    <w:lvl w:ilvl="0">
      <w:lvlJc w:val="left"/>
      <w:lvlText w:val="(%1)"/>
      <w:numFmt w:val="lowerLetter"/>
      <w:start w:val="2"/>
    </w:lvl>
    <w:lvl w:ilvl="1">
      <w:lvlJc w:val="left"/>
      <w:lvlText w:val="%2"/>
      <w:numFmt w:val="lowerLetter"/>
      <w:start w:val="1"/>
    </w:lvl>
  </w:abstractNum>
  <w:abstractNum w:abstractNumId="552">
    <w:nsid w:val="3D096BBF"/>
    <w:multiLevelType w:val="hybridMultilevel"/>
    <w:lvl w:ilvl="0">
      <w:lvlJc w:val="left"/>
      <w:lvlText w:val="%1"/>
      <w:numFmt w:val="lowerRoman"/>
      <w:start w:val="1"/>
    </w:lvl>
    <w:lvl w:ilvl="1">
      <w:lvlJc w:val="left"/>
      <w:lvlText w:val="(%2)"/>
      <w:numFmt w:val="lowerLetter"/>
      <w:start w:val="1"/>
    </w:lvl>
  </w:abstractNum>
  <w:abstractNum w:abstractNumId="553">
    <w:nsid w:val="BD6D5B5"/>
    <w:multiLevelType w:val="hybridMultilevel"/>
    <w:lvl w:ilvl="0">
      <w:lvlJc w:val="left"/>
      <w:lvlText w:val="(%1)"/>
      <w:numFmt w:val="lowerRoman"/>
      <w:start w:val="1"/>
    </w:lvl>
    <w:lvl w:ilvl="1">
      <w:lvlJc w:val="left"/>
      <w:lvlText w:val="%2"/>
      <w:numFmt w:val="lowerLetter"/>
      <w:start w:val="1"/>
    </w:lvl>
  </w:abstractNum>
  <w:abstractNum w:abstractNumId="554">
    <w:nsid w:val="3B52115C"/>
    <w:multiLevelType w:val="hybridMultilevel"/>
    <w:lvl w:ilvl="0">
      <w:lvlJc w:val="left"/>
      <w:lvlText w:val="(%1)"/>
      <w:numFmt w:val="lowerRoman"/>
      <w:start w:val="4"/>
    </w:lvl>
  </w:abstractNum>
  <w:abstractNum w:abstractNumId="555">
    <w:nsid w:val="787AA59C"/>
    <w:multiLevelType w:val="hybridMultilevel"/>
    <w:lvl w:ilvl="0">
      <w:lvlJc w:val="left"/>
      <w:lvlText w:val="%1"/>
      <w:numFmt w:val="lowerRoman"/>
      <w:start w:val="1"/>
    </w:lvl>
    <w:lvl w:ilvl="1">
      <w:lvlJc w:val="left"/>
      <w:lvlText w:val="(%2)"/>
      <w:numFmt w:val="lowerLetter"/>
      <w:start w:val="2"/>
    </w:lvl>
  </w:abstractNum>
  <w:abstractNum w:abstractNumId="556">
    <w:nsid w:val="70BB9983"/>
    <w:multiLevelType w:val="hybridMultilevel"/>
    <w:lvl w:ilvl="0">
      <w:lvlJc w:val="left"/>
      <w:lvlText w:val="(%1)"/>
      <w:numFmt w:val="lowerRoman"/>
      <w:start w:val="1"/>
    </w:lvl>
    <w:lvl w:ilvl="1">
      <w:lvlJc w:val="left"/>
      <w:lvlText w:val="%2"/>
      <w:numFmt w:val="lowerLetter"/>
      <w:start w:val="1"/>
    </w:lvl>
  </w:abstractNum>
  <w:abstractNum w:abstractNumId="557">
    <w:nsid w:val="51EEBEEA"/>
    <w:multiLevelType w:val="hybridMultilevel"/>
    <w:lvl w:ilvl="0">
      <w:lvlJc w:val="left"/>
      <w:lvlText w:val="(%1)"/>
      <w:numFmt w:val="lowerRoman"/>
      <w:start w:val="3"/>
    </w:lvl>
    <w:lvl w:ilvl="1">
      <w:lvlJc w:val="left"/>
      <w:lvlText w:val="(%2)"/>
      <w:numFmt w:val="lowerRoman"/>
      <w:start w:val="5"/>
    </w:lvl>
  </w:abstractNum>
  <w:abstractNum w:abstractNumId="558">
    <w:nsid w:val="221A0CCD"/>
    <w:multiLevelType w:val="hybridMultilevel"/>
    <w:lvl w:ilvl="0">
      <w:lvlJc w:val="left"/>
      <w:lvlText w:val="%1"/>
      <w:numFmt w:val="lowerRoman"/>
      <w:start w:val="1"/>
    </w:lvl>
    <w:lvl w:ilvl="1">
      <w:lvlJc w:val="left"/>
      <w:lvlText w:val="(%2)"/>
      <w:numFmt w:val="lowerLetter"/>
      <w:start w:val="4"/>
    </w:lvl>
  </w:abstractNum>
  <w:abstractNum w:abstractNumId="559">
    <w:nsid w:val="1B7CA0ED"/>
    <w:multiLevelType w:val="hybridMultilevel"/>
    <w:lvl w:ilvl="0">
      <w:lvlJc w:val="left"/>
      <w:lvlText w:val="(%1)"/>
      <w:numFmt w:val="lowerRoman"/>
      <w:start w:val="1"/>
    </w:lvl>
    <w:lvl w:ilvl="1">
      <w:lvlJc w:val="left"/>
      <w:lvlText w:val="(%2)"/>
      <w:numFmt w:val="lowerLetter"/>
      <w:start w:val="5"/>
    </w:lvl>
  </w:abstractNum>
  <w:abstractNum w:abstractNumId="560">
    <w:nsid w:val="2395A7FF"/>
    <w:multiLevelType w:val="hybridMultilevel"/>
    <w:lvl w:ilvl="0">
      <w:lvlJc w:val="left"/>
      <w:lvlText w:val="(%1)"/>
      <w:numFmt w:val="lowerLetter"/>
      <w:start w:val="1"/>
    </w:lvl>
  </w:abstractNum>
  <w:abstractNum w:abstractNumId="561">
    <w:nsid w:val="3965EB66"/>
    <w:multiLevelType w:val="hybridMultilevel"/>
    <w:lvl w:ilvl="0">
      <w:lvlJc w:val="left"/>
      <w:lvlText w:val="(%1)"/>
      <w:numFmt w:val="lowerLetter"/>
      <w:start w:val="5"/>
    </w:lvl>
  </w:abstractNum>
  <w:abstractNum w:abstractNumId="562">
    <w:nsid w:val="3AA88B3C"/>
    <w:multiLevelType w:val="hybridMultilevel"/>
    <w:lvl w:ilvl="0">
      <w:lvlJc w:val="left"/>
      <w:lvlText w:val="(%1)"/>
      <w:numFmt w:val="lowerLetter"/>
      <w:start w:val="11"/>
    </w:lvl>
  </w:abstractNum>
  <w:abstractNum w:abstractNumId="563">
    <w:nsid w:val="26BAF231"/>
    <w:multiLevelType w:val="hybridMultilevel"/>
    <w:lvl w:ilvl="0">
      <w:lvlJc w:val="left"/>
      <w:lvlText w:val="(%1)"/>
      <w:numFmt w:val="lowerLetter"/>
      <w:start w:val="1"/>
    </w:lvl>
  </w:abstractNum>
  <w:abstractNum w:abstractNumId="564">
    <w:nsid w:val="4B13A15A"/>
    <w:multiLevelType w:val="hybridMultilevel"/>
    <w:lvl w:ilvl="0">
      <w:lvlJc w:val="left"/>
      <w:lvlText w:val="%1"/>
      <w:numFmt w:val="lowerRoman"/>
      <w:start w:val="1"/>
    </w:lvl>
    <w:lvl w:ilvl="1">
      <w:lvlJc w:val="left"/>
      <w:lvlText w:val="(%2)"/>
      <w:numFmt w:val="lowerLetter"/>
      <w:start w:val="4"/>
    </w:lvl>
  </w:abstractNum>
  <w:abstractNum w:abstractNumId="565">
    <w:nsid w:val="701E8A0D"/>
    <w:multiLevelType w:val="hybridMultilevel"/>
    <w:lvl w:ilvl="0">
      <w:lvlJc w:val="left"/>
      <w:lvlText w:val="(%1)"/>
      <w:numFmt w:val="lowerRoman"/>
      <w:start w:val="4"/>
    </w:lvl>
    <w:lvl w:ilvl="1">
      <w:lvlJc w:val="left"/>
      <w:lvlText w:val="(%2)"/>
      <w:numFmt w:val="lowerLetter"/>
      <w:start w:val="5"/>
    </w:lvl>
  </w:abstractNum>
  <w:abstractNum w:abstractNumId="566">
    <w:nsid w:val="41E690CF"/>
    <w:multiLevelType w:val="hybridMultilevel"/>
    <w:lvl w:ilvl="0">
      <w:lvlJc w:val="left"/>
      <w:lvlText w:val="(%1)"/>
      <w:numFmt w:val="lowerLetter"/>
      <w:start w:val="14"/>
    </w:lvl>
  </w:abstractNum>
  <w:abstractNum w:abstractNumId="567">
    <w:nsid w:val="7C6489B6"/>
    <w:multiLevelType w:val="hybridMultilevel"/>
    <w:lvl w:ilvl="0">
      <w:lvlJc w:val="left"/>
      <w:lvlText w:val="%1"/>
      <w:numFmt w:val="lowerRoman"/>
      <w:start w:val="1"/>
    </w:lvl>
    <w:lvl w:ilvl="1">
      <w:lvlJc w:val="left"/>
      <w:lvlText w:val="(%2)"/>
      <w:numFmt w:val="lowerRoman"/>
      <w:start w:val="1"/>
    </w:lvl>
  </w:abstractNum>
  <w:abstractNum w:abstractNumId="568">
    <w:nsid w:val="53AE65DE"/>
    <w:multiLevelType w:val="hybridMultilevel"/>
    <w:lvl w:ilvl="0">
      <w:lvlJc w:val="left"/>
      <w:lvlText w:val="(%1)"/>
      <w:numFmt w:val="lowerRoman"/>
      <w:start w:val="10"/>
    </w:lvl>
    <w:lvl w:ilvl="1">
      <w:lvlJc w:val="left"/>
      <w:lvlText w:val="(%2)"/>
      <w:numFmt w:val="lowerRoman"/>
      <w:start w:val="2"/>
    </w:lvl>
  </w:abstractNum>
  <w:abstractNum w:abstractNumId="569">
    <w:nsid w:val="527F603D"/>
    <w:multiLevelType w:val="hybridMultilevel"/>
    <w:lvl w:ilvl="0">
      <w:lvlJc w:val="left"/>
      <w:lvlText w:val="(%1)"/>
      <w:numFmt w:val="lowerRoman"/>
      <w:start w:val="6"/>
    </w:lvl>
    <w:lvl w:ilvl="1">
      <w:lvlJc w:val="left"/>
      <w:lvlText w:val="(%2)"/>
      <w:numFmt w:val="lowerLetter"/>
      <w:start w:val="2"/>
    </w:lvl>
  </w:abstractNum>
  <w:abstractNum w:abstractNumId="570">
    <w:nsid w:val="7E13D013"/>
    <w:multiLevelType w:val="hybridMultilevel"/>
    <w:lvl w:ilvl="0">
      <w:lvlJc w:val="left"/>
      <w:lvlText w:val="(%1)"/>
      <w:numFmt w:val="lowerLetter"/>
      <w:start w:val="1"/>
    </w:lvl>
  </w:abstractNum>
  <w:abstractNum w:abstractNumId="571">
    <w:nsid w:val="663BFE95"/>
    <w:multiLevelType w:val="hybridMultilevel"/>
    <w:lvl w:ilvl="0">
      <w:lvlJc w:val="left"/>
      <w:lvlText w:val="%1"/>
      <w:numFmt w:val="lowerLetter"/>
      <w:start w:val="1"/>
    </w:lvl>
    <w:lvl w:ilvl="1">
      <w:lvlJc w:val="left"/>
      <w:lvlText w:val="(%2)"/>
      <w:numFmt w:val="lowerLetter"/>
      <w:start w:val="7"/>
    </w:lvl>
  </w:abstractNum>
  <w:abstractNum w:abstractNumId="572">
    <w:nsid w:val="31E0986F"/>
    <w:multiLevelType w:val="hybridMultilevel"/>
    <w:lvl w:ilvl="0">
      <w:lvlJc w:val="left"/>
      <w:lvlText w:val="(%1)"/>
      <w:numFmt w:val="lowerLetter"/>
      <w:start w:val="1"/>
    </w:lvl>
    <w:lvl w:ilvl="1">
      <w:lvlJc w:val="left"/>
      <w:lvlText w:val="(%2)"/>
      <w:numFmt w:val="lowerLetter"/>
      <w:start w:val="8"/>
    </w:lvl>
  </w:abstractNum>
  <w:abstractNum w:abstractNumId="573">
    <w:nsid w:val="41FCF274"/>
    <w:multiLevelType w:val="hybridMultilevel"/>
    <w:lvl w:ilvl="0">
      <w:lvlJc w:val="left"/>
      <w:lvlText w:val="(%1)"/>
      <w:numFmt w:val="lowerLetter"/>
      <w:start w:val="2"/>
    </w:lvl>
  </w:abstractNum>
  <w:abstractNum w:abstractNumId="574">
    <w:nsid w:val="294614F7"/>
    <w:multiLevelType w:val="hybridMultilevel"/>
    <w:lvl w:ilvl="0">
      <w:lvlJc w:val="left"/>
      <w:lvlText w:val="(%1)"/>
      <w:numFmt w:val="lowerLetter"/>
      <w:start w:val="1"/>
    </w:lvl>
  </w:abstractNum>
  <w:abstractNum w:abstractNumId="575">
    <w:nsid w:val="517DF487"/>
    <w:multiLevelType w:val="hybridMultilevel"/>
    <w:lvl w:ilvl="0">
      <w:lvlJc w:val="left"/>
      <w:lvlText w:val="(%1)"/>
      <w:numFmt w:val="lowerLetter"/>
      <w:start w:val="4"/>
    </w:lvl>
  </w:abstractNum>
  <w:abstractNum w:abstractNumId="576">
    <w:nsid w:val="5EBE0EAB"/>
    <w:multiLevelType w:val="hybridMultilevel"/>
    <w:lvl w:ilvl="0">
      <w:lvlJc w:val="left"/>
      <w:lvlText w:val="(%1)"/>
      <w:numFmt w:val="lowerLetter"/>
      <w:start w:val="1"/>
    </w:lvl>
  </w:abstractNum>
  <w:abstractNum w:abstractNumId="577">
    <w:nsid w:val="6E9DEAD0"/>
    <w:multiLevelType w:val="hybridMultilevel"/>
    <w:lvl w:ilvl="0">
      <w:lvlJc w:val="left"/>
      <w:lvlText w:val="(%1)"/>
      <w:numFmt w:val="lowerLetter"/>
      <w:start w:val="6"/>
    </w:lvl>
  </w:abstractNum>
  <w:abstractNum w:abstractNumId="578">
    <w:nsid w:val="4450AA00"/>
    <w:multiLevelType w:val="hybridMultilevel"/>
    <w:lvl w:ilvl="0">
      <w:lvlJc w:val="left"/>
      <w:lvlText w:val="(%1)"/>
      <w:numFmt w:val="lowerRoman"/>
      <w:start w:val="4"/>
    </w:lvl>
  </w:abstractNum>
  <w:abstractNum w:abstractNumId="579">
    <w:nsid w:val="4AC9F3E2"/>
    <w:multiLevelType w:val="hybridMultilevel"/>
    <w:lvl w:ilvl="0">
      <w:lvlJc w:val="left"/>
      <w:lvlText w:val="(%1)"/>
      <w:numFmt w:val="lowerLetter"/>
      <w:start w:val="2"/>
    </w:lvl>
  </w:abstractNum>
  <w:abstractNum w:abstractNumId="580">
    <w:nsid w:val="CC0A782"/>
    <w:multiLevelType w:val="hybridMultilevel"/>
    <w:lvl w:ilvl="0">
      <w:lvlJc w:val="left"/>
      <w:lvlText w:val="(%1)"/>
      <w:numFmt w:val="lowerLetter"/>
      <w:start w:val="2"/>
    </w:lvl>
  </w:abstractNum>
  <w:abstractNum w:abstractNumId="581">
    <w:nsid w:val="79B69BC9"/>
    <w:multiLevelType w:val="hybridMultilevel"/>
    <w:lvl w:ilvl="0">
      <w:lvlJc w:val="left"/>
      <w:lvlText w:val="(%1)"/>
      <w:numFmt w:val="lowerLetter"/>
      <w:start w:val="1"/>
    </w:lvl>
  </w:abstractNum>
  <w:abstractNum w:abstractNumId="582">
    <w:nsid w:val="2970CC78"/>
    <w:multiLevelType w:val="hybridMultilevel"/>
    <w:lvl w:ilvl="0">
      <w:lvlJc w:val="left"/>
      <w:lvlText w:val="(%1)"/>
      <w:numFmt w:val="lowerLetter"/>
      <w:start w:val="7"/>
    </w:lvl>
  </w:abstractNum>
  <w:abstractNum w:abstractNumId="583">
    <w:nsid w:val="49CA1341"/>
    <w:multiLevelType w:val="hybridMultilevel"/>
    <w:lvl w:ilvl="0">
      <w:lvlJc w:val="left"/>
      <w:lvlText w:val="(%1)"/>
      <w:numFmt w:val="lowerLetter"/>
      <w:start w:val="12"/>
    </w:lvl>
  </w:abstractNum>
  <w:abstractNum w:abstractNumId="584">
    <w:nsid w:val="58D717E"/>
    <w:multiLevelType w:val="hybridMultilevel"/>
    <w:lvl w:ilvl="0">
      <w:lvlJc w:val="left"/>
      <w:lvlText w:val="(%1)"/>
      <w:numFmt w:val="lowerLetter"/>
      <w:start w:val="1"/>
    </w:lvl>
  </w:abstractNum>
  <w:abstractNum w:abstractNumId="585">
    <w:nsid w:val="64C2DDD5"/>
    <w:multiLevelType w:val="hybridMultilevel"/>
    <w:lvl w:ilvl="0">
      <w:lvlJc w:val="left"/>
      <w:lvlText w:val="%1"/>
      <w:numFmt w:val="lowerRoman"/>
      <w:start w:val="1"/>
    </w:lvl>
    <w:lvl w:ilvl="1">
      <w:lvlJc w:val="left"/>
      <w:lvlText w:val="(%2)"/>
      <w:numFmt w:val="lowerLetter"/>
      <w:start w:val="3"/>
    </w:lvl>
  </w:abstractNum>
  <w:abstractNum w:abstractNumId="586">
    <w:nsid w:val="4244B8DE"/>
    <w:multiLevelType w:val="hybridMultilevel"/>
    <w:lvl w:ilvl="0">
      <w:lvlJc w:val="left"/>
      <w:lvlText w:val="(%1)"/>
      <w:numFmt w:val="lowerRoman"/>
      <w:start w:val="1"/>
    </w:lvl>
    <w:lvl w:ilvl="1">
      <w:lvlJc w:val="left"/>
      <w:lvlText w:val="(%2)"/>
      <w:numFmt w:val="lowerLetter"/>
      <w:start w:val="4"/>
    </w:lvl>
  </w:abstractNum>
  <w:abstractNum w:abstractNumId="587">
    <w:nsid w:val="76490B01"/>
    <w:multiLevelType w:val="hybridMultilevel"/>
    <w:lvl w:ilvl="0">
      <w:lvlJc w:val="left"/>
      <w:lvlText w:val="%1"/>
      <w:numFmt w:val="lowerRoman"/>
      <w:start w:val="1"/>
    </w:lvl>
    <w:lvl w:ilvl="1">
      <w:lvlJc w:val="left"/>
      <w:lvlText w:val="(%2)"/>
      <w:numFmt w:val="lowerLetter"/>
      <w:start w:val="5"/>
    </w:lvl>
  </w:abstractNum>
  <w:abstractNum w:abstractNumId="588">
    <w:nsid w:val="36B19CBF"/>
    <w:multiLevelType w:val="hybridMultilevel"/>
    <w:lvl w:ilvl="0">
      <w:lvlJc w:val="left"/>
      <w:lvlText w:val="(%1)"/>
      <w:numFmt w:val="lowerRoman"/>
      <w:start w:val="1"/>
    </w:lvl>
    <w:lvl w:ilvl="1">
      <w:lvlJc w:val="left"/>
      <w:lvlText w:val="%2"/>
      <w:numFmt w:val="lowerLetter"/>
      <w:start w:val="1"/>
    </w:lvl>
  </w:abstractNum>
  <w:abstractNum w:abstractNumId="589">
    <w:nsid w:val="645EC5AB"/>
    <w:multiLevelType w:val="hybridMultilevel"/>
    <w:lvl w:ilvl="0">
      <w:lvlJc w:val="left"/>
      <w:lvlText w:val="(%1)"/>
      <w:numFmt w:val="lowerLetter"/>
      <w:start w:val="7"/>
    </w:lvl>
  </w:abstractNum>
  <w:abstractNum w:abstractNumId="590">
    <w:nsid w:val="11C5ABEF"/>
    <w:multiLevelType w:val="hybridMultilevel"/>
    <w:lvl w:ilvl="0">
      <w:lvlJc w:val="left"/>
      <w:lvlText w:val="%1"/>
      <w:numFmt w:val="lowerLetter"/>
      <w:start w:val="1"/>
    </w:lvl>
    <w:lvl w:ilvl="1">
      <w:lvlJc w:val="left"/>
      <w:lvlText w:val="(%2)"/>
      <w:numFmt w:val="lowerLetter"/>
      <w:start w:val="1"/>
    </w:lvl>
  </w:abstractNum>
  <w:abstractNum w:abstractNumId="591">
    <w:nsid w:val="5A4744BE"/>
    <w:multiLevelType w:val="hybridMultilevel"/>
    <w:lvl w:ilvl="0">
      <w:lvlJc w:val="left"/>
      <w:lvlText w:val="(%1)"/>
      <w:numFmt w:val="lowerLetter"/>
      <w:start w:val="9"/>
    </w:lvl>
    <w:lvl w:ilvl="1">
      <w:lvlJc w:val="left"/>
      <w:lvlText w:val="%2"/>
      <w:numFmt w:val="lowerLetter"/>
      <w:start w:val="1"/>
    </w:lvl>
  </w:abstractNum>
  <w:abstractNum w:abstractNumId="592">
    <w:nsid w:val="1DC4B111"/>
    <w:multiLevelType w:val="hybridMultilevel"/>
    <w:lvl w:ilvl="0">
      <w:lvlJc w:val="left"/>
      <w:lvlText w:val="(%1)"/>
      <w:numFmt w:val="lowerLetter"/>
      <w:start w:val="3"/>
    </w:lvl>
  </w:abstractNum>
  <w:abstractNum w:abstractNumId="593">
    <w:nsid w:val="4C6E372B"/>
    <w:multiLevelType w:val="hybridMultilevel"/>
    <w:lvl w:ilvl="0">
      <w:lvlJc w:val="left"/>
      <w:lvlText w:val="(%1)"/>
      <w:numFmt w:val="lowerLetter"/>
      <w:start w:val="1"/>
    </w:lvl>
  </w:abstractNum>
  <w:abstractNum w:abstractNumId="594">
    <w:nsid w:val="10236EF"/>
    <w:multiLevelType w:val="hybridMultilevel"/>
    <w:lvl w:ilvl="0">
      <w:lvlJc w:val="left"/>
      <w:lvlText w:val="(%1)"/>
      <w:numFmt w:val="lowerLetter"/>
      <w:start w:val="2"/>
    </w:lvl>
  </w:abstractNum>
  <w:abstractNum w:abstractNumId="595">
    <w:nsid w:val="68D8526B"/>
    <w:multiLevelType w:val="hybridMultilevel"/>
    <w:lvl w:ilvl="0">
      <w:lvlJc w:val="left"/>
      <w:lvlText w:val="(%1)"/>
      <w:numFmt w:val="lowerLetter"/>
      <w:start w:val="3"/>
    </w:lvl>
  </w:abstractNum>
  <w:abstractNum w:abstractNumId="596">
    <w:nsid w:val="3C8CC138"/>
    <w:multiLevelType w:val="hybridMultilevel"/>
    <w:lvl w:ilvl="0">
      <w:lvlJc w:val="left"/>
      <w:lvlText w:val="(%1)"/>
      <w:numFmt w:val="lowerLetter"/>
      <w:start w:val="1"/>
    </w:lvl>
  </w:abstractNum>
  <w:abstractNum w:abstractNumId="597">
    <w:nsid w:val="42E8C7BE"/>
    <w:multiLevelType w:val="hybridMultilevel"/>
    <w:lvl w:ilvl="0">
      <w:lvlJc w:val="left"/>
      <w:lvlText w:val="(%1)"/>
      <w:numFmt w:val="lowerLetter"/>
      <w:start w:val="2"/>
    </w:lvl>
  </w:abstractNum>
  <w:abstractNum w:abstractNumId="598">
    <w:nsid w:val="653CDC22"/>
    <w:multiLevelType w:val="hybridMultilevel"/>
    <w:lvl w:ilvl="0">
      <w:lvlJc w:val="left"/>
      <w:lvlText w:val="(%1)"/>
      <w:numFmt w:val="lowerLetter"/>
      <w:start w:val="1"/>
    </w:lvl>
  </w:abstractNum>
  <w:abstractNum w:abstractNumId="599">
    <w:nsid w:val="103B2716"/>
    <w:multiLevelType w:val="hybridMultilevel"/>
    <w:lvl w:ilvl="0">
      <w:lvlJc w:val="left"/>
      <w:lvlText w:val="(%1)"/>
      <w:numFmt w:val="lowerLetter"/>
      <w:start w:val="3"/>
    </w:lvl>
  </w:abstractNum>
  <w:abstractNum w:abstractNumId="600">
    <w:nsid w:val="156827FB"/>
    <w:multiLevelType w:val="hybridMultilevel"/>
    <w:lvl w:ilvl="0">
      <w:lvlJc w:val="left"/>
      <w:lvlText w:val="(%1)"/>
      <w:numFmt w:val="lowerRoman"/>
      <w:start w:val="1"/>
    </w:lvl>
  </w:abstractNum>
  <w:abstractNum w:abstractNumId="601">
    <w:nsid w:val="6350AC35"/>
    <w:multiLevelType w:val="hybridMultilevel"/>
    <w:lvl w:ilvl="0">
      <w:lvlJc w:val="left"/>
      <w:lvlText w:val="(%1)"/>
      <w:numFmt w:val="lowerRoman"/>
      <w:start w:val="6"/>
    </w:lvl>
  </w:abstractNum>
  <w:abstractNum w:abstractNumId="602">
    <w:nsid w:val="767725AB"/>
    <w:multiLevelType w:val="hybridMultilevel"/>
    <w:lvl w:ilvl="0">
      <w:lvlJc w:val="left"/>
      <w:lvlText w:val="(%1)"/>
      <w:numFmt w:val="lowerLetter"/>
      <w:start w:val="2"/>
    </w:lvl>
  </w:abstractNum>
  <w:abstractNum w:abstractNumId="603">
    <w:nsid w:val="4748C06A"/>
    <w:multiLevelType w:val="hybridMultilevel"/>
    <w:lvl w:ilvl="0">
      <w:lvlJc w:val="left"/>
      <w:lvlText w:val="(%1)"/>
      <w:numFmt w:val="lowerLetter"/>
      <w:start w:val="2"/>
    </w:lvl>
  </w:abstractNum>
  <w:abstractNum w:abstractNumId="604">
    <w:nsid w:val="254D9EA9"/>
    <w:multiLevelType w:val="hybridMultilevel"/>
    <w:lvl w:ilvl="0">
      <w:lvlJc w:val="left"/>
      <w:lvlText w:val="(%1)"/>
      <w:numFmt w:val="lowerLetter"/>
      <w:start w:val="2"/>
    </w:lvl>
  </w:abstractNum>
  <w:abstractNum w:abstractNumId="605">
    <w:nsid w:val="1FBD3AA3"/>
    <w:multiLevelType w:val="hybridMultilevel"/>
    <w:lvl w:ilvl="0">
      <w:lvlJc w:val="left"/>
      <w:lvlText w:val="%1"/>
      <w:numFmt w:val="lowerLetter"/>
      <w:start w:val="1"/>
    </w:lvl>
    <w:lvl w:ilvl="1">
      <w:lvlJc w:val="left"/>
      <w:lvlText w:val="(%2)"/>
      <w:numFmt w:val="lowerLetter"/>
      <w:start w:val="3"/>
    </w:lvl>
  </w:abstractNum>
  <w:abstractNum w:abstractNumId="606">
    <w:nsid w:val="18C6B4F2"/>
    <w:multiLevelType w:val="hybridMultilevel"/>
    <w:lvl w:ilvl="0">
      <w:lvlJc w:val="left"/>
      <w:lvlText w:val="(%1)"/>
      <w:numFmt w:val="lowerLetter"/>
      <w:start w:val="1"/>
    </w:lvl>
    <w:lvl w:ilvl="1">
      <w:lvlJc w:val="left"/>
      <w:lvlText w:val="(%2)"/>
      <w:numFmt w:val="lowerLetter"/>
      <w:start w:val="4"/>
    </w:lvl>
  </w:abstractNum>
  <w:abstractNum w:abstractNumId="607">
    <w:nsid w:val="40BAD55"/>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608">
    <w:nsid w:val="E5B2573"/>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2"/>
    </w:lvl>
  </w:abstractNum>
  <w:abstractNum w:abstractNumId="609">
    <w:nsid w:val="5D175EF2"/>
    <w:multiLevelType w:val="hybridMultilevel"/>
    <w:lvl w:ilvl="0">
      <w:lvlJc w:val="left"/>
      <w:lvlText w:val="%1"/>
      <w:numFmt w:val="lowerRoman"/>
      <w:start w:val="1"/>
    </w:lvl>
    <w:lvl w:ilvl="1">
      <w:lvlJc w:val="left"/>
      <w:lvlText w:val="(%2)"/>
      <w:numFmt w:val="upperLetter"/>
      <w:start w:val="1"/>
    </w:lvl>
  </w:abstractNum>
  <w:abstractNum w:abstractNumId="610">
    <w:nsid w:val="4ED5A137"/>
    <w:multiLevelType w:val="hybridMultilevel"/>
    <w:lvl w:ilvl="0">
      <w:lvlJc w:val="left"/>
      <w:lvlText w:val="(%1)"/>
      <w:numFmt w:val="lowerRoman"/>
      <w:start w:val="3"/>
    </w:lvl>
    <w:lvl w:ilvl="1">
      <w:lvlJc w:val="left"/>
      <w:lvlText w:val="%2"/>
      <w:numFmt w:val="upperLetter"/>
      <w:start w:val="1"/>
    </w:lvl>
  </w:abstractNum>
  <w:abstractNum w:abstractNumId="611">
    <w:nsid w:val="1B1BCCF5"/>
    <w:multiLevelType w:val="hybridMultilevel"/>
    <w:lvl w:ilvl="0">
      <w:lvlJc w:val="left"/>
      <w:lvlText w:val="(%1)"/>
      <w:numFmt w:val="upperLetter"/>
      <w:start w:val="6"/>
    </w:lvl>
  </w:abstractNum>
  <w:abstractNum w:abstractNumId="612">
    <w:nsid w:val="56CDFABB"/>
    <w:multiLevelType w:val="hybridMultilevel"/>
    <w:lvl w:ilvl="0">
      <w:lvlJc w:val="left"/>
      <w:lvlText w:val="(%1)"/>
      <w:numFmt w:val="lowerRoman"/>
      <w:start w:val="3"/>
    </w:lvl>
  </w:abstractNum>
  <w:abstractNum w:abstractNumId="613">
    <w:nsid w:val="78466DAF"/>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614">
    <w:nsid w:val="64E5E036"/>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
    </w:lvl>
  </w:abstractNum>
  <w:abstractNum w:abstractNumId="615">
    <w:nsid w:val="5C5B6C3A"/>
    <w:multiLevelType w:val="hybridMultilevel"/>
    <w:lvl w:ilvl="0">
      <w:lvlJc w:val="left"/>
      <w:lvlText w:val="(%1)"/>
      <w:numFmt w:val="lowerRoman"/>
      <w:start w:val="2"/>
    </w:lvl>
    <w:lvl w:ilvl="1">
      <w:lvlJc w:val="left"/>
      <w:lvlText w:val="(%2)"/>
      <w:numFmt w:val="lowerLetter"/>
      <w:start w:val="4"/>
    </w:lvl>
  </w:abstractNum>
  <w:abstractNum w:abstractNumId="616">
    <w:nsid w:val="5D094B84"/>
    <w:multiLevelType w:val="hybridMultilevel"/>
    <w:lvl w:ilvl="0">
      <w:lvlJc w:val="left"/>
      <w:lvlText w:val="%1"/>
      <w:numFmt w:val="lowerRoman"/>
      <w:start w:val="1"/>
    </w:lvl>
    <w:lvl w:ilvl="1">
      <w:lvlJc w:val="left"/>
      <w:lvlText w:val="(%2)"/>
      <w:numFmt w:val="lowerLetter"/>
      <w:start w:val="5"/>
    </w:lvl>
  </w:abstractNum>
  <w:abstractNum w:abstractNumId="617">
    <w:nsid w:val="272A9914"/>
    <w:multiLevelType w:val="hybridMultilevel"/>
    <w:lvl w:ilvl="0">
      <w:lvlJc w:val="left"/>
      <w:lvlText w:val="(%1)"/>
      <w:numFmt w:val="lowerRoman"/>
      <w:start w:val="2"/>
    </w:lvl>
    <w:lvl w:ilvl="1">
      <w:lvlJc w:val="left"/>
      <w:lvlText w:val="%2"/>
      <w:numFmt w:val="lowerLetter"/>
      <w:start w:val="1"/>
    </w:lvl>
  </w:abstractNum>
  <w:abstractNum w:abstractNumId="618">
    <w:nsid w:val="52A4773B"/>
    <w:multiLevelType w:val="hybridMultilevel"/>
    <w:lvl w:ilvl="0">
      <w:lvlJc w:val="left"/>
      <w:lvlText w:val="(%1)"/>
      <w:numFmt w:val="lowerRoman"/>
      <w:start w:val="4"/>
    </w:lvl>
  </w:abstractNum>
  <w:abstractNum w:abstractNumId="619">
    <w:nsid w:val="13BAE843"/>
    <w:multiLevelType w:val="hybridMultilevel"/>
    <w:lvl w:ilvl="0">
      <w:lvlJc w:val="left"/>
      <w:lvlText w:val="(%1)"/>
      <w:numFmt w:val="lowerLetter"/>
      <w:start w:val="2"/>
    </w:lvl>
  </w:abstractNum>
  <w:abstractNum w:abstractNumId="620">
    <w:nsid w:val="B895EBF"/>
    <w:multiLevelType w:val="hybridMultilevel"/>
    <w:lvl w:ilvl="0">
      <w:lvlJc w:val="left"/>
      <w:lvlText w:val="(%1)"/>
      <w:numFmt w:val="lowerLetter"/>
      <w:start w:val="2"/>
    </w:lvl>
  </w:abstractNum>
  <w:abstractNum w:abstractNumId="621">
    <w:nsid w:val="646A232A"/>
    <w:multiLevelType w:val="hybridMultilevel"/>
    <w:lvl w:ilvl="0">
      <w:lvlJc w:val="left"/>
      <w:lvlText w:val="(%1)"/>
      <w:numFmt w:val="upperLetter"/>
      <w:start w:val="3"/>
    </w:lvl>
  </w:abstractNum>
  <w:abstractNum w:abstractNumId="622">
    <w:nsid w:val="6E022D01"/>
    <w:multiLevelType w:val="hybridMultilevel"/>
    <w:lvl w:ilvl="0">
      <w:lvlJc w:val="left"/>
      <w:lvlText w:val="(%1)"/>
      <w:numFmt w:val="lowerLetter"/>
      <w:start w:val="1"/>
    </w:lvl>
  </w:abstractNum>
  <w:abstractNum w:abstractNumId="623">
    <w:nsid w:val="294E0FD0"/>
    <w:multiLevelType w:val="hybridMultilevel"/>
    <w:lvl w:ilvl="0">
      <w:lvlJc w:val="left"/>
      <w:lvlText w:val="(%1)"/>
      <w:numFmt w:val="lowerRoman"/>
      <w:start w:val="2"/>
    </w:lvl>
  </w:abstractNum>
  <w:abstractNum w:abstractNumId="624">
    <w:nsid w:val="30D85A55"/>
    <w:multiLevelType w:val="hybridMultilevel"/>
    <w:lvl w:ilvl="0">
      <w:lvlJc w:val="left"/>
      <w:lvlText w:val="(%1)"/>
      <w:numFmt w:val="lowerRoman"/>
      <w:start w:val="4"/>
    </w:lvl>
  </w:abstractNum>
  <w:abstractNum w:abstractNumId="625">
    <w:nsid w:val="6F0463F1"/>
    <w:multiLevelType w:val="hybridMultilevel"/>
    <w:lvl w:ilvl="0">
      <w:lvlJc w:val="left"/>
      <w:lvlText w:val="%1"/>
      <w:numFmt w:val="lowerRoman"/>
      <w:start w:val="1"/>
    </w:lvl>
    <w:lvl w:ilvl="1">
      <w:lvlJc w:val="left"/>
      <w:lvlText w:val="(%2)"/>
      <w:numFmt w:val="lowerLetter"/>
      <w:start w:val="1"/>
    </w:lvl>
  </w:abstractNum>
  <w:abstractNum w:abstractNumId="626">
    <w:nsid w:val="1226623C"/>
    <w:multiLevelType w:val="hybridMultilevel"/>
    <w:lvl w:ilvl="0">
      <w:lvlJc w:val="left"/>
      <w:lvlText w:val="(%1)"/>
      <w:numFmt w:val="lowerRoman"/>
      <w:start w:val="2"/>
    </w:lvl>
    <w:lvl w:ilvl="1">
      <w:lvlJc w:val="left"/>
      <w:lvlText w:val="(%2)"/>
      <w:numFmt w:val="lowerLetter"/>
      <w:start w:val="3"/>
    </w:lvl>
  </w:abstractNum>
  <w:abstractNum w:abstractNumId="627">
    <w:nsid w:val="6D651B8D"/>
    <w:multiLevelType w:val="hybridMultilevel"/>
    <w:lvl w:ilvl="0">
      <w:lvlJc w:val="left"/>
      <w:lvlText w:val="(%1)"/>
      <w:numFmt w:val="lowerLetter"/>
      <w:start w:val="4"/>
    </w:lvl>
  </w:abstractNum>
  <w:abstractNum w:abstractNumId="628">
    <w:nsid w:val="31ED2BAF"/>
    <w:multiLevelType w:val="hybridMultilevel"/>
    <w:lvl w:ilvl="0">
      <w:lvlJc w:val="left"/>
      <w:lvlText w:val="(%1)"/>
      <w:numFmt w:val="lowerLetter"/>
      <w:start w:val="1"/>
    </w:lvl>
    <w:lvl w:ilvl="1">
      <w:lvlJc w:val="left"/>
      <w:lvlText w:val="(%2)"/>
      <w:numFmt w:val="upperLetter"/>
      <w:start w:val="1"/>
    </w:lvl>
  </w:abstractNum>
  <w:abstractNum w:abstractNumId="629">
    <w:nsid w:val="77633E5E"/>
    <w:multiLevelType w:val="hybridMultilevel"/>
    <w:lvl w:ilvl="0">
      <w:lvlJc w:val="left"/>
      <w:lvlText w:val="(%1)"/>
      <w:numFmt w:val="upperLetter"/>
      <w:start w:val="3"/>
    </w:lvl>
  </w:abstractNum>
  <w:abstractNum w:abstractNumId="630">
    <w:nsid w:val="7DA042A3"/>
    <w:multiLevelType w:val="hybridMultilevel"/>
    <w:lvl w:ilvl="0">
      <w:lvlJc w:val="left"/>
      <w:lvlText w:val="(%1)"/>
      <w:numFmt w:val="lowerLetter"/>
      <w:start w:val="2"/>
    </w:lvl>
  </w:abstractNum>
  <w:abstractNum w:abstractNumId="631">
    <w:nsid w:val="475553AB"/>
    <w:multiLevelType w:val="hybridMultilevel"/>
    <w:lvl w:ilvl="0">
      <w:lvlJc w:val="left"/>
      <w:lvlText w:val="%1"/>
      <w:numFmt w:val="lowerRoman"/>
      <w:start w:val="1"/>
    </w:lvl>
    <w:lvl w:ilvl="1">
      <w:lvlJc w:val="left"/>
      <w:lvlText w:val="(%2)"/>
      <w:numFmt w:val="lowerLetter"/>
      <w:start w:val="1"/>
    </w:lvl>
  </w:abstractNum>
  <w:abstractNum w:abstractNumId="632">
    <w:nsid w:val="5AB3EA93"/>
    <w:multiLevelType w:val="hybridMultilevel"/>
    <w:lvl w:ilvl="0">
      <w:lvlJc w:val="left"/>
      <w:lvlText w:val="(%1)"/>
      <w:numFmt w:val="lowerRoman"/>
      <w:start w:val="1"/>
    </w:lvl>
    <w:lvl w:ilvl="1">
      <w:lvlJc w:val="left"/>
      <w:lvlText w:val="%2"/>
      <w:numFmt w:val="lowerLetter"/>
      <w:start w:val="1"/>
    </w:lvl>
  </w:abstractNum>
  <w:abstractNum w:abstractNumId="633">
    <w:nsid w:val="7417684F"/>
    <w:multiLevelType w:val="hybridMultilevel"/>
    <w:lvl w:ilvl="0">
      <w:lvlJc w:val="left"/>
      <w:lvlText w:val="%1"/>
      <w:numFmt w:val="lowerRoman"/>
      <w:start w:val="1"/>
    </w:lvl>
    <w:lvl w:ilvl="1">
      <w:lvlJc w:val="left"/>
      <w:lvlText w:val="(%2)"/>
      <w:numFmt w:val="lowerRoman"/>
      <w:start w:val="3"/>
    </w:lvl>
    <w:lvl w:ilvl="2">
      <w:lvlJc w:val="left"/>
      <w:lvlText w:val="(%3)"/>
      <w:numFmt w:val="lowerLetter"/>
      <w:start w:val="2"/>
    </w:lvl>
  </w:abstractNum>
  <w:abstractNum w:abstractNumId="634">
    <w:nsid w:val="E9E1415"/>
    <w:multiLevelType w:val="hybridMultilevel"/>
    <w:lvl w:ilvl="0">
      <w:lvlJc w:val="left"/>
      <w:lvlText w:val="(%1)"/>
      <w:numFmt w:val="lowerRoman"/>
      <w:start w:val="10"/>
    </w:lvl>
    <w:lvl w:ilvl="1">
      <w:lvlJc w:val="left"/>
      <w:lvlText w:val="%2"/>
      <w:numFmt w:val="lowerRoman"/>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2021-02-26T17:53:18Z</dcterms:created>
  <dcterms:modified xsi:type="dcterms:W3CDTF">2021-02-26T17:53:18Z</dcterms:modified>
</cp:coreProperties>
</file>