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14C INFORMATION</w:t>
      </w:r>
    </w:p>
    <w:p>
      <w:pPr>
        <w:spacing w:after="0" w:line="13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Information Statement Pursuant to Section 14(c)</w:t>
      </w:r>
    </w:p>
    <w:p>
      <w:pPr>
        <w:spacing w:after="0" w:line="2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line="282" w:lineRule="auto"/>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311150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516" w:right="10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200660</wp:posOffset>
            </wp:positionV>
            <wp:extent cx="3334385"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334385" cy="6597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719"/>
        <w:spacing w:after="0" w:line="261" w:lineRule="auto"/>
        <w:rPr>
          <w:sz w:val="20"/>
          <w:szCs w:val="20"/>
          <w:color w:val="auto"/>
        </w:rPr>
      </w:pPr>
      <w:r>
        <w:rPr>
          <w:rFonts w:ascii="Times New Roman" w:cs="Times New Roman" w:eastAsia="Times New Roman" w:hAnsi="Times New Roman"/>
          <w:sz w:val="18"/>
          <w:szCs w:val="18"/>
          <w:color w:val="auto"/>
        </w:rPr>
        <w:t>DROPBOX, INC. 1800 OWENS STREET SAN FRANCISCO, CALIFORNIA 94158</w:t>
      </w:r>
    </w:p>
    <w:p>
      <w:pPr>
        <w:spacing w:after="0" w:line="200" w:lineRule="exact"/>
        <w:rPr>
          <w:sz w:val="20"/>
          <w:szCs w:val="20"/>
          <w:color w:val="auto"/>
        </w:rPr>
      </w:pPr>
    </w:p>
    <w:p>
      <w:pPr>
        <w:sectPr>
          <w:pgSz w:w="11900" w:h="16838" w:orient="portrait"/>
          <w:cols w:equalWidth="0" w:num="2">
            <w:col w:w="5840" w:space="720"/>
            <w:col w:w="2459"/>
          </w:cols>
          <w:pgMar w:left="1440" w:top="688" w:right="1440" w:bottom="144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ARE NOT ASKING YOU FOR A PROXY AND YOU 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REQUESTED NOT TO SEND US A PROXY</w:t>
      </w:r>
    </w:p>
    <w:p>
      <w:pPr>
        <w:spacing w:after="0" w:line="3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NOTICE OF STOCKHOLDER ACTION BY WRITTEN CONSENT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Dropbox, Inc.:</w:t>
      </w:r>
    </w:p>
    <w:p>
      <w:pPr>
        <w:spacing w:after="0" w:line="11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are delivering this Notice and the accompanying Information Statement to the stockholders of record, as of the close of business on January 28, 2025 (the “Record Date”), of Class A Common Stock, par value $0.00001 per share (“Class A common stock”), and Class B Common Stock, par value $0.00001 per share (“Class B common stock”), of Dropbox, Inc. (the “Company,” “we” or “our”).</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purpose of the Information Statement is to inform our stockholders that on the Record Date, stockholders of the Company holding at least a majority of the voting power of our outstanding shares of capital stock entitled to vote, adopted resolutions by written consent in lieu of a meeting of stockholders to approve the reincorporation of the Company from the State of Delaware to the State of Nevada by conversion (the “Nevada Reincorporation”). On the Record Date, the Consenting Stockholders (as defined below) delivered to the Company a written consent (the “Written Consent”) to approve the Nevada Reincorporation.</w:t>
      </w:r>
    </w:p>
    <w:p>
      <w:pPr>
        <w:spacing w:after="0" w:line="79"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The “Consenting Stockholders” are, collectively, Andrew Houston, the Houston Remainder Trust u/a/ 12/30/2010, Andrew Houston Revocable Trust u/a/d 9/7/2011, and the Houston 2012 Irrevocable Children’s Trust dated 4/12/2012. As of the close of business on the Record Date, the Consenting Stockholders together held 8,983,394 shares of the Company’s Class A Common Stock and 75,987,893 shares of the Company’s Class B common stock, representing approximately 77.3% of the voting power of our outstanding shares of capital stock entitled to vote.</w:t>
      </w:r>
    </w:p>
    <w:p>
      <w:pPr>
        <w:spacing w:after="0" w:line="2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purpose of this Notice and the accompanying Information Statement is to (1) inform the Company’s stockholders of the action described above before it takes effect in accordance with Rule 14c-2 promulgated under the Securities Exchange Act of 1934, as amended (the “Exchange Act”), and (2) provide the notice to our stockholders of a corporate action taken by our stockholders without a meeting as required under Section 228(e) of the General Corporation Law of the State of Delaware. In accordance with Rule 14c-2 under the Exchange Act, we plan to effectuate the Nevada Reincorporation no earlier than twenty (20) calendar days after the commencement of mailing of this Information Statement to our stockholders. The Information Statement is first being mailed to stockholders on or about February 10, 2025.</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Nevada Reincorporation was unanimously approved and recommended by our board of directors prior to the stockholder action by written consent described in the Information Statement.</w:t>
      </w:r>
    </w:p>
    <w:p>
      <w:pPr>
        <w:spacing w:after="0" w:line="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606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1800 Owens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this Information Statement, unless the context otherwise requires, “Dropbox, Inc.,” the “Company,” “we,” “us” and “our” and similar expressions refer to Dropbox, Inc., a Delaware corporation. This Information Statement is being sent to inform our stockholders that stockholders holding a majority of the voting power of the Company’s outstanding Class A Common Stock, par value $0.00001 per share (“Class A Common Stock”), and Class B Common Stock, par value $0.00001 per share (“Class B Common Stock” and together with the Class A Common Stock, “Common Stock”), voting together as a single class, took action by written consent to approve the reincorporation of the Company from the State of Delaware to the State of Nevada (the “Nevada Reincorporation”) by conversion pursuant to which the Company would be converted from a corporation organized under the laws of the State of Delaware to a corporation organized under the laws of the State of Nevada (the “Nevada Corporation”). On January 17, 2025, our board of directors unanimously approved and recommended the Nevada Reincorporation for approval by the Company’s stockholders. On January 28, 2025, the Consenting Stockholders (as defined below) delivered to the Company a written consent (the “Written Consent”) approving the Nevada Reincorporation, including the resolutions of our board of directors approving the Nevada Reincorporation (the “Nevada Reincorporation Resolutions”).</w:t>
      </w:r>
    </w:p>
    <w:p>
      <w:pPr>
        <w:spacing w:after="0" w:line="8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sent on February 10, 2025 to the Company’s stockholders of record as of January 28, 2025 (the “Record Date”) that did not execute the Written Consent. This Information Statement constitutes notice to our stockholders of a corporate action taken by our stockholders without a meeting as required by Section 228 of the General Corporation Law of the State of Delaware (the “DGCL”).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the costs of preparing and sending out the enclosed Notice and this Information Statement. We will require brokerage houses, nominees, custodians, fiduciaries and other like parties to forward this Information Statement to the beneficial owners of our Class A Common Stock and Class B Common Stock held by them and we will reimburse such persons for out-of-pocket expenses incurred in forwarding such materials.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 ARE NOT ASKING YOU FOR A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YOU ARE REQUESTED NOT TO SEND US A PROXY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Action by Written Consent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Section 228 of the DGCL, Article VIII.5 of the restated certificate of incorporation of the Company (the “Delaware Charter”) and Section 2.10 of the Company’s Amended and Restated Bylaws (the “Delaware Bylaws”) provide that stockholders of the Company may act by written consent without a meeting, without prior notice and without a vote, if a consent or consents in writing, setting forth the actions to be taken, are signed by stockholders holding a number of outstanding shares representing not less than the minimum number of votes that would be necessary to authorize or take such actions at a meeting at which all shares entitled to vote thereon were present and voted and, pursuant to the Delaware Charter, the action is first recommended or approved by our board of directors. Pursuant to Section 266 of the DGCL, the Nevada Reincorporation may be approved by the affirmative vote of a majority of the voting power of the outstanding shares of the capital stock of the Company entitled to vote thereon.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the Record Date, the Consenting Stockholders held 8,983,394 shares of Class A Common Stock and 75,987,893 shares of Class B Common Stock, representing approximately 77.3% of the voting power of the outstanding shares of capital stock of the Company, on a combined basis. All of the shares of capital stock of the Company held by the Consenting Stockholders are beneficially owned by Andrew Houston. Mr. Houston is the Company’s Chairman of the Board and Chief Executive Officer.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Vote Required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is not seeking consents, authorizations or proxies from you. Approval of the holders of a majority of the voting power of the outstanding Class A Common Stock and Class B Common Stock, voting together as a single class, was required to approve the Nevada Reincorporation.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 w:name="page4"/>
    <w:bookmarkEnd w:id="3"/>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the Record Date, there were 224,977,458 shares of Class A Common Stock outstanding and entitled to vote, and 76,925,771 shares of Class B Common Stock outstanding and entitled to vote. On January 28, 2025, the Company received the Written Consent from the Consenting Stockholders approving the Nevada Reincorporation. Receipt of the Written Consent from the Consenting Stockholders representing a majority of the voting power of the outstanding shares of capital stock of the Company, on a combined basis, following approval by our board of directors, satisfies the requirements of Section 266 of the DGCL and Article VIII.5 of the Delaware Charter and Section 2.10 of the Delaware Bylaws.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Pursuant to Section 228(e) of the DGCL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Section 228(e) of the DGCL, the Company is required to provide prompt notice of the taking of a corporate action by less than unanimous written consent of stockholders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This Information Statement serves as the notice required by Section 228(e) of the DGCL.</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Terms of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has unanimously approved, and recommended that our stockholders approve, the Nevada Reincorporation, pursuant to which the Company would be converted from a corporation organized under the laws of the State of Delaware to the Nevada Corporation, and adopt the Nevada Reincorporation Resolution included as Appendix A to this Information Statement.</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Nevada Reincorporation will be effected through a conversion pursuant to Section 266 of the DGCL, and Sections 92A.195 and 92A.205 of the Nevada Revised Statutes, as amended (“NRS”), as set forth in the plan of conversion (the “Plan of Conversion”), included as Appendix B to this Information Statement.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the adoption of the Plan of Conversion, upon the Nevada Reincorporation:</w:t>
      </w:r>
    </w:p>
    <w:p>
      <w:pPr>
        <w:spacing w:after="0" w:line="63" w:lineRule="exact"/>
        <w:rPr>
          <w:sz w:val="20"/>
          <w:szCs w:val="20"/>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in existence as a Nevada corporation and will continue to operate our business under the current name, “Dropbox, Inc.” The corporate existence of Dropbox, Inc. will not cease at any time.</w:t>
      </w:r>
    </w:p>
    <w:p>
      <w:pPr>
        <w:spacing w:after="0" w:line="1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will cease to be governed by Delaware law and will instead be subject to Nevada law. See “What Changes After Nevada Reincorporation?—Certain Differences in Stockholder Rights under Delaware and Nevada Law” below.</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cease to be governed by the Delaware Charter, which is included as Appendix C to this Information Statement, and the Delaware Bylaws, which are included as Appendix D to this Information Statement, and will instead be subject to the provisions of the proposed Nevada articles of incorporation (the “Nevada Charter”) and the proposed Nevada bylaws (the “Nevada Bylaws”), forms of which are included as Appendix E and Appendix F, respectively, to this Information Statement. See “What Changes After Nevada Reincorporation?—Certain Differences Between the Delaware Charter and Bylaws and Nevada Charter and Bylaws” below.</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Reincorporation will not result in any change in headquarters, business, jobs, management, properties, location of any of our offices or facilities, number of employees, obligations, assets, liabilities or net worth (other than as a result of the transaction costs related to the Nevada Reincorporation).</w:t>
      </w:r>
    </w:p>
    <w:p>
      <w:pPr>
        <w:spacing w:after="0" w:line="1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A Common Stock will be automatically converted into one outstanding share of Class A Common Stock of the Nevada Corporation pursuant to the Plan of Conversion.</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B Common Stock will be automatically converted into one outstanding share of the Class B Common Stock of the Nevada Corporation pursuant to the Plan of Conversion.</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need to exchange their existing stock certificates or book entry entitlements for new stock certificates or book entry entitlements, respectively.</w:t>
      </w:r>
    </w:p>
    <w:p>
      <w:pPr>
        <w:spacing w:after="0" w:line="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restricted stock unit (including performance units), option or right to acquire shares of our Class A Common Stock or Class B Common Stock, as applicable, will continue in existence and automatically become a restricted stock award, restricted stock unit, option or right to acquire an equal number of shares of Class A Common Stock or Class B Common Stock, as applicable, of the Nevada Corporation under the same terms and conditions.</w:t>
      </w:r>
    </w:p>
    <w:p>
      <w:pPr>
        <w:spacing w:after="0" w:line="2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continue to be traded on The Nasdaq Global Select Market under the symbol “DBX.” We do not expect any interruption in the trading of our Class A Common Stock as a result of the Nevada Reincorporation.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 w:name="page5"/>
    <w:bookmarkEnd w:id="4"/>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the Nevada Reincorporation, the Company intends to make filings with the Secretary of State of Nevada and the Secretary of State of Delaware and does not anticipate making any other filings to effect the Nevada Reincorporation. Nonetheless, we may face legal challenges to the Nevada Reincorporation, including, among others, stockholder challenges under Delaware law, seeking to delay or prevent the Nevada Reincorporation.</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Nevada Reincorporation may be delayed by our board of directors, or the Plan of Conversion may be terminated and abandoned by action of our board of directors, at any time prior to the effectiveness of the conversion (the “Effective Time”), if our board of directors determines for any reason that such delay or abandonment would be in the best interests of the Company and all of its stockholders.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not entitled to appraisal rights with respect to the Nevada Reincorporation. If the Nevada Reincorporation is completed, holders of record and beneficial owners of our Class B Common Stock who (1) do not consent to or otherwise vote in favor of the Nevada Reincorporation; (2) properly demand appraisal of their shares; (3) continuously hold of record or beneficially own their shares through the Effective Time; (4) otherwise comply with the procedures of Section 262 of the DGCL; and (5) do not withdraw their demands or otherwise lose their rights to appraisal may, subject to the conditions thereof, seek appraisal of their shares in connection with the Nevada Reincorporation under Section 262 of the DGCL. As a matter of law, the Consenting Stockholders have waived their appraisal rights by virtue of consenting to the Nevada Reincorporation.</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Nevada Reincorporation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Like many corporations, Dropbox incorporated in Delaware. A large number of U.S. corporations have historically chosen Delaware as their state of incorporation because of, among other reasons, the extensive experience of the Delaware courts in adjudicating corporate and business-related matters.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is in a transformational period. The Company’s core File, Sync and Share business has matured, and the Company has been working to build its next phase of growth with products like Dash, our standalone universal search product that leverages artificial intelligence and machine learning to help organize our users’ cloud content. Artificial intelligence gives us new tools to address universal problems, such as spending too much time searching for files, organizing and sharing cloud content across platforms. This market is moving fast and investors are pouring hundreds of millions of dollars into the space. This both validates the opportunity the Company has been pursuing and underscores the need for even more urgency, aggressive investment, and decisive action. Recently, the Company reduced its workforce by approximately 20%, cutting areas where the Company was over-invested or underperforming to better align our teams around key priorities. Further, the Company announced a $2.0 billion secured term loan and a $1.2 billion repurchase program to support the Company’s capital return commitment and also further invest in the Company’s strategy to accelerate the growth of new products. It will take time to change the Company’s growth trajectory, and the Company needs to stay focused and prioritize to capture the opportunity.</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part of its ongoing monitoring of the legal environment for corporations, members of the Company’s management have generally considered matters relating to Delaware law and the differences among jurisdictions for corporate domiciliation and have apprised our board of directors of those matters, in particular at a board meeting in September 2024.</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 Evaluation of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a meeting held on October 23, 2024, our board of directors, Chief Legal Officer and representatives of Wilson Sonsini Goodrich &amp; Rosati, P.C. (“Wilson Sonsini”), counsel to the Company, met to discuss a number of matters, including a potential reincorporation by the Company and an appropriate process by which our board of directors could evaluate whether the Company should undertake a reincorporation.</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of directors agreed at that meeting to form a committee of our board of directors (the “evaluation committee”) that could function as a working group to study and evaluate the relevant information and considerations and receive input from advisors, experts, members of the Company’s management and any other persons it deemed appropriate, and make a recommendation to the board of directors with respect to a potential reincorporation.</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members of the evaluation committee were Lisa Campbell, who served as chairperson, Paul Jacobs and Karen Peacock. In addition, Don Blair, the Company’s lead independent director, was named an ex officio member of the evaluation committee. The board of directors believed these directors were appropriate to comprise the evaluation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 w:name="page6"/>
    <w:bookmarkEnd w:id="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committee because Ms. Campbell and Dr. Jacobs constitute the Company’s Nominating and Corporate Governance Committee, which is responsible for reviewing and recommending to the board of directors any changes to the Company’s corporate governance framework (including to its certificate of incorporation and bylaws); Ms. Peacock has significant experience in executive-level operational roles, including in organizations navigating business transformations similar to that confronting the Company; and Mr. Blair is the Company’s lead independent director.</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Following its formation, the evaluation committee met formally on six occasions. All members of the evaluation committee were present at each of these evaluation committee meetings. In addition to formal meetings, representatives of Wilson Sonsini, counsel to the Company, and representatives of Cadwalader, Wickersham &amp; Taft LLP (“Cadwalader”), counsel to the evaluation committee, convened on multiple occasions throughout the process to discuss certain logistical and procedural matters. These discussions facilitated the efficient coordination of the evaluation committee’s work and ensured that all relevant parties were aligned on the process.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evaluation process and after interviewing three law firms, the evaluation committee determined to engage Cadwalader as outside counsel to the evaluation committee. Additionally, to assist the evaluation committee in considering a potential reincorporation, the evaluation committee elected to engage a corporate law and governance expert, Professor Steven Davidoff Solomon of the University of California, Berkeley School of Law. The evaluation committee also received input from Brownstein Hyatt Farber Schreck, LLP (“BHFS), the Company’s Nevada counsel, with regard to matters of Nevada law.</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evaluation committee met on November 4, 2024 to discuss various considerations regarding a potential reincorporation. Representatives of Wilson Sonsini, the Company and BHFS participated in a substantial portion of the meeting, after which the evaluation committee met in executive session without external representatives for the balance of the meeting.</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November 14, 2024, the evaluation committee met to discuss the committee process, governance for the committee, topics to be covered and advisors that the evaluation committee wished to engage. Representatives of the Company joined the evaluation committee briefly at the beginning of the meeting, and the remainder of the meeting was conducted exclusively with members of the evaluation committee present.</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November 21, 2024, the evaluation committee began by meeting with representatives of Cadwalader, during which Stephen Fraidin of Cadwalader reiterated to the evaluation committee the rationale for the evaluation committee’s formation and its mandate to become informed with respect to a potential reincorporation. Mr. Fraidin also provided a brief explanation of recent developments in Delaware case law and explained various legal concepts relevant to the evaluation committee’s deliberations. Following this discussion, representatives of Wilson Sonsini, the Company and BHFS, along with Professor Solomon, joined the meeting. As part of his engagement, Professor Solomon presented on various matters, including the value attributable to a company’s situs of incorporation, perspectives on potential states to which the Company could reincorporate and legal and policy distinctions between Delaware and Nevada. After discussion, the evaluation committee convened in executive session with only members of the evaluation committee and representatives of Cadwalader present.</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November 25, 2024, the evaluation committee met to discuss a presentation from Cadwalader, which covered certain reincorporation considerations in Delaware, Maryland and Nevada. Mr. Fraidin provided a voice-over narrative while presenting, and members of the evaluation committee asked questions during and after the presentation. The evaluation committee discussed the evolving legal environment in Delaware and recent development in Delaware case law as part of a larger discussion regarding the current legal climate in Delaware. Attendance at such meeting was limited to evaluation committee members and representatives of Cadwalader.</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At a meeting of our board of directors on December 10, 2024, the evaluation committee reported on the status of its activities to our board of directors.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Thereafter, on December 16, 2024, the evaluation committee met to discuss and evaluate the Company’s potential reincorporation, and to further discuss the evaluation committee’s recommendation to the board of directors. The evaluation committee initially convened with representatives of Cadwalader, who were later joined by representatives of Wilson Sonsini and the Company. With representatives of the Wilson Sonsini and the Company present, there was further discussion of the evaluation committee’s recommendation, including the committee’s unanimous view that the reincorporation was in the best interests of all stockholders. The meeting concluded with an executive session attended by members of the evaluation committee and representatives of Cadwalader.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 w:name="page7"/>
    <w:bookmarkEnd w:id="6"/>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Finally, on January 7, 2025, the evaluation committee met with representatives of Cadwalader to address additional questions of the evaluation committee and certain logistical matters.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Evaluation Committee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After extensive discussion at the evaluation committee meetings, the evaluation committee concluded that the Company and its stockholders would likely be better served during this period of business transformation by Nevada’s business-oriented legal environment. After considering various alternatives, the evaluation committee concluded that Nevada’s statute-focused approach would likely foster more predictability than Delaware’s less predictable common law approach, and that that predictability could be a competitive advantage for the Company in a time of rapid business transformation. At a meeting on January 17, 2025, the evaluation committee delivered its preliminary recommendation, subject to further discussion with the entire board of directors, that the board of directors approve the reincorporation of the Company in Nevada.</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January 17, 2025, at a meeting of our board of directors, the chairperson of the evaluation committee reported the evaluation committee’s recommendation of the Nevada Reincorporation to our board of directors and summarized for our board of directors the evaluation committee’s process, the factors considered by the evaluation committee and the evaluation committee’s rationale in recommending the Nevada Reincorporation to our board of directors. At that meeting, after discussion and consideration, our board of directors unanimously approved the Nevada Reincorporation and recommended that our stockholders approve the Nevada Reincorporation (including the Plan of Conversion, Nevada Charter and Nevada Bylaws) and adopt the Nevada Reincorporation Resolution. On January 28, 2025, the stockholders approved the Nevada Reincorporation (including the Plan of Conversion, Nevada Charter and Nevada Bylaws) and adopted the Nevada Reincorporation Resolution by written consent in lieu of a meeting.</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Nevada Reincorporation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there are several reasons the Nevada Reincorporation is in the best interests of the Company and its stockholders.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above, the Company is in a transformational period. The evaluation committee and our board of directors determined that it is important for the Company to be able to operate with agility during this period of business transformation and that it would be competitively advantageous for the Company to have a predictable, statute-focused legal environment during a time of rapid business change. The evaluation committee and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The evaluation committee and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The evaluation committee and our board of directors believe that a more predictable legal environment will better permit the Company to respond to emerging business trends and conditions as needed.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Associated with the Nevada Reincorporation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Although our board of directors believes that the Nevada Reincorporation is in the best interests of the Company and its stockholders, there can be no assurance that the Nevada Reincorporation will result in all or any of the benefits described in this Information Statement, including the benefits of or resulting from incorporation in Nevada or the application of Nevada law to the internal affairs of the Company.</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Company’s comparison of stockholders’ rights and the material substantive provisions that apply to the board of directors and executive officers under Delaware and Nevada law, see “What Changes After Nevada Reincorporation?—Certain Differences in Stockholder Rights under Delaware and Nevada Law” below.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Delaware and Nevada Law</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Although our board of directors believes that the rights of stockholders under the DGCL and the NRS are substantially the same, the DGCL and Delaware case law collectively are different in certain respects than the NRS and existing Nevada case law in ways that may affect the rights of our stockholders. Please see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 w:name="page8"/>
    <w:bookmarkEnd w:id="7"/>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summary of certain differences in the section titled “What Changes After Nevada Reincorporation?—Certain Differences in Stockholder Rights under Delaware and Nevada Law.”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Nevada Reincorporation.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board of directors has identified certain other areas where the law in Nevada differs in some respect from that of Delaware. These are generally procedural in nature. The most potentially important area is related to antitakeover protections. Both Delaware and Nevada permit a range of antitakeover defenses, including poison pills. Both have prohibitions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they are allowed, as directors of a Nevada corporation would be, to “just say no” to a potential transaction and consider the long-term interests of the corporation and its stockholders.</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Finally, there are various important common law doctrines under Delaware law that have not been adopted by Nevada courts or adopted in the Nevada statutes.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and Litigation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incurred and will incur certain costs in connection with the Nevada Reincorporation, including certain filing fees and legal and other transaction costs. We believe a majority of the costs related to the transaction have already been incurred or will be incurred in connection with the delivery of this Information Statement to stockholders regardless of whether the Nevada Reincorporation is ultimately completed. Many of the expenses that will be incurred and other potential transaction costs are difficult to accurately estimate at the present time, and additional unanticipated costs may be incurred in connection with the Nevada Reincorporation.</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also possible that the Nevada Reincorporation, regardless of merit, results in litigation, with additional expense and distraction for the Company. Further, if a court determines that any such litigation has merit, we may be required to pay substantial monetary damages or attorneys’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color w:val="auto"/>
        </w:rPr>
        <w:t>What Changes After Nevada Reincorporation?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Nevada Reincorporation will effect a change in the legal domicile of the Company and other changes, the most significant of which are described below. Following the Nevada Reincorporation, we will be governed by the NRS instead of the DGCL, and we will be governed by the Nevada Charter and the Nevada Bylaws instead of the Delaware Charter and the Delaware Bylaws. Copies of the Delaware Charter and Delaware Bylaws are included as Appendix C and Appendix D, respectively, to this Information Statement, and copies of the Nevada Charter and Nevada Bylaws are included as Appendix E and Appendix F, respectively, to this Information Statement.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the Delaware Charter and Bylaws and the Nevada Charter and Bylaws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Nevada Charter and the Nevada Bylaws have been drafted with an intent to parallel the Delaware Charter and the Delaware Bylaws to the extent legally possible. However, there are differences between what your rights are under Delaware law and what they will be under Nevada law. In addition, there are differences between the Delaware Charter and Delaware Bylaws and the Nevada Charter and Nevada Bylaws as they will be in effect after the Nevada Reincorporation, particularly with respect to changes (i) that are required by Nevada law or (ii) that are necessary in order to preserve the current rights of stockholders and powers of the board of directors following the Nevada Reincorporation. The following discussion is a summary of certain differences between the Nevada Charter and Nevada Bylaws and the Delaware Charter and Delaware Bylaws. This summary does not cover all the differences between the Delaware Charter and Delaware Bylaws and the Nevada Charter and Nevada Bylaws. This summary is subject to the complete text of the relevant provisions of the Nevada Charter and Nevada Bylaws and the Delaware Charter and Delaware Bylaws. We encourage you to read those documents carefully.</w:t>
      </w:r>
    </w:p>
    <w:p>
      <w:pPr>
        <w:sectPr>
          <w:pgSz w:w="11900" w:h="16838" w:orient="portrait"/>
          <w:cols w:equalWidth="0" w:num="1">
            <w:col w:w="9019"/>
          </w:cols>
          <w:pgMar w:left="1440" w:top="239" w:right="1440" w:bottom="1440" w:gutter="0" w:footer="0" w:header="0"/>
        </w:sect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3"/>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1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Delaware Charter provides that, to the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fullest extent permitted by the DGCL, 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Company shall not be liable to</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or  its  stockholders  for</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monetary damages for breach of fiduciary</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duty as a director, except (a) for any breach</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the  director’s  duty  of  loyalty  to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or its stockholders; (b) for acts 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omissions not in good faith or involving</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  misconduct  or  a  knowing</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violation of law; (c) for the payment of</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unlawful  dividends,  stock  repurchases  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or (d) for any transaction in</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which  the  director  received  an  improper</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personal benefit.</w:t>
            </w: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The NRS, which the Nevada Charter follows, provides that directors and officers are not individually liable to the Company, its stockholders or creditors, unless the presumption of Nevada’s codified “business judgment rule” has been rebutted and it is proven that such person has breached such person’s fiduciary duties as a director or officer and such breach involved intentional misconduct, fraud or a knowing violation of law. Note that Nevada law, which covers both directors and officers, does not categorically exempt breaches of duty of loyalty from exculpation. Liability of directors for improper payment of dividends is subject to the same exculpatory standard applicable to other liabilities.</w:t>
      </w:r>
    </w:p>
    <w:p>
      <w:pPr>
        <w:spacing w:after="0" w:line="200" w:lineRule="exact"/>
        <w:rPr>
          <w:sz w:val="20"/>
          <w:szCs w:val="20"/>
          <w:color w:val="auto"/>
        </w:rPr>
      </w:pPr>
    </w:p>
    <w:p>
      <w:pPr>
        <w:sectPr>
          <w:pgSz w:w="11900" w:h="16838" w:orient="portrait"/>
          <w:cols w:equalWidth="0" w:num="2">
            <w:col w:w="5180" w:space="220"/>
            <w:col w:w="3619"/>
          </w:cols>
          <w:pgMar w:left="1440" w:top="239" w:right="1440" w:bottom="1440" w:gutter="0" w:footer="0" w:header="0"/>
          <w:type w:val="continuous"/>
        </w:sectPr>
      </w:pPr>
    </w:p>
    <w:p>
      <w:pPr>
        <w:spacing w:after="0" w:line="43"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Delaware Bylaws, the Delaware</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Court of Chancery is the sole and exclusive</w:t>
      </w:r>
    </w:p>
    <w:p>
      <w:pPr>
        <w:spacing w:after="0" w:line="9" w:lineRule="exact"/>
        <w:rPr>
          <w:sz w:val="20"/>
          <w:szCs w:val="20"/>
          <w:color w:val="auto"/>
        </w:rPr>
      </w:pPr>
    </w:p>
    <w:p>
      <w:pPr>
        <w:ind w:left="300"/>
        <w:spacing w:after="0"/>
        <w:tabs>
          <w:tab w:leader="none" w:pos="1860" w:val="left"/>
          <w:tab w:leader="none" w:pos="2440" w:val="left"/>
          <w:tab w:leader="none" w:pos="2800" w:val="left"/>
          <w:tab w:leader="none" w:pos="3160" w:val="left"/>
          <w:tab w:leader="none" w:pos="3560" w:val="left"/>
          <w:tab w:leader="none" w:pos="4420" w:val="left"/>
          <w:tab w:leader="none" w:pos="5000" w:val="left"/>
        </w:tabs>
        <w:rPr>
          <w:sz w:val="20"/>
          <w:szCs w:val="20"/>
          <w:color w:val="auto"/>
        </w:rPr>
      </w:pPr>
      <w:r>
        <w:rPr>
          <w:rFonts w:ascii="Times New Roman" w:cs="Times New Roman" w:eastAsia="Times New Roman" w:hAnsi="Times New Roman"/>
          <w:sz w:val="18"/>
          <w:szCs w:val="18"/>
          <w:b w:val="1"/>
          <w:bCs w:val="1"/>
          <w:color w:val="auto"/>
        </w:rPr>
        <w:t>Forum</w:t>
      </w:r>
      <w:r>
        <w:rPr>
          <w:sz w:val="20"/>
          <w:szCs w:val="20"/>
          <w:color w:val="auto"/>
        </w:rPr>
        <w:tab/>
      </w:r>
      <w:r>
        <w:rPr>
          <w:rFonts w:ascii="Times New Roman" w:cs="Times New Roman" w:eastAsia="Times New Roman" w:hAnsi="Times New Roman"/>
          <w:sz w:val="18"/>
          <w:szCs w:val="18"/>
          <w:color w:val="auto"/>
        </w:rPr>
        <w:t>forum</w:t>
        <w:tab/>
        <w:t>for</w:t>
        <w:tab/>
        <w:t>(1)</w:t>
        <w:tab/>
        <w:t>any</w:t>
        <w:tab/>
        <w:t>derivative</w:t>
        <w:tab/>
        <w:t>action</w:t>
        <w:tab/>
        <w:t>or</w:t>
      </w:r>
    </w:p>
    <w:p>
      <w:pPr>
        <w:spacing w:after="0" w:line="9" w:lineRule="exact"/>
        <w:rPr>
          <w:sz w:val="20"/>
          <w:szCs w:val="20"/>
          <w:color w:val="auto"/>
        </w:rPr>
      </w:pPr>
    </w:p>
    <w:p>
      <w:pPr>
        <w:ind w:left="300"/>
        <w:spacing w:after="0"/>
        <w:tabs>
          <w:tab w:leader="none" w:pos="1860" w:val="left"/>
          <w:tab w:leader="none" w:pos="2840" w:val="left"/>
          <w:tab w:leader="none" w:pos="3600" w:val="left"/>
          <w:tab w:leader="none" w:pos="3960" w:val="left"/>
          <w:tab w:leader="none" w:pos="4600" w:val="left"/>
          <w:tab w:leader="none" w:pos="4940" w:val="left"/>
        </w:tabs>
        <w:rPr>
          <w:sz w:val="20"/>
          <w:szCs w:val="20"/>
          <w:color w:val="auto"/>
        </w:rPr>
      </w:pPr>
      <w:r>
        <w:rPr>
          <w:rFonts w:ascii="Times New Roman" w:cs="Times New Roman" w:eastAsia="Times New Roman" w:hAnsi="Times New Roman"/>
          <w:sz w:val="18"/>
          <w:szCs w:val="18"/>
          <w:b w:val="1"/>
          <w:bCs w:val="1"/>
          <w:color w:val="auto"/>
        </w:rPr>
        <w:t>Adjudication for</w:t>
      </w:r>
      <w:r>
        <w:rPr>
          <w:sz w:val="20"/>
          <w:szCs w:val="20"/>
          <w:color w:val="auto"/>
        </w:rPr>
        <w:tab/>
      </w:r>
      <w:r>
        <w:rPr>
          <w:rFonts w:ascii="Times New Roman" w:cs="Times New Roman" w:eastAsia="Times New Roman" w:hAnsi="Times New Roman"/>
          <w:sz w:val="18"/>
          <w:szCs w:val="18"/>
          <w:color w:val="auto"/>
        </w:rPr>
        <w:t>proceeding</w:t>
        <w:tab/>
        <w:t>brought</w:t>
        <w:tab/>
        <w:t>on</w:t>
        <w:tab/>
        <w:t>behalf</w:t>
        <w:tab/>
        <w:t>of</w:t>
        <w:tab/>
        <w:t>the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Disputes</w:t>
      </w:r>
      <w:r>
        <w:rPr>
          <w:sz w:val="20"/>
          <w:szCs w:val="20"/>
          <w:color w:val="auto"/>
        </w:rPr>
        <w:tab/>
      </w:r>
      <w:r>
        <w:rPr>
          <w:rFonts w:ascii="Times New Roman" w:cs="Times New Roman" w:eastAsia="Times New Roman" w:hAnsi="Times New Roman"/>
          <w:sz w:val="18"/>
          <w:szCs w:val="18"/>
          <w:color w:val="auto"/>
        </w:rPr>
        <w:t>Company, (2) any action asserting a claim of</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breach of a fiduciary duty owed by any</w:t>
      </w:r>
    </w:p>
    <w:p>
      <w:pPr>
        <w:spacing w:after="0" w:line="9" w:lineRule="exact"/>
        <w:rPr>
          <w:sz w:val="20"/>
          <w:szCs w:val="20"/>
          <w:color w:val="auto"/>
        </w:rPr>
      </w:pPr>
    </w:p>
    <w:p>
      <w:pPr>
        <w:ind w:left="1880"/>
        <w:spacing w:after="0"/>
        <w:tabs>
          <w:tab w:leader="none" w:pos="2660" w:val="left"/>
          <w:tab w:leader="none" w:pos="3740" w:val="left"/>
          <w:tab w:leader="none" w:pos="4420" w:val="left"/>
          <w:tab w:leader="none" w:pos="4780" w:val="left"/>
        </w:tabs>
        <w:rPr>
          <w:sz w:val="20"/>
          <w:szCs w:val="20"/>
          <w:color w:val="auto"/>
        </w:rPr>
      </w:pPr>
      <w:r>
        <w:rPr>
          <w:rFonts w:ascii="Times New Roman" w:cs="Times New Roman" w:eastAsia="Times New Roman" w:hAnsi="Times New Roman"/>
          <w:sz w:val="18"/>
          <w:szCs w:val="18"/>
          <w:color w:val="auto"/>
        </w:rPr>
        <w:t>director,</w:t>
        <w:tab/>
        <w:t>stockholder,</w:t>
        <w:tab/>
        <w:t>officer</w:t>
        <w:tab/>
        <w:t>or</w:t>
      </w:r>
      <w:r>
        <w:rPr>
          <w:sz w:val="20"/>
          <w:szCs w:val="20"/>
          <w:color w:val="auto"/>
        </w:rPr>
        <w:tab/>
      </w:r>
      <w:r>
        <w:rPr>
          <w:rFonts w:ascii="Times New Roman" w:cs="Times New Roman" w:eastAsia="Times New Roman" w:hAnsi="Times New Roman"/>
          <w:sz w:val="17"/>
          <w:szCs w:val="17"/>
          <w:color w:val="auto"/>
        </w:rPr>
        <w:t>other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employee of the Company to the Company 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Company’s stockholders, (3) any action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asserting a claim arising pursuant to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provision of the DGCL or the Delaware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Charter  or  Delaware  Bylaws,  or  (4)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action asserting a claim governed by the</w:t>
      </w:r>
    </w:p>
    <w:p>
      <w:pPr>
        <w:spacing w:after="0" w:line="9" w:lineRule="exact"/>
        <w:rPr>
          <w:sz w:val="20"/>
          <w:szCs w:val="20"/>
          <w:color w:val="auto"/>
        </w:rPr>
      </w:pPr>
    </w:p>
    <w:p>
      <w:pPr>
        <w:ind w:left="1880"/>
        <w:spacing w:after="0"/>
        <w:tabs>
          <w:tab w:leader="none" w:pos="2580" w:val="left"/>
          <w:tab w:leader="none" w:pos="3220" w:val="left"/>
          <w:tab w:leader="none" w:pos="4020" w:val="left"/>
          <w:tab w:leader="none" w:pos="4460" w:val="left"/>
        </w:tabs>
        <w:rPr>
          <w:sz w:val="20"/>
          <w:szCs w:val="20"/>
          <w:color w:val="auto"/>
        </w:rPr>
      </w:pPr>
      <w:r>
        <w:rPr>
          <w:rFonts w:ascii="Times New Roman" w:cs="Times New Roman" w:eastAsia="Times New Roman" w:hAnsi="Times New Roman"/>
          <w:sz w:val="18"/>
          <w:szCs w:val="18"/>
          <w:color w:val="auto"/>
        </w:rPr>
        <w:t>internal</w:t>
        <w:tab/>
        <w:t>affairs</w:t>
        <w:tab/>
        <w:t>doctrine.</w:t>
        <w:tab/>
        <w:t>The</w:t>
        <w:tab/>
        <w:t>Delaware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Bylaws further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Under the Nevada Bylaws, the Eighth Judicial District Court of the State of Nevada, in Clark County, Nevada shall be the sole and exclusive forum for (1) any derivative action or proceeding brought on behalf of the Company, (2) any action asserting a claim of breach of a fiduciary duty owed by any director, stockholder, officer or other employee of the Company to the Company or the Company’s stockholders, (3) any action asserting a claim pursuant to any provision of the NRS or the Nevada Charter or Nevada Bylaws, including any internal action (as defined in NRS 78.046), or (4) any action</w:t>
      </w:r>
    </w:p>
    <w:p>
      <w:pPr>
        <w:spacing w:after="0" w:line="406" w:lineRule="exact"/>
        <w:rPr>
          <w:sz w:val="20"/>
          <w:szCs w:val="20"/>
          <w:color w:val="auto"/>
        </w:rPr>
      </w:pPr>
    </w:p>
    <w:p>
      <w:pPr>
        <w:sectPr>
          <w:pgSz w:w="11900" w:h="16838" w:orient="portrait"/>
          <w:cols w:equalWidth="0" w:num="2">
            <w:col w:w="5180" w:space="220"/>
            <w:col w:w="3619"/>
          </w:cols>
          <w:pgMar w:left="1440" w:top="239" w:right="1440" w:bottom="1440" w:gutter="0" w:footer="0" w:header="0"/>
          <w:type w:val="continuous"/>
        </w:sectPr>
      </w:pP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type w:val="continuous"/>
        </w:sectPr>
      </w:pPr>
    </w:p>
    <w:bookmarkStart w:id="9" w:name="page10"/>
    <w:bookmarkEnd w:id="9"/>
    <w:p>
      <w:pPr>
        <w:ind w:left="30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3103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5" w:lineRule="exact"/>
        <w:rPr>
          <w:sz w:val="20"/>
          <w:szCs w:val="20"/>
          <w:color w:val="auto"/>
        </w:rPr>
      </w:pPr>
    </w:p>
    <w:p>
      <w:pPr>
        <w:jc w:val="both"/>
        <w:ind w:left="1880"/>
        <w:spacing w:after="0" w:line="255" w:lineRule="auto"/>
        <w:rPr>
          <w:sz w:val="20"/>
          <w:szCs w:val="20"/>
          <w:color w:val="auto"/>
        </w:rPr>
      </w:pPr>
      <w:r>
        <w:rPr>
          <w:rFonts w:ascii="Times New Roman" w:cs="Times New Roman" w:eastAsia="Times New Roman" w:hAnsi="Times New Roman"/>
          <w:sz w:val="18"/>
          <w:szCs w:val="18"/>
          <w:color w:val="auto"/>
        </w:rPr>
        <w:t>provide that the federal district courts of the United States of America are the sole and exclusive forum for the resolution of any claim asserting a cause of action under the Securities Act of 1933, as amended, against any person in connection with any offering of the Company’s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asserting a claim governed by the internal affairs doctrine. The Nevada Bylaws further provide that the federal district courts of the United States of America are the sole and exclusive forum for the resolution of any claim asserting a cause of action under the Securities Act of 1933, as amended, against any person in connection with any offering of the Company’s securities.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sectPr>
      </w:pPr>
    </w:p>
    <w:p>
      <w:pPr>
        <w:spacing w:after="0" w:line="38"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DGCL and the Delaware Bylaws,</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no proxy authorized by a stockholder shall be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Proxies</w:t>
      </w:r>
      <w:r>
        <w:rPr>
          <w:sz w:val="20"/>
          <w:szCs w:val="20"/>
          <w:color w:val="auto"/>
        </w:rPr>
        <w:tab/>
      </w:r>
      <w:r>
        <w:rPr>
          <w:rFonts w:ascii="Times New Roman" w:cs="Times New Roman" w:eastAsia="Times New Roman" w:hAnsi="Times New Roman"/>
          <w:sz w:val="18"/>
          <w:szCs w:val="18"/>
          <w:color w:val="auto"/>
        </w:rPr>
        <w:t>valid after three years from the date of its</w:t>
      </w:r>
    </w:p>
    <w:p>
      <w:pPr>
        <w:spacing w:after="0" w:line="9" w:lineRule="exact"/>
        <w:rPr>
          <w:sz w:val="20"/>
          <w:szCs w:val="20"/>
          <w:color w:val="auto"/>
        </w:rPr>
      </w:pPr>
    </w:p>
    <w:p>
      <w:pPr>
        <w:ind w:left="1880"/>
        <w:spacing w:after="0" w:line="260" w:lineRule="auto"/>
        <w:rPr>
          <w:sz w:val="20"/>
          <w:szCs w:val="20"/>
          <w:color w:val="auto"/>
        </w:rPr>
      </w:pPr>
      <w:r>
        <w:rPr>
          <w:rFonts w:ascii="Times New Roman" w:cs="Times New Roman" w:eastAsia="Times New Roman" w:hAnsi="Times New Roman"/>
          <w:sz w:val="18"/>
          <w:szCs w:val="18"/>
          <w:color w:val="auto"/>
        </w:rPr>
        <w:t>execution unless the proxy provides for a longer period.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The Nevada Bylaws provide that no proxy shall be voted or acted upon after six months from its date, unless the proxy provides for a longer period, which may not exceed seven years unless the proxy is deemed irrevocable pursuant to the applicable provisions of the NRS.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3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The officers of the Company shall consist of</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a chief executive officer and a secretary. The</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Officers</w:t>
      </w:r>
      <w:r>
        <w:rPr>
          <w:sz w:val="20"/>
          <w:szCs w:val="20"/>
          <w:color w:val="auto"/>
        </w:rPr>
        <w:tab/>
      </w:r>
      <w:r>
        <w:rPr>
          <w:rFonts w:ascii="Times New Roman" w:cs="Times New Roman" w:eastAsia="Times New Roman" w:hAnsi="Times New Roman"/>
          <w:sz w:val="18"/>
          <w:szCs w:val="18"/>
          <w:color w:val="auto"/>
        </w:rPr>
        <w:t>Company may have such other officers at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discretion of the board of directors.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The officers of Company shall consist of a president, treasurer and a secretary, or the equivalents of such offices. The Company may have such other officers at the discretion of the board of directors.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33"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Delaware Bylaws, a notice of a</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 Notice</w:t>
      </w:r>
      <w:r>
        <w:rPr>
          <w:sz w:val="20"/>
          <w:szCs w:val="20"/>
          <w:color w:val="auto"/>
        </w:rPr>
        <w:tab/>
      </w:r>
      <w:r>
        <w:rPr>
          <w:rFonts w:ascii="Times New Roman" w:cs="Times New Roman" w:eastAsia="Times New Roman" w:hAnsi="Times New Roman"/>
          <w:sz w:val="18"/>
          <w:szCs w:val="18"/>
          <w:color w:val="auto"/>
        </w:rPr>
        <w:t>stockholders’ meeting must state the place, if</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of Stockholders’</w:t>
      </w:r>
      <w:r>
        <w:rPr>
          <w:sz w:val="20"/>
          <w:szCs w:val="20"/>
          <w:color w:val="auto"/>
        </w:rPr>
        <w:tab/>
      </w:r>
      <w:r>
        <w:rPr>
          <w:rFonts w:ascii="Times New Roman" w:cs="Times New Roman" w:eastAsia="Times New Roman" w:hAnsi="Times New Roman"/>
          <w:sz w:val="18"/>
          <w:szCs w:val="18"/>
          <w:color w:val="auto"/>
        </w:rPr>
        <w:t>any, date and hour of the meeting, the means</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Meetings</w:t>
      </w:r>
      <w:r>
        <w:rPr>
          <w:sz w:val="20"/>
          <w:szCs w:val="20"/>
          <w:color w:val="auto"/>
        </w:rPr>
        <w:tab/>
      </w:r>
      <w:r>
        <w:rPr>
          <w:rFonts w:ascii="Times New Roman" w:cs="Times New Roman" w:eastAsia="Times New Roman" w:hAnsi="Times New Roman"/>
          <w:sz w:val="18"/>
          <w:szCs w:val="18"/>
          <w:color w:val="auto"/>
        </w:rPr>
        <w:t>of remote communications, if any, by which</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stockholders  may  be  deemed  present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person and vote at the meeting, the record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date for the meeting, and in the case of a</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special meeting, the purpose or purposes for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Under the Nevada Bylaws, a notice of a stockholders’ meeting must state the place, if any, date and hour of the meeting, the means of remote communications, if any, by which stockholders may be deemed present in person and vote at the meeting, the record date for the meeting, and in the case of a special meeting, the purpose or purposes for which the meeting is called. The Nevada Bylaws further provide that (i) if a proposed plan of merger, conversion or exchange is to be submitted to a vote at the meeting, the notice of the meeting must state that one of the purposes of the meeting is to consider the plan of merger, conversion or exchange and must contain or be accompanied by a copy or summary of the plan; and (ii) if a proposed action creating dissenter’s rights is to be submitted to a vote at the meeting, the notice of the meeting must state that the stockholders are or may be entitled to assert dissenter’s rights under the applicable provisions of the NRS and be accompanied by a copy of the applicable statutory provisions.</w:t>
      </w:r>
    </w:p>
    <w:p>
      <w:pPr>
        <w:sectPr>
          <w:pgSz w:w="11900" w:h="16838" w:orient="portrait"/>
          <w:cols w:equalWidth="0" w:num="2">
            <w:col w:w="5180" w:space="220"/>
            <w:col w:w="3619"/>
          </w:cols>
          <w:pgMar w:left="1440" w:top="290" w:right="1440" w:bottom="1440" w:gutter="0" w:footer="0" w:header="0"/>
          <w:type w:val="continuous"/>
        </w:sectPr>
      </w:pPr>
    </w:p>
    <w:bookmarkStart w:id="10" w:name="page11"/>
    <w:bookmarkEnd w:id="10"/>
    <w:tbl>
      <w:tblPr>
        <w:tblLayout w:type="fixed"/>
        <w:tblInd w:w="30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3"/>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1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and</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Delaware  Charter  and  the  Delaware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Bylaws provide that any director may be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removed at any time, with or without cause,</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Removal of</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 the affirmative vote of the holders of at</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voting power of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then entitled to vote for</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election of directors, except that when the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is classified, any director</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only be removed from office for cause.</w:t>
            </w:r>
          </w:p>
        </w:tc>
      </w:tr>
      <w:tr>
        <w:trPr>
          <w:trHeight w:val="46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Under the DGCL and the Delaware Bylaws,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Regarding</w:t>
            </w: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 committee of the board of directors shall</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2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not have the power or authority to (i) approve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or adopt, or recommend to the stockholders,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any action or matter (other than the election</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or removal of directors) expressly required</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 the DGCL to be submitted to stockholders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 approval, or (ii) adopt, amend or repeal</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any bylaw of the Company.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108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5"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The Nevada Charter and the Nevada Bylaws provide that any director may be removed from office at any time, with or without cause, in accordance with the NRS. Under the NRS, a director may only be removed by the vote of stockholders representing not less than two-thirds of the voting power of the issued and outstanding stock entitled to vote.</w:t>
      </w:r>
    </w:p>
    <w:p>
      <w:pPr>
        <w:spacing w:after="0" w:line="200" w:lineRule="exact"/>
        <w:rPr>
          <w:sz w:val="20"/>
          <w:szCs w:val="20"/>
          <w:color w:val="auto"/>
        </w:rPr>
      </w:pPr>
    </w:p>
    <w:p>
      <w:pPr>
        <w:spacing w:after="0" w:line="262"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The NRS, and therefore, the Nevada Bylaws, do not contain a similar limitation on the authority of board committees.</w:t>
      </w:r>
    </w:p>
    <w:p>
      <w:pPr>
        <w:spacing w:after="0" w:line="1474" w:lineRule="exact"/>
        <w:rPr>
          <w:sz w:val="20"/>
          <w:szCs w:val="20"/>
          <w:color w:val="auto"/>
        </w:rPr>
      </w:pPr>
    </w:p>
    <w:p>
      <w:pPr>
        <w:sectPr>
          <w:pgSz w:w="11900" w:h="16838" w:orient="portrait"/>
          <w:cols w:equalWidth="0" w:num="2">
            <w:col w:w="5180" w:space="220"/>
            <w:col w:w="3619"/>
          </w:cols>
          <w:pgMar w:left="1440" w:top="290" w:right="1440" w:bottom="1440" w:gutter="0" w:footer="0" w:header="0"/>
        </w:sectPr>
      </w:pPr>
    </w:p>
    <w:p>
      <w:pPr>
        <w:spacing w:after="0" w:line="48"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The  Delaware  Bylaws  do  not  contain  a</w:t>
      </w:r>
    </w:p>
    <w:p>
      <w:pPr>
        <w:spacing w:after="0" w:line="31"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similar provision, and the DGCL does not</w:t>
      </w:r>
    </w:p>
    <w:p>
      <w:pPr>
        <w:spacing w:after="0" w:line="9" w:lineRule="exact"/>
        <w:rPr>
          <w:sz w:val="20"/>
          <w:szCs w:val="20"/>
          <w:color w:val="auto"/>
        </w:rPr>
      </w:pPr>
    </w:p>
    <w:p>
      <w:pPr>
        <w:ind w:left="300"/>
        <w:spacing w:after="0"/>
        <w:tabs>
          <w:tab w:leader="none" w:pos="1860" w:val="left"/>
          <w:tab w:leader="none" w:pos="2560" w:val="left"/>
          <w:tab w:leader="none" w:pos="3460" w:val="left"/>
          <w:tab w:leader="none" w:pos="4120" w:val="left"/>
          <w:tab w:leader="none" w:pos="4420" w:val="left"/>
          <w:tab w:leader="none" w:pos="4800" w:val="left"/>
        </w:tabs>
        <w:rPr>
          <w:sz w:val="20"/>
          <w:szCs w:val="20"/>
          <w:color w:val="auto"/>
        </w:rPr>
      </w:pPr>
      <w:r>
        <w:rPr>
          <w:rFonts w:ascii="Times New Roman" w:cs="Times New Roman" w:eastAsia="Times New Roman" w:hAnsi="Times New Roman"/>
          <w:sz w:val="18"/>
          <w:szCs w:val="18"/>
          <w:b w:val="1"/>
          <w:bCs w:val="1"/>
          <w:color w:val="auto"/>
        </w:rPr>
        <w:t>Acquisition of</w:t>
      </w:r>
      <w:r>
        <w:rPr>
          <w:sz w:val="20"/>
          <w:szCs w:val="20"/>
          <w:color w:val="auto"/>
        </w:rPr>
        <w:tab/>
      </w:r>
      <w:r>
        <w:rPr>
          <w:rFonts w:ascii="Times New Roman" w:cs="Times New Roman" w:eastAsia="Times New Roman" w:hAnsi="Times New Roman"/>
          <w:sz w:val="18"/>
          <w:szCs w:val="18"/>
          <w:color w:val="auto"/>
        </w:rPr>
        <w:t>contain</w:t>
        <w:tab/>
        <w:t>provisions</w:t>
        <w:tab/>
        <w:t>similar</w:t>
        <w:tab/>
        <w:t>to</w:t>
        <w:tab/>
        <w:t>the</w:t>
      </w:r>
      <w:r>
        <w:rPr>
          <w:sz w:val="20"/>
          <w:szCs w:val="20"/>
          <w:color w:val="auto"/>
        </w:rPr>
        <w:tab/>
      </w:r>
      <w:r>
        <w:rPr>
          <w:rFonts w:ascii="Times New Roman" w:cs="Times New Roman" w:eastAsia="Times New Roman" w:hAnsi="Times New Roman"/>
          <w:sz w:val="17"/>
          <w:szCs w:val="17"/>
          <w:color w:val="auto"/>
        </w:rPr>
        <w:t>NRS</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Controlling</w:t>
      </w:r>
      <w:r>
        <w:rPr>
          <w:sz w:val="20"/>
          <w:szCs w:val="20"/>
          <w:color w:val="auto"/>
        </w:rPr>
        <w:tab/>
      </w:r>
      <w:r>
        <w:rPr>
          <w:rFonts w:ascii="Times New Roman" w:cs="Times New Roman" w:eastAsia="Times New Roman" w:hAnsi="Times New Roman"/>
          <w:sz w:val="18"/>
          <w:szCs w:val="18"/>
          <w:color w:val="auto"/>
        </w:rPr>
        <w:t>relating  to  the  acquisition  of  controlling</w:t>
      </w:r>
    </w:p>
    <w:p>
      <w:pPr>
        <w:spacing w:after="0" w:line="9"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Interest Statutes</w:t>
      </w:r>
      <w:r>
        <w:rPr>
          <w:sz w:val="20"/>
          <w:szCs w:val="20"/>
          <w:color w:val="auto"/>
        </w:rPr>
        <w:tab/>
      </w:r>
      <w:r>
        <w:rPr>
          <w:rFonts w:ascii="Times New Roman" w:cs="Times New Roman" w:eastAsia="Times New Roman" w:hAnsi="Times New Roman"/>
          <w:sz w:val="17"/>
          <w:szCs w:val="17"/>
          <w:color w:val="auto"/>
        </w:rPr>
        <w:t>interests.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The Nevada Bylaws provide that the provisions of the NRS relating to acquisitions of controlling interests in the Company do not apply to the Company or to any acquisition of shares of the Company’s capital stock. Please see the Company’s summary of the Nevada acquisition of controlling interest statutes in the section titled “Acquisition of Controlling Interests.”</w:t>
      </w:r>
    </w:p>
    <w:p>
      <w:pPr>
        <w:spacing w:after="0" w:line="200" w:lineRule="exact"/>
        <w:rPr>
          <w:sz w:val="20"/>
          <w:szCs w:val="20"/>
          <w:color w:val="auto"/>
        </w:rPr>
      </w:pPr>
    </w:p>
    <w:p>
      <w:pPr>
        <w:sectPr>
          <w:pgSz w:w="11900" w:h="16838" w:orient="portrait"/>
          <w:cols w:equalWidth="0" w:num="2">
            <w:col w:w="5180" w:space="220"/>
            <w:col w:w="3619"/>
          </w:cols>
          <w:pgMar w:left="1440" w:top="290" w:right="1440" w:bottom="1440" w:gutter="0" w:footer="0" w:header="0"/>
          <w:type w:val="continuous"/>
        </w:sectPr>
      </w:pP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Anti-Takeover Implications of the Nevada Reincorporation</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Nevada Reincorporation is not being effected to prevent a sale of the Company, nor is it in response to any present attempt known to our board of directors to acquire control of the Company or obtain representation on our board of directors. Moreover, as of the date of this Information Statement, Mr. Houston and his affiliates beneficially own approximately 77.3% of the voting power of the Company’s capital stock, and accordingly currently have the ability to discourage, delay, or prevent any attempt to acquire control of the Company. Nevertheless, certain effects of the Nevada Reincorporation may be considered to have anti-takeover implications by virtue of being subject to Nevada law.</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our board of directors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of directors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of directors recognizes that hostile takeover attempts do not always have the unfavorable consequences or effects described above and may be beneficial to stockholders, providing them with considerable value for their shares. However, our board of directors believes that the potential disadvantages of unapproved takeover attempts are sufficiently great that prudent measures are needed to give our board of directors the time and flexibility to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type w:val="continuous"/>
        </w:sectPr>
      </w:pPr>
    </w:p>
    <w:bookmarkStart w:id="11" w:name="page12"/>
    <w:bookmarkEnd w:id="11"/>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Nevada law includes some additional features that may deter hostile takeover attempts. The Nevada Charter contains certain anti-takeover provisions similar to those set forth in the Delaware Charter; both the Delaware Charter and Nevada Charter allow our board of directors alone to fill any directorship vacancies and to set the size of the board of directors. Notwithstanding these similarities, there are certain differences between Nevada and Delaware law which could have a bearing on unapproved takeover attempts. For example, as discussed in greater detail below, the NRS regulates certain business combinations with “interested stockholders” more stringently than the DGCL does in certain respects. Additionally, when a Nevada corporation has a classified board, directors may be removed with or without cause, unlike in Delaware where cause is generally required for removal. Under Nevada law, the default stockholder voting standard for the removal of directors is sixty-six and two-thirds percent (66 2/3%) of the outstanding voting power, while under Delaware law the default standard is a majority of the outstanding stockholder voting power. Nevada also has a statute regulating the acquisition of certain “control shares” that can inhibit certain takeover attempts, but the Company has elected to opt out of the application of that statute in the Nevada Bylaws.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may in the future propose other measures designed to address hostile takeovers apart from those discussed in this Information Statement, if warranted from time to time in the judgment of our board of directors.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in Stockholder Rights under Delaware and Nevada Law</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rights of our stockholders are currently governed by the DGCL, the Delaware Charter and the Delaware Bylaws. Following completion of the Nevada Reincorporation, the rights of our stockholders will be governed by the NRS, the Nevada Charter and the Nevada Bylaws.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Nevada Reincorporation.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Increasing or Decreasing Authorized Capital Stock</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NRS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Delaware law has no similar provision.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both the Delaware Charter and Nevada Charter provide that all directors shall be elected at each annual meeting of stockholders. However, the Delaware Charter provides that, from and after the first date on which the outstanding shares of the Company’s Class B Common Stock represent less than a majority of the total voting power of the then outstanding shares of the Company entitled to vote generally in the election of directors (the “Voting Threshold Date”), our board of directors will be classified into three classes. The Nevada Charter contains a substantially similar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Although the DGCL does not generally grant stockholders cumulative voting rights,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Delaware Charter does not provide for cumulative voting in the election of directors. Similarly, the Nevada Charter does not provide for cumulative voting.</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DGCL, the holders of a majority of the voting power of the outstanding shares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(2/3)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Fiduciary Duties and Business Judgment</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 unless otherwise waived.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i w:val="1"/>
          <w:iCs w:val="1"/>
          <w:color w:val="auto"/>
        </w:rPr>
        <w:t>Flexibility for Decisions, Including Takeovers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 (i) actions that only affect the time of the exercise of stockholders’ voting rights or (ii) the adoption or signing of stockholder rights plans commonly referred to as “poison pills”.</w:t>
      </w:r>
    </w:p>
    <w:p>
      <w:pPr>
        <w:spacing w:after="0" w:line="8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In a number of cases and in certain situations, however,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Limitation on Personal Liability of Directors and Officers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DGCL and the NRS each,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DGCL precludes liability limitation for directors and executive officers for breach of the duty of loyalty,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treat as categorically excluded from its protections breaches of the duty of loyalty or transactions from which a director derives an improper personal benefit. Personal liability of directors for distributions made in violation of the NRS is limited by the same standard. Both the DGCL and the NRS permit limitation of liability for both directors and officers, though the NRS expressly also applies this limitation with respect to liabilities owed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company’s most recent SEC filings) is authorized only in connection with direct claims brought by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 w:name="page15"/>
    <w:bookmarkEnd w:id="14"/>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including class actions. Delaware law does not eliminate monetary liability of officers for breach of fiduciary duty arising out of claims brought by the corporation itself or for derivative claims brought by stockholders in the name of the corporation.</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DGCL and the NRS each permit corporations to indemnify directors, officers, employees and agents in similar circumstances, subject to the differences discussed below.</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liable for breach of his or her fiduciary duties under Nevada’s statutory test. Similarly, with respect to a criminal proceeding, the person seeking indemnification must not have had any reasonable cause to believe his or her conduct was unlawful.</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Both the Delaware Bylaws and the Nevada Bylaws provide for indemnification to the fullest extent permitted by the applicable laws.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Advancement of Expenses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upon receipt of a written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former directors and officers or other current or former employees or agents of the Company or by persons currently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5" w:name="page16"/>
    <w:bookmarkEnd w:id="15"/>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or formerly serving in certain roles at the request of the Company, in certain covered proceedings in advance of their final disposition; upon such terms and conditions, if any, as the Company deems appropriate.</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Action by Written Consent of 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Neither the Delaware Charter or Delaware Bylaws nor the Nevada Charter or Nevada Bylaws limit board action by written consent.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Actions by Written Consent of Stockholders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 the record date for the notice of the meeting were the record date for the action by consent. There is no equivalent requirement under the NRS.</w:t>
      </w:r>
    </w:p>
    <w:p>
      <w:pPr>
        <w:spacing w:after="0" w:line="84"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Until the Voting Threshold Date, neither the Delaware Charter or Delaware Bylaws nor the Nevada Charter or Nevada Bylaws limit stockholder action by written consent. Following the Voting Threshold Date, the Delaware Charter and the Nevada Charter both provide that any action required or permitted to be taken by the Company’s stockholders must be effected at a meeting and may not be effected by written consent.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6" w:name="page17"/>
    <w:bookmarkEnd w:id="16"/>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Delaware Charter and the Nevada Charter provide that any dividends paid to the holders of our Common Stock will be paid pro rata, on an equal priority basis, unless different treatment is approved by a majority of the outstanding shares of the class of Common Stock treated adversely, voting as a separate class.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Restrictions on Business Combinations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Both Delaware and Nevada law provide certain protections to stockholders in connection with certain business combinations. These protections can be found in Section 203 of the DGCL and NRS 78.411 to 78.444, inclusive.</w:t>
      </w:r>
    </w:p>
    <w:p>
      <w:pPr>
        <w:spacing w:after="0" w:line="54"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w:t>
      </w:r>
    </w:p>
    <w:p>
      <w:pPr>
        <w:spacing w:after="0" w:line="1" w:lineRule="exact"/>
        <w:rPr>
          <w:sz w:val="20"/>
          <w:szCs w:val="20"/>
          <w:color w:val="auto"/>
        </w:rPr>
      </w:pPr>
    </w:p>
    <w:p>
      <w:pPr>
        <w:jc w:val="both"/>
        <w:ind w:left="300" w:right="299" w:hanging="8"/>
        <w:spacing w:after="0" w:line="250" w:lineRule="auto"/>
        <w:tabs>
          <w:tab w:leader="none" w:pos="5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w:t>
      </w:r>
    </w:p>
    <w:p>
      <w:pPr>
        <w:spacing w:after="0" w:line="2" w:lineRule="exact"/>
        <w:rPr>
          <w:rFonts w:ascii="Times New Roman" w:cs="Times New Roman" w:eastAsia="Times New Roman" w:hAnsi="Times New Roman"/>
          <w:sz w:val="18"/>
          <w:szCs w:val="18"/>
          <w:color w:val="auto"/>
        </w:rPr>
      </w:pPr>
    </w:p>
    <w:p>
      <w:pPr>
        <w:jc w:val="both"/>
        <w:ind w:left="300" w:right="299" w:hanging="8"/>
        <w:spacing w:after="0" w:line="253" w:lineRule="auto"/>
        <w:tabs>
          <w:tab w:leader="none" w:pos="6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or within the past three years did own, 15% or more of the voting power of the corporation’s outstanding voting stock.</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(66 2/3%) of the outstanding voting power of the voting stock not owned by the interested stockholder.</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However, NRS 78.411 to 78.444, inclusive, regulate combinations more stringently. The NRS imposes a moratorium of up to four years versus Delaware’s three-year moratorium on business combinations. An interested stockholder is defined as a beneficial owner of 10% or more of the voting power. The two-year moratorium can be avoided by advance approval of the combination or the transaction by which such person first becomes an interested stockholder by a corporation’s board of directors. After the person becomes an interested stockholder, the combination must be approved by the board and 60% of the corporation’s voting power not beneficially owned by the interested stockholder, its affiliates and associates, at a meeting of the stockholders. Finally, after the two-year period, up to four years from the date the person first became an interested stockholder, a combination remains prohibited unless: (i)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7" w:name="page18"/>
    <w:bookmarkEnd w:id="17"/>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w:t>
      </w:r>
    </w:p>
    <w:p>
      <w:pPr>
        <w:spacing w:after="0" w:line="1" w:lineRule="exact"/>
        <w:rPr>
          <w:sz w:val="20"/>
          <w:szCs w:val="20"/>
          <w:color w:val="auto"/>
        </w:rPr>
      </w:pPr>
    </w:p>
    <w:p>
      <w:pPr>
        <w:ind w:left="300" w:right="299" w:hanging="8"/>
        <w:spacing w:after="0" w:line="260" w:lineRule="auto"/>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the disinterested stockholders satisfies certain requirements. The combinations statutes in Nevada apply only to Nevada corporations with 200 or more stockholders of record.</w:t>
      </w:r>
    </w:p>
    <w:p>
      <w:pPr>
        <w:spacing w:after="0" w:line="7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The Company has not opted out of the business combination provisions of Section 203 of the DGCL, nor will the Company opt out of the business combination provisions of NRS 78.411 to 78.444, inclusive, under the Nevada Charter. Any opt-out of the business combination provisions of the NRS must be contained in an amendment to the articles of incorporation of a Nevada corporation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 The restrictions of NRS 78.411 to 78.444, inclusive, will not apply to combinations involving Mr. Houston because he will first become an “interested stockholder” when the Company first becomes a Nevada corporation subject to those statutes, and because our board of directors is approving the Nevada Reincorporation.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Acquisition of Controlling Interests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Corporations are entitled to opt out of the above controlling interest provisions of the NRS. In the Nevada Bylaws, the Company has opted out of these provisions.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Vote for Mergers, Asset Sales and Other Corporate Reorganizations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voting power of the shares entitled to vote. The corporation’s board of directors must also approve such transaction. Similarly, under the NRS, a merger or sale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8" w:name="page19"/>
    <w:bookmarkEnd w:id="18"/>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event of certain corporate transactions, including certain mergers and asset sales, the Delaware Charter provides that the assets of the Company legally available for distribution to stockholders shall be distributed on a pro rata basis to the holders of Common Stock, unless different treatment is approved by a majority of the outstanding shares of the Class A Common Stock and the Class B Common Stock, each voting as a separate class. The Nevada Charter contains a parallel provision. In addition, both the Delaware Charter and Nevada Charter provide that the approval of holders of a majority of the outstanding shares of Class B Common Stock, voting as a separate class, is required to effect certain mergers and asset sales irrespective of the manner in which any assets of the Company are distributed to stockholders.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Appraisal or Dissenter’s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demand an appraisal of such beneficial owner’s share and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9" w:name="page20"/>
    <w:bookmarkEnd w:id="19"/>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the stockholder’s shares in the event of (i) accordance of full voting rights under certain circumstances in connection with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w:t>
      </w:r>
    </w:p>
    <w:p>
      <w:pPr>
        <w:spacing w:after="0" w:line="5" w:lineRule="exact"/>
        <w:rPr>
          <w:sz w:val="20"/>
          <w:szCs w:val="20"/>
          <w:color w:val="auto"/>
        </w:rPr>
      </w:pPr>
    </w:p>
    <w:p>
      <w:pPr>
        <w:ind w:left="300" w:right="299" w:hanging="8"/>
        <w:spacing w:after="0" w:line="251" w:lineRule="auto"/>
        <w:tabs>
          <w:tab w:leader="none" w:pos="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spacing w:after="0" w:line="8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Delaware Charter and Delaware Bylaws, a special meeting of stockholders may be called only by (i) a majority of our whole board of directors, (ii) the chairman of our board of directors, (iii) our Chief Executive Officer, (iv) our President (in the absence of a Chief Executive Officer) or (v) prior to the Final Conversion Date (as defined below), the holders of at least 30% of voting power of the Class A Common Stock and Class B Common Stock, voting together as a single class and in compliance with the Delaware Bylaws. The Nevada Charter and the Nevada Bylaws contain substantially similar provisions.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8"/>
          <w:szCs w:val="18"/>
          <w:i w:val="1"/>
          <w:iCs w:val="1"/>
          <w:color w:val="auto"/>
        </w:rPr>
        <w:t>Annual Meetings Pursuant to Petition of Stockholders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Adjournment of Stockholder Meetings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DGCL,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Duration of Proxies</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Quorum and Voting</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DGCL provides that the certificate of incorporation and bylaws may establish quorum and voting requirements,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the DGCL, a bylaw amendment adopted by stockholders which specifies the votes that shall be necessary for the election of directors shall not be further amended or repealed by the board. The Delaware Bylaws provide that unless otherwise required by law, the Delaware Charter, the Delaware Bylaws or the rules of any applicable stock exchange, the holders of shares representing a majority of the voting power of the Company’s capital stock issued and outstanding and entitled to vote, present in person or represented by proxy, shall constitute a quorum at all meetings of the stockholders for the transaction of business. The Delaware Bylaws provide that, except as otherwise required by law, the Delaware Charter or the Delaware Bylaws, the directors are elected by a plurality of the voting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1" w:name="page22"/>
    <w:bookmarkEnd w:id="21"/>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power of the shares present in person or represented by proxy at the meeting and entitled to vote on the election of directors. The Delaware Bylaws also provide that, except as otherwise provided by law, the Delaware Charter, the Delaware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contain quorum and voting provisions substantially similar to those in the Delaware Bylaws.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Inspection Rights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 Stockholders or beneficial owners seeking to inspect books and records to investigate wrongdoing must also state a credible basis to infer wrongdoing.</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Inspection rights under Nevada law are more limited. NRS 78.105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78.105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NRS 78.257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2" w:name="page23"/>
    <w:bookmarkEnd w:id="22"/>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Franchise Tax Savings and Filing Fees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current status as a Delaware corporation physically located in California requires the Company to comply with franchise tax obligations in both Delaware and California. For the most recent franchise tax period, the Company paid approximately $250,000 in franchise taxes to the state of Delaware, which will no longer be required to be paid if the Nevada Reincorporation is completed. If the Nevada Reincorporation is completed, our current annual fees in Nevada will consist of an annual state business license fee of $500 and the fee for filing the Company’s annual list of directors and officers based on the number of authorized shares and their par value, currently equal to $2,025.</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will continue to pay annual filing fees to qualify as a foreign jurisdiction in California, and there are certain immaterial fees associated with effecting the Nevada Reincorporation via conversion that the Company will be required to pay.</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Matters That Will Not Change After Nevada Reincorporation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Apart from being governed by the Nevada Charter, Nevada Bylaws and the NRS, upon completion of the Nevada Reincorporation, the Company will continue to exist, without interruption, in the form of a Nevada corporation. By virtue of the Nevada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Change in Business, Jobs or Physical Location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Nevada Reincorporation will not result in any change in business, jobs, management, properties, location of any of our offices or facilities, number of employees, obligations, assets, liabilities or net worth (other than as a result of the costs related to the Nevada Reincorporation). We are a virtual first company, but intend to maintain our corporate headquarters in California.</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management, including all directors and officers and the positions they respectively hold, will be unchanged as a result of the Nevada Reincorporation. To the extent that the Nevada Reincorporation will require the consent or waiver of a third party, the Company will use commercially reasonable effects to obtain such consent or waiver before completing the Nevada Reincorporation. The Company does not expect that any such required consent will impede its ability to reincorporate to Nevada. The Nevada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Multi-Class Capital Structure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Delaware Charter sets forth the terms and conditions for the termination of the Company’s multi-class capital structure. Each share of the Company’s Class B Common Stock will automatically convert into one share of the Company’s Class A Common Stock on (i) the date specified by the holders of two-thirds of the then outstanding shares of the Company’s Class B Common Stock, (ii) the first date on which the number of outstanding shares of the Company’s Class B Common Stock represents less than five percent of the aggregate number of outstanding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3" w:name="page24"/>
    <w:bookmarkEnd w:id="23"/>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the Company’s Class A Common Stock and Class B Common Stock, or (iii) the date that is nine months after the death or disability of the last to die or become disabled of our co-founders, or a later date not to exceed a total period of 18 months from the last applicable death or disability (the “Final Conversion Date”). The Nevada Charter provides for the same Final Conversion Date.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Securities Law Consequences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continue to be a publicly held company following completion of the Nevada Reincorporation, and our Class A Common Stock would continue to be listed on The Nasdaq Global Select Market and traded under the symbol “DBX.” The Company will continue to file required periodic reports and other documents with the SEC. There is not expected to be any interruption in the trading of the Class A Common Stock as a result of the Nevada Reincorporation. We and our stockholders will be in the same respective positions under the federal securities laws after the Nevada Reincorporation as we and our stockholders were prior to the Nevada Reincorporation.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Material Accounting Implications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Effecting the Nevada Reincorporation will not have any material accounting implications.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Exchange of Stock Certificates Required</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Stockholders will not have to exchange their existing stock certificates for new stock certificates. At the Effective Time, each outstanding share of the Company’s Class A Common Stock or Class B Common Stock will automatically be converted into one share of the Nevada Corporation’s Class A Common Stock or Nevada Corporation Class B Common Stock, as applicable, and any stock certificates you then hold will represent the same number of shares of the Nevada Corporation as they represented of the Company immediately prior to the Effective Time.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Appraisal Rights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are not entitled to appraisal rights with respect to the Nevada Reincorporation described in this Information Statement.</w:t>
      </w:r>
    </w:p>
    <w:p>
      <w:pPr>
        <w:spacing w:after="0" w:line="5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If the Nevada Reincorporation is completed, holders of record and beneficial owners of our Class B Common Stock who (1) do not consent to or otherwise vote in favor of the Nevada Reincorporation; (2) properly demand appraisal of their shares; (3) continuously hold of record or beneficially own their shares through the Effective Time;</w:t>
      </w:r>
    </w:p>
    <w:p>
      <w:pPr>
        <w:spacing w:after="0" w:line="1" w:lineRule="exact"/>
        <w:rPr>
          <w:sz w:val="20"/>
          <w:szCs w:val="20"/>
          <w:color w:val="auto"/>
        </w:rPr>
      </w:pPr>
    </w:p>
    <w:p>
      <w:pPr>
        <w:jc w:val="both"/>
        <w:ind w:left="300" w:right="299" w:hanging="8"/>
        <w:spacing w:after="0" w:line="251" w:lineRule="auto"/>
        <w:tabs>
          <w:tab w:leader="none" w:pos="5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the procedures of Section 262 of the DGCL (“Section 262”); and (5) do not withdraw their demands or otherwise lose their rights to appraisal may, subject to the conditions thereof, seek appraisal of their shares in connection with the Nevada Reincorporation under Section 262. Unless the context requires otherwise, all references in Section 262 and in this summary to a “stockholder” are to a record holder of the Company’s Class B Common Stock, all references in Section 262 and in this summary to “beneficial owner” mean a person who is the beneficial owner of shares of the Company’s Class B Common Stock held either in voting trust or by a nominee on behalf of such person, and all references in Section 262 and in this summary to the word “person” mean any individual, corporation, partnership, unincorporated association or other entity. As a matter of law, the Consenting Stockholders have waived their appraisal rights by virtue of consenting to the Nevada Reincorporation.</w:t>
      </w:r>
    </w:p>
    <w:p>
      <w:pPr>
        <w:spacing w:after="0" w:line="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not a complete statement of the law pertaining to appraisal rights under the DGCL and is qualified in its entirety by the full text of Section 262, which is available at the following URL, accessible</w:t>
      </w:r>
    </w:p>
    <w:p>
      <w:pPr>
        <w:jc w:val="both"/>
        <w:ind w:left="300" w:right="299"/>
        <w:spacing w:after="0" w:line="250" w:lineRule="auto"/>
        <w:rPr>
          <w:sz w:val="20"/>
          <w:szCs w:val="20"/>
          <w:color w:val="auto"/>
        </w:rPr>
      </w:pPr>
      <w:r>
        <w:rPr>
          <w:rFonts w:ascii="Times New Roman" w:cs="Times New Roman" w:eastAsia="Times New Roman" w:hAnsi="Times New Roman"/>
          <w:sz w:val="18"/>
          <w:szCs w:val="18"/>
          <w:color w:val="auto"/>
        </w:rPr>
        <w:t xml:space="preserve">without subscription or cost, which is incorporated herein by reference: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The following summary does not constitute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other advice and does not constitute a recommendation that our stockholders (or beneficial owners of our Class B Common Stock) exercise their appraisal rights under Section 262. </w:t>
      </w:r>
      <w:r>
        <w:rPr>
          <w:rFonts w:ascii="Times New Roman" w:cs="Times New Roman" w:eastAsia="Times New Roman" w:hAnsi="Times New Roman"/>
          <w:sz w:val="18"/>
          <w:szCs w:val="18"/>
          <w:b w:val="1"/>
          <w:bCs w:val="1"/>
          <w:color w:val="auto"/>
        </w:rPr>
        <w:t>STOCKHOLDERS (AND BENEFICIAL</w:t>
      </w:r>
    </w:p>
    <w:p>
      <w:pPr>
        <w:spacing w:after="0" w:line="2" w:lineRule="exact"/>
        <w:rPr>
          <w:sz w:val="20"/>
          <w:szCs w:val="20"/>
          <w:color w:val="auto"/>
        </w:rPr>
      </w:pPr>
    </w:p>
    <w:p>
      <w:pPr>
        <w:jc w:val="both"/>
        <w:ind w:left="300" w:right="319"/>
        <w:spacing w:after="0" w:line="260" w:lineRule="auto"/>
        <w:rPr>
          <w:sz w:val="20"/>
          <w:szCs w:val="20"/>
          <w:color w:val="auto"/>
        </w:rPr>
      </w:pPr>
      <w:r>
        <w:rPr>
          <w:rFonts w:ascii="Times New Roman" w:cs="Times New Roman" w:eastAsia="Times New Roman" w:hAnsi="Times New Roman"/>
          <w:sz w:val="18"/>
          <w:szCs w:val="18"/>
          <w:b w:val="1"/>
          <w:bCs w:val="1"/>
          <w:color w:val="auto"/>
        </w:rPr>
        <w:t>OWNERS) SHOULD CAREFULLY REVIEW THE FULL TEXT OF SECTION 262 AS WELL AS THE INFORMATION DISCUSSED BELOW.</w:t>
      </w:r>
    </w:p>
    <w:p>
      <w:pPr>
        <w:spacing w:after="0" w:line="7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Section 262, if the Nevada Reincorporation is completed, holders of record and beneficial owners of our Class B Common Stock who (1) deliver a written demand for appraisal of such person’s shares of our Class B Common Stock to us within 20 days after the date of this Information Statement; (2) do not consent to or otherwise vote in favor of the Nevada Reincorporation; (3) continuously hold of record or beneficially own such shares on the date of making the demand for appraisal through the Effective Time; and (4) otherwise comply with the procedures set forth in Section 262 may be entitled to have their shares of our Class B Common Stock appraised by the Delaware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4" w:name="page25"/>
    <w:bookmarkEnd w:id="24"/>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 of Chancery and to receive payment in cash, in lieu of the shares of the Class B Common Stock of the Nevada Corporation set forth in the Plan of Conversion, for the “fair value” of their shares of our Class B Common Stock, exclusive of any element of value arising from the accomplishment or expectation of the Nevada Reincorporation,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Reincorporation to each person entitled to appraisal prior to the entry of judgment in the appraisal proceeding) as described further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Section 262, when a conversion is approved by written consent without a meeting pursuant to Section 228 of the DGCL, as is the case with the Nevada Reincorporation, Section 262 requires that either the converting corporation before the effective date of the conversion, or the converted entity within 10 days after such effective date, notify each stockholder of the converting corporation who is entitled to appraisal rights that appraisal rights are available and include in such notice a copy of Section 262 or information directing the stockholder to a publicly available electronic resource at which Section 262 may be accessed without subscription or cost. Such notice may, and if given on or after the effective date of the conversion must, also notify the stockholder of the effective date of the conversion. This Information Statement constitutes our notice to the holders of record and beneficial owners of our Class B Common Stock that appraisal rights are available in connection with the Nevada Reincorporation, and</w:t>
      </w:r>
    </w:p>
    <w:p>
      <w:pPr>
        <w:spacing w:after="0" w:line="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the full text of Section 262 is available at the following URL: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 connection with the Nevada Reincorporation,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record or beneficial owner of shares of our Class B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Class B Common Stock of the Nevada Corporation described in the Plan of Conversion. Because of the complexity of the procedures for exercising the right to seek appraisal of shares of our Class B Common Stock, we believe that if a person is considering exercising such rights, such person should seek the advice of legal counsel.</w:t>
      </w:r>
    </w:p>
    <w:p>
      <w:pPr>
        <w:spacing w:after="0" w:line="8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 xml:space="preserve">Stockholders or beneficial owners wishing to exercise the right to seek an appraisal of their shares of our Class B Common Stock must do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the following:</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not consent to or otherwise vote in favor of the Nevada Reincorporation;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deliver to us a written demand for appraisal within 20 days after the date of this Information Statement;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must continuously hold of record or beneficially own the shares of our Class B Common Stock from the date of making the demand through the Effective Time (a person will lose appraisal rights if the person transfers the shares before the Effective Time).</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B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Written Demand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person wishing to exercise appraisal rights must deliver to us, within 20 days after the date of this Information Statement, a written demand for the appraisal of such person’s shares. In addition, that person must not consent to or otherwise vote in favor of the Nevada Reincorporation. Consenting or voting in favor of the Nevada Reincorporation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Neither withholding consent nor abstaining from voting or failing to vote with respect to the approval of the Nevada Reincorporation will, in and of itself, constitute a written demand for appraisal satisfying the requirements of Section 262. A person’s failure to make the written demand within 20 days after the date of this Information Statement will constitute a waiver of appraisal rights.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case of a written demand for appraisal made by a stockholder of record, the demand must reasonably inform us of the identity of the stockholder and that the stockholder intends thereby to demand an appraisal of such stockholder’s shares of Class B Common 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Dropbox,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At any time within 60 days after the Effective Time, any person entitled to appraisal rights who has not commenced an appraisal proceeding or joined that proceeding as a named party may 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(as defined below) to the Delaware Court of Chancery; provided, however, that this shall not affect the right of any person who has not commenced an appraisal proceeding or joined that proceeding as a named party to withdraw such person’s demand for appraisal and to accept the applicable Class B Common Stock of the Nevada Corporation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Class B Common Stock of the Nevada Corporation being offered pursuant to the Plan of Conversion.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B Common Stock. Accordingly, any persons who desire to have their shares of our Class B Common Stock appraised should initiate all necessary action to perfect their appraisal rights in respect of their shares of our Class B Common Stock within the time and in the manner prescribed in Section 262. The failure to file such a petition within the period specified in Section 262 could nullify a previous written demand for appraisal.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6" w:name="page27"/>
    <w:bookmarkEnd w:id="26"/>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Reincorporation and with respect to which we have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w:t>
      </w:r>
    </w:p>
    <w:p>
      <w:pPr>
        <w:spacing w:after="0" w:line="80"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Class B Common Stock, exclusive of any element of value arising from the accomplishment or expectation of the Nevada Reincorporation,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the difference, if any, between the amount paid by the converted corporation in such voluntary cash payment and the fair value of the shares as determined by the Delaware Court of Chancery and (y) interest accrued before such voluntary cash payment, unless paid at that time.</w:t>
      </w:r>
    </w:p>
    <w:p>
      <w:pPr>
        <w:spacing w:after="0" w:line="86"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 xml:space="preserve">In determining fair value, the Delaware Court of Chancery will take into account all relevant factors. In </w:t>
      </w:r>
      <w:r>
        <w:rPr>
          <w:rFonts w:ascii="Times New Roman" w:cs="Times New Roman" w:eastAsia="Times New Roman" w:hAnsi="Times New Roman"/>
          <w:sz w:val="17"/>
          <w:szCs w:val="17"/>
          <w:i w:val="1"/>
          <w:iCs w:val="1"/>
          <w:color w:val="auto"/>
        </w:rPr>
        <w:t>Weinberger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 UOP, Inc.</w:t>
      </w:r>
      <w:r>
        <w:rPr>
          <w:rFonts w:ascii="Times New Roman" w:cs="Times New Roman" w:eastAsia="Times New Roman" w:hAnsi="Times New Roman"/>
          <w:sz w:val="17"/>
          <w:szCs w:val="17"/>
          <w:color w:val="auto"/>
        </w:rPr>
        <w:t>, the Supreme Court of Delaware discussed the factors that could be considered in determining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7" w:name="page28"/>
    <w:bookmarkEnd w:id="27"/>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is to be “exclusive of any element of value arising from the accomplishment or expectation” of the transaction.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the Delaware Supreme Court stated that such exclusion is a “narrow exclusion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[transaction] and not the product of speculation, may be considered.”</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Persons considering seeking appraisal should be aware that the fair value of their shares as so determined by the Delaware Court of Chancery could be more than, the same as or less than the value of the Class B Common Stock of the Nevada Corporation they would receive pursuant to the Nevada Reincorporation if they did not seek appraisal of their shares. </w:t>
      </w:r>
      <w:r>
        <w:rPr>
          <w:rFonts w:ascii="Times New Roman" w:cs="Times New Roman" w:eastAsia="Times New Roman" w:hAnsi="Times New Roman"/>
          <w:sz w:val="18"/>
          <w:szCs w:val="18"/>
          <w:b w:val="1"/>
          <w:bCs w:val="1"/>
          <w:color w:val="auto"/>
        </w:rPr>
        <w:t>ALTHOUGH WE BELIEVE THAT THE VALUE OF THE CLASS B COMMON STOCK OF</w:t>
      </w:r>
    </w:p>
    <w:p>
      <w:pPr>
        <w:spacing w:after="0" w:line="3"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NEVADA CORPORATION TO BE ISSUED IN CONNECTION WITH THE NEVADA REINCORPORATION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VALUE OF THE NEVADA CORPORATION CLASS B COMMON STOCK TO BE ISSUED IN CONNECTION WITH THE NEVADA REINCORPORATION. </w:t>
      </w:r>
      <w:r>
        <w:rPr>
          <w:rFonts w:ascii="Times New Roman" w:cs="Times New Roman" w:eastAsia="Times New Roman" w:hAnsi="Times New Roman"/>
          <w:sz w:val="18"/>
          <w:szCs w:val="18"/>
          <w:color w:val="auto"/>
        </w:rPr>
        <w:t>We do not anticipate offering more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shares of Class B Common Stock of the Nevada Corporation in connection with the Nevada Reincorporation to any persons exercising appraisal rights, and we reserve the right to make a voluntary cash payment pursuant to subsection (h) of Section 262 and to assert, in any appraisal proceeding, that for purposes of Section 262, the “fair value” of a share of our Class B Common Stock is less than the value of the Class B Common Stock of the Nevada Corporation to be issued in connection with the Reincorporation. If a petition for appraisal is not timely filed, then the right to an appraisal will cease.</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any person who demands appraisal of shares of our Class B Common Stock under Section 262 fails to perfect, or loses or validly withdraws, such person’s right to appraisal, such person’s shares of our Class B Common Stock will be deemed to have been converted at the Effective Time into the right to receive shares of Class B Common Stock of the Nevada Corporation in connection with the Nevada Reincorporation.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Class B Common Stock of the Nevada Corporation in connection with the Nevada Reincorporation in accordance with Section 262.</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no person who has demanded appraisal rights in compliance with Section 262 will be entitled to vote such shares of our Class B Common Stock for any purpose or to receive payment of dividends or other distributions on the stock (except dividends or other distributions payable to stockholders of record at a date which is prior to the Effective Time).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may result in the loss of appraisal rights. Consequently, any person wishing to exercise appraisal rights is encouraged to consult legal counsel before attempting to exercise those rights.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January 28, 2024, we had 83 holders of record of our Class B Common Stock and 76,925,771shares of our Class B Common Stock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January 28, 2025 for:</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named executive officers and executive officers as a group;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 the beneficial owner of more than 5% of our Class A or Class B common stock.</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224,977,458 shares of our Class A common stock, 76,925,771 shares of our Class B common stock, and no shares of our Class C common stock outstanding as of January 28, 2025. We have deemed shares of our common stock subject to stock options that are currently exercisable or exercisable within 60 days of January 28, 2025 or issuable pursuant to RSUs which are subject to vesting and settlement conditions expected to occur within 60 days of January 28,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55"/>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Andrew W. Houston</w:t>
            </w:r>
            <w:r>
              <w:rPr>
                <w:rFonts w:ascii="Times New Roman" w:cs="Times New Roman" w:eastAsia="Times New Roman" w:hAnsi="Times New Roman"/>
                <w:sz w:val="26"/>
                <w:szCs w:val="26"/>
                <w:color w:val="auto"/>
                <w:vertAlign w:val="superscript"/>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9,427,838</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75,987,893</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98.78</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77.38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Regan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Timothy Young</w:t>
            </w:r>
            <w:r>
              <w:rPr>
                <w:rFonts w:ascii="Times New Roman" w:cs="Times New Roman" w:eastAsia="Times New Roman" w:hAnsi="Times New Roman"/>
                <w:sz w:val="26"/>
                <w:szCs w:val="26"/>
                <w:color w:val="auto"/>
                <w:vertAlign w:val="superscript"/>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112,762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Bart E. Volkmer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Eric Cox</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W. Blair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Lisa Campbell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Paul E. Jacobs</w:t>
            </w:r>
            <w:r>
              <w:rPr>
                <w:rFonts w:ascii="Times New Roman" w:cs="Times New Roman" w:eastAsia="Times New Roman" w:hAnsi="Times New Roman"/>
                <w:sz w:val="26"/>
                <w:szCs w:val="26"/>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Warren Jenson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 Mathew</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Andrew Moore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Abhay Parasnis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Karen Peacock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Seibel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named executive officers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 (14 persons)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10,255,473</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76,051,013</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98.86</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77.52</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The Vanguard Group</w:t>
            </w:r>
            <w:r>
              <w:rPr>
                <w:rFonts w:ascii="Times New Roman" w:cs="Times New Roman" w:eastAsia="Times New Roman" w:hAnsi="Times New Roman"/>
                <w:sz w:val="26"/>
                <w:szCs w:val="26"/>
                <w:color w:val="auto"/>
                <w:vertAlign w:val="superscript"/>
              </w:rPr>
              <w:t>(4)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27,274,282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BlackRock, Inc.</w:t>
            </w:r>
            <w:r>
              <w:rPr>
                <w:rFonts w:ascii="Times New Roman" w:cs="Times New Roman" w:eastAsia="Times New Roman" w:hAnsi="Times New Roman"/>
                <w:sz w:val="26"/>
                <w:szCs w:val="26"/>
                <w:color w:val="auto"/>
                <w:vertAlign w:val="superscript"/>
              </w:rPr>
              <w:t>(5)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28,179,062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Ameriprise Financial, Inc.</w:t>
            </w:r>
            <w:r>
              <w:rPr>
                <w:rFonts w:ascii="Times New Roman" w:cs="Times New Roman" w:eastAsia="Times New Roman" w:hAnsi="Times New Roman"/>
                <w:sz w:val="26"/>
                <w:szCs w:val="26"/>
                <w:color w:val="auto"/>
                <w:vertAlign w:val="superscript"/>
              </w:rPr>
              <w:t>(6)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19,144,616</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Columbia Management Investment Advisers, LLC</w:t>
            </w:r>
            <w:r>
              <w:rPr>
                <w:rFonts w:ascii="Times New Roman" w:cs="Times New Roman" w:eastAsia="Times New Roman" w:hAnsi="Times New Roman"/>
                <w:sz w:val="25"/>
                <w:szCs w:val="25"/>
                <w:color w:val="auto"/>
                <w:vertAlign w:val="superscript"/>
              </w:rPr>
              <w:t>(7)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18,085,218</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9" w:name="page30"/>
    <w:bookmarkEnd w:id="29"/>
    <w:p>
      <w:pPr>
        <w:jc w:val="both"/>
        <w:ind w:left="640" w:right="29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5"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(1%) of the outstanding shares of our common stock.</w:t>
      </w:r>
    </w:p>
    <w:p>
      <w:pPr>
        <w:spacing w:after="0" w:line="42" w:lineRule="exact"/>
        <w:rPr>
          <w:sz w:val="20"/>
          <w:szCs w:val="20"/>
          <w:color w:val="auto"/>
        </w:rPr>
      </w:pPr>
    </w:p>
    <w:p>
      <w:pPr>
        <w:jc w:val="both"/>
        <w:ind w:left="640" w:right="299" w:hanging="348"/>
        <w:spacing w:after="0" w:line="22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716,728 shares of Class A Common Stock and 7,743,764 shares of Class B Common Stock held by the Houston Remainder Trust u/a/ 12/30/2010, for which Mr. Houston serves as trustee, (ii) 67,743,629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 8,266,666 shares of Class A common stock underlying RSAs subject to Mr. Houston’s Co-Founder Grant.</w:t>
      </w:r>
    </w:p>
    <w:p>
      <w:pPr>
        <w:spacing w:after="0" w:line="2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company’s records as of June 14, 2023.</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178,058 shares of Class A common stock held by the Paul E. Jacobs Trust dated November 7, 2014, for which Mr. Jacobs serves as trustee, and (ii) 135,4016 shares of Class A common stock held by Mr. Jacobs.</w:t>
      </w:r>
    </w:p>
    <w:p>
      <w:pPr>
        <w:jc w:val="both"/>
        <w:ind w:left="640" w:right="29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29, 2023 according to a Schedule 13G/A filed with the SEC by The Vanguard Group, Inc. (“Vanguard”) on February 13, 2024. Vanguard has beneficial ownership of 27,274,282 shares of Class A common stock. The Schedule 13G/A reports that Vanguard has shared voting power with respect to 189,842 shares of Class A common stock, sole dispositive power with respect to 26,873,363 shares of Class A common stock and shared dispositive power over 400,919 shares of Class A common stock. The address for Vanguard is 100 Vanguard Blvd., Malvern, PA 19355.</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September 30, 2024 according to a Schedule 13G filed with the SEC by BlackRock, Inc. (“BlackRock”) on January 23, 2024. BlackRock has beneficial ownership of 28,179,062 shares of Class A common stock. The address for BlackRock is 50 Hudson Yards, New York, New York 10001.</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31, 2023 according to a Schedule 13G filed with the SEC by Ameriprise Financial, Inc. (“Ameriprise”) on February 14, 2024. Ameriprise has beneficial ownership of 19,144,616 shares of Class A common stock. The address for Ameriprise is 145 Ameriprise Financial Center, Minneapolis, MN 55474.</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beneficially owned as of December 31, 2023 according to a Schedule 13G filed with the SEC by Columbia Management Investment Advisers, LLC (“Columbia”) on February 14, 2024. Columbia has beneficial ownership of 18,085,218 shares of Class A common stock. The address for Columbia is 290 Congress Street, Boston, MA 02210.</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Delivery of Documents to Security Holders Sharing an Address</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w:t>
      </w:r>
    </w:p>
    <w:p>
      <w:pPr>
        <w:spacing w:after="0" w:line="5" w:lineRule="exact"/>
        <w:rPr>
          <w:sz w:val="20"/>
          <w:szCs w:val="20"/>
          <w:color w:val="auto"/>
        </w:rPr>
      </w:pPr>
    </w:p>
    <w:p>
      <w:pPr>
        <w:ind w:left="300" w:right="299" w:hanging="8"/>
        <w:spacing w:after="0" w:line="260"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to which the Company should direct the additional copy of the Information Statement, to the Company at 1800 Owens Street San Francisco, California 94158.</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Information Statement is provided to the stockholders of the Company only for information purposes in connection with the Majority Stockholders’ approval of the Nevada Reincorporation, pursuant to and in accordance with Rule 14c-2 of the Exchange Act. Please carefully read this Information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is subject to the informational requirements of the Securities Exchange Act of 1934, and in accordance therewith files reports and other information with the SEC. Such reports and other information may be inspected without charge at the public reference facilities maintained by the SEC in 100 F Street, N.E., Washington, D.C. 20549. Information regarding the operation of the public reference rooms may be obtained by calling the SEC at 1-800-SEC-0330. The SEC maintains a web site that contains reports, proxy and information statements and other information regarding registrants that file electronically with the SEC. The address of the web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606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1" w:name="page32"/>
    <w:bookmarkEnd w:id="3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Reincorporation of the Company to the State of Nevada by Conversion</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its ongoing oversight, direction and management of the business of Dropbox,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formed a committee of the Board (the “</w:t>
      </w:r>
      <w:r>
        <w:rPr>
          <w:rFonts w:ascii="Times New Roman" w:cs="Times New Roman" w:eastAsia="Times New Roman" w:hAnsi="Times New Roman"/>
          <w:sz w:val="18"/>
          <w:szCs w:val="18"/>
          <w:b w:val="1"/>
          <w:bCs w:val="1"/>
          <w:color w:val="auto"/>
        </w:rPr>
        <w:t>Evaluation Committee</w:t>
      </w:r>
      <w:r>
        <w:rPr>
          <w:rFonts w:ascii="Times New Roman" w:cs="Times New Roman" w:eastAsia="Times New Roman" w:hAnsi="Times New Roman"/>
          <w:sz w:val="18"/>
          <w:szCs w:val="18"/>
          <w:color w:val="auto"/>
        </w:rPr>
        <w:t>”) to function as a working group to study and evaluate the relevant information and considerations with respect to a potential reincorporation of the Company;</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Evaluation Committee considered various factors during its evaluation of a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of the Company, including the current state of Delaware law regarding reincorporation, any possible negative impacts from a potential reincorporation, the relative merits to the Company and all stockholders of various state laws, including Delaware, Nevada and Maryland, implications for the Company’s stockholders as to their economic, governance and litigation rights and the predictability of Nevada’s statute-based legal approach compared to Delaware’s approach;</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its evaluation of a potential reincorporation of the Company, the Evaluation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its findings to the Board, determined that a reincorporation of the Company from the State of Delaware to the State of Nevada was in the best interests of the Company and its stockholders and recommended that the Board approve a reincorporation of the Company from the State of Delaware to the State of Nevada;</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having discussed and considered the Evaluation Committee’s recommendation, the Board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approving and effecting a reincorporation of the Company from the State of Delaware to the State of Nevada by the conversion of the Company from a corporation organized under the laws of the State of Delaware to a corporation organized under the laws of the State of Nevada, pursuant to and in accordance with Section 266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Sections 92A.195 and 92A.205 of the Nevada Revised Statutes, as amended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and the proposed Plan of Conversion (the “</w:t>
      </w:r>
      <w:r>
        <w:rPr>
          <w:rFonts w:ascii="Times New Roman" w:cs="Times New Roman" w:eastAsia="Times New Roman" w:hAnsi="Times New Roman"/>
          <w:sz w:val="18"/>
          <w:szCs w:val="18"/>
          <w:b w:val="1"/>
          <w:b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conversion,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Nevada Reincorporation</w:t>
      </w:r>
      <w:r>
        <w:rPr>
          <w:rFonts w:ascii="Times New Roman" w:cs="Times New Roman" w:eastAsia="Times New Roman" w:hAnsi="Times New Roman"/>
          <w:sz w:val="18"/>
          <w:szCs w:val="18"/>
          <w:color w:val="auto"/>
        </w:rPr>
        <w:t>”) and approving and adopting the Plan of Conversion and the proposed Nevada articles of incorporation (the “</w:t>
      </w:r>
      <w:r>
        <w:rPr>
          <w:rFonts w:ascii="Times New Roman" w:cs="Times New Roman" w:eastAsia="Times New Roman" w:hAnsi="Times New Roman"/>
          <w:sz w:val="18"/>
          <w:szCs w:val="18"/>
          <w:b w:val="1"/>
          <w:bCs w:val="1"/>
          <w:color w:val="auto"/>
        </w:rPr>
        <w:t>Nevada Charter</w:t>
      </w:r>
      <w:r>
        <w:rPr>
          <w:rFonts w:ascii="Times New Roman" w:cs="Times New Roman" w:eastAsia="Times New Roman" w:hAnsi="Times New Roman"/>
          <w:sz w:val="18"/>
          <w:szCs w:val="18"/>
          <w:color w:val="auto"/>
        </w:rPr>
        <w:t>”) and the proposed Nevada bylaws (the “</w:t>
      </w:r>
      <w:r>
        <w:rPr>
          <w:rFonts w:ascii="Times New Roman" w:cs="Times New Roman" w:eastAsia="Times New Roman" w:hAnsi="Times New Roman"/>
          <w:sz w:val="18"/>
          <w:szCs w:val="18"/>
          <w:b w:val="1"/>
          <w:bCs w:val="1"/>
          <w:color w:val="auto"/>
        </w:rPr>
        <w:t>Nevada Bylaws</w:t>
      </w:r>
      <w:r>
        <w:rPr>
          <w:rFonts w:ascii="Times New Roman" w:cs="Times New Roman" w:eastAsia="Times New Roman" w:hAnsi="Times New Roman"/>
          <w:sz w:val="18"/>
          <w:szCs w:val="18"/>
          <w:color w:val="auto"/>
        </w:rPr>
        <w:t>” and, together with the Nevada Charter, the “</w:t>
      </w:r>
      <w:r>
        <w:rPr>
          <w:rFonts w:ascii="Times New Roman" w:cs="Times New Roman" w:eastAsia="Times New Roman" w:hAnsi="Times New Roman"/>
          <w:sz w:val="18"/>
          <w:szCs w:val="18"/>
          <w:b w:val="1"/>
          <w:bCs w:val="1"/>
          <w:color w:val="auto"/>
        </w:rPr>
        <w:t>Nevada Governing Documents</w:t>
      </w:r>
      <w:r>
        <w:rPr>
          <w:rFonts w:ascii="Times New Roman" w:cs="Times New Roman" w:eastAsia="Times New Roman" w:hAnsi="Times New Roman"/>
          <w:sz w:val="18"/>
          <w:szCs w:val="18"/>
          <w:color w:val="auto"/>
        </w:rPr>
        <w:t xml:space="preserve">”), substantially in the forms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 are in the best interests of the Company and its stockholders;</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Plan of Conversion, upon the Nevada Reincorporation,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to be governed by the laws of the State of Delaware and its existing restated certificate of incorporation and amended and restated bylaws and will become a corporation governed by the laws of the State of Nevada (the “</w:t>
      </w:r>
      <w:r>
        <w:rPr>
          <w:rFonts w:ascii="Times New Roman" w:cs="Times New Roman" w:eastAsia="Times New Roman" w:hAnsi="Times New Roman"/>
          <w:sz w:val="18"/>
          <w:szCs w:val="18"/>
          <w:b w:val="1"/>
          <w:bCs w:val="1"/>
          <w:color w:val="auto"/>
        </w:rPr>
        <w:t>Converted Corporation</w:t>
      </w:r>
      <w:r>
        <w:rPr>
          <w:rFonts w:ascii="Times New Roman" w:cs="Times New Roman" w:eastAsia="Times New Roman" w:hAnsi="Times New Roman"/>
          <w:sz w:val="18"/>
          <w:szCs w:val="18"/>
          <w:color w:val="auto"/>
        </w:rPr>
        <w:t>”) and the Nevada Governing Documents;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receipt of stockholder approval of the Nevada Reincorporation (including the Plan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and the Nevada Governing Documents) and these resolutions approving the Nevada Reincorporation, the Nevada Reincorporation will become effective at the date and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specified in each of</w:t>
      </w:r>
    </w:p>
    <w:p>
      <w:pPr>
        <w:jc w:val="both"/>
        <w:ind w:left="300" w:right="299" w:hanging="8"/>
        <w:spacing w:after="0" w:line="253" w:lineRule="auto"/>
        <w:tabs>
          <w:tab w:leader="none" w:pos="5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conversion meeting the requirements of Section 92A.205 of the NRS (the “</w:t>
      </w:r>
      <w:r>
        <w:rPr>
          <w:rFonts w:ascii="Times New Roman" w:cs="Times New Roman" w:eastAsia="Times New Roman" w:hAnsi="Times New Roman"/>
          <w:sz w:val="18"/>
          <w:szCs w:val="18"/>
          <w:b w:val="1"/>
          <w:b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to be properly executed and filed in accordance with such section and (ii) a certificate 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requirements of Section 266 of the DGCL (the “</w:t>
      </w:r>
      <w:r>
        <w:rPr>
          <w:rFonts w:ascii="Times New Roman" w:cs="Times New Roman" w:eastAsia="Times New Roman" w:hAnsi="Times New Roman"/>
          <w:sz w:val="18"/>
          <w:szCs w:val="18"/>
          <w:b w:val="1"/>
          <w:b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(i) each share of Class A Common Stock, par value $0.00001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issued and outstanding or held in treasury immediately prior to the Effective Time will be automatically converted into one share of the Class A Common Stock, par value $0.00001 per share, of the Converted Corporation; and (ii) each share of Class B Common Stock, par value $0.00001 per share, of the Company issued and outstanding or held in treasury immediately prior to the Effective Time will be automatically converted into one share of the Class B Common Stock, par value $0.00001 per share, of the Converted Corporation; and</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any warrant, option, restricted stock unit, equity or equity-based award,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right to acquire any shares of, or of any instrument to convert into or based on the value of, the Class A Common Stock or Class B Common Stock of the Company or other equity security of the Company, whether vested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2" w:name="page33"/>
    <w:bookmarkEnd w:id="32"/>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unvested, which is outstanding immediately prior to the Effective Time (each,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Board hereby determines that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the Plan of Conversion and the Nevada Governing Documents are in the best interests of the Company and its stockholders and approves and adopts the Nevada Reincorporation, the Plan of Conversion and the Nevada Governing Documents.</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terms, provisions, and conditions of the Plan of Conversion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hereby are, in all respects approved and adopted.</w:t>
      </w:r>
    </w:p>
    <w:p>
      <w:pPr>
        <w:spacing w:after="0" w:line="4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in accordance with the Plan of Conversion, at the Effective Time,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Converted Corporation shall consist of the same directors as the Board immediately prior to the Effective Time, each director to serve until his or her successor has been duly elected or appointed and qualified or until his or her earlier death, resignation or removal.</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in accordance with the Plan of Conversion, at the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Andrew W. Houston shall continue to serve as the chair of the board of directors of the Converted Corporation and Donald W. Blair shall continue to serve as the lead independent director of the board of directors of the Converted Corporation, in each case at the pleasure of the board of directors of the Converted Corporation.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effective as of the Effective Time, each committee of the Board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Time shall be constituted as a committee of the board of directors of the Converted Corporation on the same terms and with the same powers and authority as the applicable committee of the Board as of immediately prior to the Effective Time and for the avoidance of doubt, the governing laws of the State of Nevada, and not the State of Delaware, shall apply, and the charter of the applicable committee of the Board as of immediately prior to the Effective Time shall be the charter of such committee of the board of directors of the Converted Corporation unless and until such charter is amended in accordance with the Nevada Governing Documents and applicable law, and the members of each committee of the Board as of immediately prior to the Effective Time shall be the members of each such committee of the board of directors of the Converted Corporation, each director to serve at the pleasure of the board of directors of the Converted Corporation.</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directs that the Nevada Reincorporation (including the Plan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and the Nevada Governing Documents) and these resolutions approving the Nevada Reincorporation be submitted for approval and adoption, respectively, by the stockholders of the Company, including by written consent in lieu of a meeting.</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recommends that the Company’s stockholders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Reincorporation (including the Plan of Conversion and the Nevada Governing Documents) and adopt these resolutions.</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receipt of stockholder approval of the Nevada Reincorporation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Plan of Conversion and the Nevada Governing Documents) and the adoption of these resolutions, the officers of the Company (together, the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be, and each of them hereby is,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w:t>
      </w:r>
    </w:p>
    <w:p>
      <w:pPr>
        <w:spacing w:after="0" w:line="5" w:lineRule="exact"/>
        <w:rPr>
          <w:sz w:val="20"/>
          <w:szCs w:val="20"/>
          <w:color w:val="auto"/>
        </w:rPr>
      </w:pPr>
    </w:p>
    <w:p>
      <w:pPr>
        <w:jc w:val="both"/>
        <w:ind w:left="300" w:right="319" w:hanging="8"/>
        <w:spacing w:after="0" w:line="253" w:lineRule="auto"/>
        <w:tabs>
          <w:tab w:leader="none" w:pos="5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filing of the Articles of Conversion (including the Plan of Conversion and the Nevada Charter); (c) the filing of the annual franchise tax reports required by the Secretary of State of the State of Delaware and the payment of the applicable franchise taxes; (d) the payment of any fees that may be necessary in connection with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3" w:name="page34"/>
    <w:bookmarkEnd w:id="33"/>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Nevada Reincorporation; (e) the submission of all required notifications to the Nasdaq Stock Market LLC or any other applicable stock exchange; and (f) the filing of Current Reports on Form 8-K and any other regulatory filings that may be necessary, desirable or appropriate in connection with the Nevada Reincorporation.</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notwithstanding approval by the stockholders of the Company of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(including the 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pursuant to the Plan of Conversion, at the Effective Time, any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that immediately prior to the Effective Time represented issued and outstanding shares of Class A Common Stock or Class B Common Stock of the Company shall be deemed for all purposes to evidence ownership of and to represent shares of Class A Common Stock or Class B Common Stock, as applicable, of the Converted Corporation.</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notwithstanding the foregoing resolutions, any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Class B Common Stock of the Converted Corporation may be issued as uncertificated shares, whether upon original issuance, re-issuance or subsequent transfer.</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Related Stockholder Matters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Record Date</w:t>
      </w:r>
    </w:p>
    <w:p>
      <w:pPr>
        <w:spacing w:after="0" w:line="11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close of business on January 28, 2025, be, and it hereby is, fixed as the record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stockholders of record of the Company entitled to consent to the Nevada Reincorporation without a meeting.</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Statement Materials</w:t>
      </w:r>
    </w:p>
    <w:p>
      <w:pPr>
        <w:spacing w:after="0" w:line="11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hereby is, authorized and directed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in its name to take any and all actions deemed necessary and appropriate to prepare an information statement and a notice of stockholder action by written consent as required by Section 228(e) of the DGCL and any and all related documents which such officers shall determine necessary or desirable in connection with the Nevada Reincorporation (collectively, the “</w:t>
      </w:r>
      <w:r>
        <w:rPr>
          <w:rFonts w:ascii="Times New Roman" w:cs="Times New Roman" w:eastAsia="Times New Roman" w:hAnsi="Times New Roman"/>
          <w:sz w:val="18"/>
          <w:szCs w:val="18"/>
          <w:b w:val="1"/>
          <w:bCs w:val="1"/>
          <w:color w:val="auto"/>
        </w:rPr>
        <w:t>Information Statement Materials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be, and each of them hereby is, authorized and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Company and in its name to file such Information Statement Materials, as applicable,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together with any and all amendments and supplements thereto which such Authorized Officers shall determine to be necessary or appropriate, with the approval and authorization thereof to be conclusively evidenced by the execution or filing of such amendments or supplements.</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be, and each of them hereby is, authorized, empowered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directed, in the name and on behalf of the Company, to mail or cause to be mailed or otherwise furnished or made available to the stockholders all documents as shall be necessary or advisable in connection with the Nevada Reincorporation, including, without limitation, the Information Statement Materials.</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and Exchange Commission</w:t>
      </w:r>
    </w:p>
    <w:p>
      <w:pPr>
        <w:spacing w:after="0" w:line="11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hereby is, authorized, empowered and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take any action to prepare or cause to be prepared and to file or cause to be filed with the SEC and to prepare, execute and file any and all documents, applications, statements, reports, registrations, schedules, documents, information or filings and other papers and instruments (and any amendments or supplements thereto), which may be required from time to time by applicable law or regulation or by applicable authorities in connection with the foregoing resolutions or related or incidental thereto, including, without limitation, the Information Statement Materials and one or more Current Reports on Form 8-K to report any of the matters contemplated by the foregoing resolutions by the Company and any and all additional documents and information required to be filed therewith, as shall be deemed necessary or advisable under the Securities Act of 1933, as amended, and the rules and regulations of the SEC promulgated thereunder,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of the SEC promulgated thereunder, and any appropriate self-regulatory commissions or state securities commissions.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in accordance with the Plan of Conversion, from and after the Effective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of the Converted Corporation under Rule 3b-7 of the Exchange Act and “officers” of the Converted Corporation for purposes of Section 16 of the Exchange Act shall consist of the same “executive officers” and “officers,” as applicable, as of immediately prior to the Effective Time, as set forth below:</w:t>
      </w:r>
    </w:p>
    <w:p>
      <w:pPr>
        <w:spacing w:after="0" w:line="72"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 Houston,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Cox, Chief Customer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Regan,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Bart E. Volkmer, Chief Legal Officer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Combinations with Interested Stockholders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NRS 78.411 to 78.444, inclusive (collectively, the “</w:t>
      </w:r>
      <w:r>
        <w:rPr>
          <w:rFonts w:ascii="Times New Roman" w:cs="Times New Roman" w:eastAsia="Times New Roman" w:hAnsi="Times New Roman"/>
          <w:sz w:val="18"/>
          <w:szCs w:val="18"/>
          <w:b w:val="1"/>
          <w:bCs w:val="1"/>
          <w:color w:val="auto"/>
        </w:rPr>
        <w:t>Nevada Combinations Statutes</w:t>
      </w:r>
      <w:r>
        <w:rPr>
          <w:rFonts w:ascii="Times New Roman" w:cs="Times New Roman" w:eastAsia="Times New Roman" w:hAnsi="Times New Roman"/>
          <w:sz w:val="18"/>
          <w:szCs w:val="18"/>
          <w:color w:val="auto"/>
        </w:rPr>
        <w:t>”),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various requirements related to a Nevada corporation’s “combination,” as defined in NRS 78.416, with an “interested stockholder,” as defined in NRS 78.423;</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NRS 78.437 provides that the Nevada Combinations Statutes do not apply to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 interested stockholder who, among other things, first became an interested stockholder on the date that the resident domestic corporation, as defined in NRS 78.427, first became a resident domestic corporation solely as a result of the corporation becoming a resident domestic corporation;</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Andrew Houston and the entities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interested stockholder pursuant to the Nevada Combinations Statutes solely as a result of the Nevada Reincorporation, and the Nevada Combinations Statutes would not apply to Mr. Houston pursuant to NRS 78.437; and</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Nevada Combinations Statutes prohibit, for up to four years, combinations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complies with the requirements of the articles of incorporation of the resident domestic corporation and the transaction by which the person first became an interested stockholder is approved by the board of directors of the resident domestic corporation before the person first became an interested stockholder.</w:t>
      </w:r>
    </w:p>
    <w:p>
      <w:pPr>
        <w:spacing w:after="0" w:line="68"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Board’s approval of the Nevada Reincorporation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hereby confirmed, of the transaction by which Mr. Houston shall have first become an interested stockholder for all purposes under the Nevada Combinations Statutes, including, without limitation, NRS 78.438(1) (a).</w:t>
      </w:r>
    </w:p>
    <w:p>
      <w:pPr>
        <w:spacing w:after="0" w:line="68"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to the fullest extent permitted by the Nevada Combinations Statutes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NRS 78.437(2) and 78.438(1)(a)), the Nevada Combinations Statutes shall not apply to Mr. Houston, nor shall it restrict any combination in any way involving or relating to Mr. Houston.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Equity Instruments and Employment Agreements to Account for Nevada Reincorporation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and sponsors certain equity incentive-related plans, sub-plans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(the “</w:t>
      </w:r>
      <w:r>
        <w:rPr>
          <w:rFonts w:ascii="Times New Roman" w:cs="Times New Roman" w:eastAsia="Times New Roman" w:hAnsi="Times New Roman"/>
          <w:sz w:val="18"/>
          <w:szCs w:val="18"/>
          <w:b w:val="1"/>
          <w:bCs w:val="1"/>
          <w:color w:val="auto"/>
        </w:rPr>
        <w:t>Equity Plans</w:t>
      </w:r>
      <w:r>
        <w:rPr>
          <w:rFonts w:ascii="Times New Roman" w:cs="Times New Roman" w:eastAsia="Times New Roman" w:hAnsi="Times New Roman"/>
          <w:sz w:val="18"/>
          <w:szCs w:val="18"/>
          <w:color w:val="auto"/>
        </w:rPr>
        <w:t xml:space="preserve">”), including but not limited to those listed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providing for the grant or award of equity awards covering the right to purchase shares and other rights to acquire shares of the Class A Common Stock of the Company as provided for in the applicable Equity Plan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to eligible participants of the Equity Plans including employees, directors and consultants;</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and sponsors certain benefits and compensation arrangements,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agreements (including all administrative and service agreements thereunder) (the “</w:t>
      </w:r>
      <w:r>
        <w:rPr>
          <w:rFonts w:ascii="Times New Roman" w:cs="Times New Roman" w:eastAsia="Times New Roman" w:hAnsi="Times New Roman"/>
          <w:sz w:val="18"/>
          <w:szCs w:val="18"/>
          <w:b w:val="1"/>
          <w:bCs w:val="1"/>
          <w:color w:val="auto"/>
        </w:rPr>
        <w:t>Benefits Plans</w:t>
      </w:r>
      <w:r>
        <w:rPr>
          <w:rFonts w:ascii="Times New Roman" w:cs="Times New Roman" w:eastAsia="Times New Roman" w:hAnsi="Times New Roman"/>
          <w:sz w:val="18"/>
          <w:szCs w:val="18"/>
          <w:color w:val="auto"/>
        </w:rPr>
        <w:t xml:space="preserve">”), including but not limited to those listed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in connection with and contingent upon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it is in the best interests of the Company and its stockholders for the Converted Corporation to assume the Equity Plans and the Benefits Plans, including for purposes of granting future awards and benefits thereunder, and to assume all outstanding Awards under the Equity Plans; and</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in connection with the assumption of the Equity Plans and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adjustments shall be made on a one-to-one-basis under each Equity Plan, and the relevant kind of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5" w:name="page36"/>
    <w:bookmarkEnd w:id="3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to Awards shall be adjusted to relate to the Converted Corporation: (i) the maximum number of shares reserved for issuance under the Equity Plan, (ii) the number of Awards that can be granted to any one individual participant in any calendar year, (iii) the number and kind of shares or other securities subject to any then outstanding Awards under the Equity Plan, and (iv) the price for each share subject to any outstanding Awards under the Equity Plan.</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contingent upon and effective as of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Reincorporation, the Board hereby authorizes, directs and approves the assumption by the Converted Corporation of the Equity Plans and the Benefits Plans, and the transfer of sponsorship of the Benefit Plans to the Converted Corporation.</w:t>
      </w:r>
    </w:p>
    <w:p>
      <w:pPr>
        <w:spacing w:after="0" w:line="68" w:lineRule="exact"/>
        <w:rPr>
          <w:sz w:val="20"/>
          <w:szCs w:val="20"/>
          <w:color w:val="auto"/>
        </w:rPr>
      </w:pPr>
    </w:p>
    <w:p>
      <w:pPr>
        <w:jc w:val="both"/>
        <w:ind w:left="300" w:right="2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reserved for future issuance under the Equity Plans and the maximum number of shares of Class A Common Stock reserved for issuance under the Equity Plans shall be adjusted to reflect the Nevada Reincorporation on a one-to-one basis, and such shares shall be shares of Class A Common Stock of the Converted Corporation.</w:t>
      </w:r>
    </w:p>
    <w:p>
      <w:pPr>
        <w:spacing w:after="0" w:line="29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number of Awards that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any one individual participant in any calendar year under an Equity Plan shall be adjusted to reflect the Nevada Reincorporation on a one-to-one basis.</w:t>
      </w:r>
    </w:p>
    <w:p>
      <w:pPr>
        <w:spacing w:after="0" w:line="63"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assumption of the Equity Plans, the exercise price (if any)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and unexercised Awards and the number of shares subject to each outstanding Award shall be adjusted to reflect the Nevada Reincorporation on a one-to-one basis.</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 t</w:t>
      </w:r>
      <w:r>
        <w:rPr>
          <w:rFonts w:ascii="Times New Roman" w:cs="Times New Roman" w:eastAsia="Times New Roman" w:hAnsi="Times New Roman"/>
          <w:sz w:val="18"/>
          <w:szCs w:val="18"/>
          <w:color w:val="auto"/>
        </w:rPr>
        <w:t>hat the Board hereby authorizes and approves the assumption by the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of all outstanding Awards and hereby reserves a sufficient number of shares of Class A Common Stock of the Converted Corporation under the Equity Plans for issuance upon exercise of such Awards on a one-to-one basis.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contingent on the consummation of the Nevada Reincorporation and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Nevada Reincorporation, (i) all references to the “Company” in the Equity Plans and the agreements or contracts related to outstanding Awards refer to the Converted Corporation rather than the Company, (ii) all references to “Class A Common Stock” (or similar term) of the Company refer to “Class A Common Stock” (or similar term) of the Converted Corporation, (iii) all shares issued under the applicable Equity Plan or non-plan equity award agreement shall be Class A Common Stock of the Converted Corporation (subject to adjustment pursuant to the terms of the applicable Equity Plan or agreement), (iv) the Converted Corporation shall be entitled to grant awards covering shares of Class A Common Stock of the Converted Corporation under the Equity Plans, subject to the terms and conditions thereto, and (v) any other changes necessary to effect the Nevada Reincorporation shall be deemed made.</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each of the assumed Awards under the Equity Plans will continue to have,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same terms and conditions (including, if applicable, the vesting arrangements and other terms and conditions set forth in the applicable Equity Plan and the applicable Award agreement), except that the outstanding awards under the Equity Plans settle-able in stock will be settled in shares of the Class A Common Stock of the Converted Corporation.</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contingent on the consummation of the Nevada Reincorporation,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assigns to the Converted Corporation all rights, duties and obligations pursuant to the Equity Plans and the Benefits Plans and the Converted Corporation hereby assumes all rights, duties and obligations pursuant to the Equity Plans and the Benefits Plans and is the successor to the Company for all purposes under the Equity Plans and the Benefits Plans.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immediately upon the assumption of each Equity Plan, the Talent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of the board of directors of the Converted Corporation shall become the Administrator (as defined in such Equity Plans) of each such Equity Plan and shall have any and all authority of the Administrator and any and all authority otherwise previously assigned to the Talent and Compensation Committee of the Board by the Board with respect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6" w:name="page37"/>
    <w:bookmarkEnd w:id="36"/>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acknowledges and determines that the Nevada Reincorporation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constitute a “change of control,” “change in control, “ “other combination,” “acquisition” or similar term for purposes of the Equity Plans and Benefits Plans.</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acknowledges and determines that the Nevada Reincorporation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reorganization of the Company, effected without change to ownership, and therefore no acceleration of vesting, exercisability or deliverability under the Equity Plans or Awards shall occur.</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Supplemental Indentures and Reservation of Shares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in connection with the consummation of the Nevada Reincorporation, the Company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authorized to enter into (a) a supplemental indenture to the indenture governing the Company’s 0% Convertible Senior Notes due 2026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and (b) a supplemental indenture to the indenture governing the Company’s 0% Convertible Senior Notes due 2028 (the “</w:t>
      </w:r>
      <w:r>
        <w:rPr>
          <w:rFonts w:ascii="Times New Roman" w:cs="Times New Roman" w:eastAsia="Times New Roman" w:hAnsi="Times New Roman"/>
          <w:sz w:val="18"/>
          <w:szCs w:val="18"/>
          <w:b w:val="1"/>
          <w:bCs w:val="1"/>
          <w:color w:val="auto"/>
        </w:rPr>
        <w:t>2028 Notes</w:t>
      </w:r>
      <w:r>
        <w:rPr>
          <w:rFonts w:ascii="Times New Roman" w:cs="Times New Roman" w:eastAsia="Times New Roman" w:hAnsi="Times New Roman"/>
          <w:sz w:val="18"/>
          <w:szCs w:val="18"/>
          <w:color w:val="auto"/>
        </w:rPr>
        <w:t>” and, together with the 2026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 in each case, to cause any shares of the Class A Common Stock of the Company required to be delivered upon conversion of the applicable series of Notes in accordance with their terms to instead, following the Nevada Reincorporation, be convertible into the Class A Common Stock of the Converted Corporation and to make such other changes or amendments to the indentures governing the Notes as any Authorized Officer shall, in such Authorized Officer’s discretion, deem necessary or appropriate in connection with the Nevada Reincorporation, such approval to be conclusively evidenced by the execution thereof by such Authorized Officer.</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Company hereby reserves such number of authorized but unissued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A Common Stock of the Converted Corporation as may from time to time be issuable upon conversion of the Notes, including with respect to any adjustment to the applicable conversion rate in connection with a “make-whole fundamental change” or a notice of redemption (the “</w:t>
      </w:r>
      <w:r>
        <w:rPr>
          <w:rFonts w:ascii="Times New Roman" w:cs="Times New Roman" w:eastAsia="Times New Roman" w:hAnsi="Times New Roman"/>
          <w:sz w:val="18"/>
          <w:szCs w:val="18"/>
          <w:b w:val="1"/>
          <w:bCs w:val="1"/>
          <w:color w:val="auto"/>
        </w:rPr>
        <w:t>Convertible Note Shares</w:t>
      </w:r>
      <w:r>
        <w:rPr>
          <w:rFonts w:ascii="Times New Roman" w:cs="Times New Roman" w:eastAsia="Times New Roman" w:hAnsi="Times New Roman"/>
          <w:sz w:val="18"/>
          <w:szCs w:val="18"/>
          <w:color w:val="auto"/>
        </w:rPr>
        <w:t>”); and that upon conversion of the Notes in accordance with their terms, the issuance by the Converted Corporation of such number of such Convertible Note Shares as the Converted Corporation may be required to issue in accordance with the terms of such Notes shall be, and the same hereby is, authorized and approved; and when issued in accordance with the terms and conditions of the Notes, such Convertible Note Shares will be duly authorized, validly issued, fully paid and non-assessable.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acts, transactions, agreements or certificates previously signed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Authorized Officers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Authorized Officers and all other officers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empowered and directed, for and on behalf of the Company and in its name,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7" w:name="page38"/>
    <w:bookmarkEnd w:id="37"/>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is adopted as of       , 2025 to convert Dropbox, Inc., a Delaware corporation (the “</w:t>
      </w:r>
      <w:r>
        <w:rPr>
          <w:rFonts w:ascii="Times New Roman" w:cs="Times New Roman" w:eastAsia="Times New Roman" w:hAnsi="Times New Roman"/>
          <w:sz w:val="18"/>
          <w:szCs w:val="18"/>
          <w:b w:val="1"/>
          <w:bCs w:val="1"/>
          <w:color w:val="auto"/>
        </w:rPr>
        <w:t>Converting Entity</w:t>
      </w:r>
      <w:r>
        <w:rPr>
          <w:rFonts w:ascii="Times New Roman" w:cs="Times New Roman" w:eastAsia="Times New Roman" w:hAnsi="Times New Roman"/>
          <w:sz w:val="18"/>
          <w:szCs w:val="18"/>
          <w:color w:val="auto"/>
        </w:rPr>
        <w:t>”), to a Nevada corporation to be known as “Dropbox, Inc.” (the “</w:t>
      </w:r>
      <w:r>
        <w:rPr>
          <w:rFonts w:ascii="Times New Roman" w:cs="Times New Roman" w:eastAsia="Times New Roman" w:hAnsi="Times New Roman"/>
          <w:sz w:val="18"/>
          <w:szCs w:val="18"/>
          <w:b w:val="1"/>
          <w:bCs w:val="1"/>
          <w:color w:val="auto"/>
        </w:rPr>
        <w:t>Converted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-314325</wp:posOffset>
            </wp:positionV>
            <wp:extent cx="3429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Converting Entity</w:t>
      </w:r>
      <w:r>
        <w:rPr>
          <w:rFonts w:ascii="Times New Roman" w:cs="Times New Roman" w:eastAsia="Times New Roman" w:hAnsi="Times New Roman"/>
          <w:sz w:val="18"/>
          <w:szCs w:val="18"/>
          <w:color w:val="auto"/>
        </w:rPr>
        <w:t>. The Converting Entity is a corporation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Converted Entity</w:t>
      </w:r>
      <w:r>
        <w:rPr>
          <w:rFonts w:ascii="Times New Roman" w:cs="Times New Roman" w:eastAsia="Times New Roman" w:hAnsi="Times New Roman"/>
          <w:sz w:val="18"/>
          <w:szCs w:val="18"/>
          <w:color w:val="auto"/>
        </w:rPr>
        <w:t>. The Converted Entity shall be a corporation organized under Chapter 78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The name of the Converted Entity shall be Dropbox, Inc.</w:t>
      </w:r>
    </w:p>
    <w:p>
      <w:pPr>
        <w:spacing w:after="0" w:line="50"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The Converting Entity shall be converted to the Converted Entity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pursuant to Section 92A.195 of the NRS and Section 266 of the DGCL.</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Filing of Conversion Documents; Effective Time</w:t>
      </w:r>
      <w:r>
        <w:rPr>
          <w:rFonts w:ascii="Times New Roman" w:cs="Times New Roman" w:eastAsia="Times New Roman" w:hAnsi="Times New Roman"/>
          <w:sz w:val="18"/>
          <w:szCs w:val="18"/>
          <w:color w:val="auto"/>
        </w:rPr>
        <w:t>. As soon as practicable following the satisfaction of the conditions set forth in Section 9, if this Plan of Conversion shall not have been terminated prior thereto as provided in Section 12, the Converting Entity shall cause (i) articles of conversion meeting the requirements of Section 92A.205 of the NRS (the “</w:t>
      </w:r>
      <w:r>
        <w:rPr>
          <w:rFonts w:ascii="Times New Roman" w:cs="Times New Roman" w:eastAsia="Times New Roman" w:hAnsi="Times New Roman"/>
          <w:sz w:val="18"/>
          <w:szCs w:val="18"/>
          <w:b w:val="1"/>
          <w:bCs w:val="1"/>
          <w:color w:val="auto"/>
        </w:rPr>
        <w:t>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 and otherwise make all other filings or recordings as required by the NRS or DGCL in connection with the Conversion. The Conversion shall become effective at the time designated in the Articles of Conversion and Certificate of Conversion as the effective time of the Conversion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Articles of Incorporation and Bylaws</w:t>
      </w:r>
      <w:r>
        <w:rPr>
          <w:rFonts w:ascii="Times New Roman" w:cs="Times New Roman" w:eastAsia="Times New Roman" w:hAnsi="Times New Roman"/>
          <w:sz w:val="18"/>
          <w:szCs w:val="18"/>
          <w:color w:val="auto"/>
        </w:rPr>
        <w:t xml:space="preserve">. At the Effective Time, the Articles of Incorporation and Bylaws of the Converted Entity, in the forms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shall govern the Converted Entity until amended in accordance with their respective terms and applicable law.</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and the lead independent director of the Board of Directors of the Converting Entity as of immediately prior to the Effective Time shall be the chair of the Board of Directors of the Converted Entity and the lead independent director of the Board of Directors of the Converted Entity, respectively, each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or “officer” for purposes of Section 16 of the Exchange Act shall remain in effect), each to serve until his or her successor has been duly elected or appointed and qualified or until his or her earlier death, resignation or removal;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the avoidance of doubt, in all cases, the governing laws of the state of Nevada, and not the state of Delaware, shall apply.</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Effect on Capital Stock of Converting Entity</w:t>
      </w:r>
      <w:r>
        <w:rPr>
          <w:rFonts w:ascii="Times New Roman" w:cs="Times New Roman" w:eastAsia="Times New Roman" w:hAnsi="Times New Roman"/>
          <w:sz w:val="18"/>
          <w:szCs w:val="18"/>
          <w:color w:val="auto"/>
        </w:rPr>
        <w:t>. At the Effective Time, by virtue of the Conversion and without any further action on the part of the Converting Entity, the Converted Entity or any other person, (i) each share of Class A Common Stock, par value $0.00001 per share, of the Converting Entity issued and outstanding or held in treasury immediately prior to the Effective Time shall be automatically converted into one (1) share of Class A Common Stock, par value $0.00001 per share, of the Converted Entity; and (ii) each share of Class B Common Stock, par value $0.00001 per share, of the Converting Entity issued and outstanding or held in treasury immediately prior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8" w:name="page39"/>
    <w:bookmarkEnd w:id="38"/>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Effective Time shall be automatically converted into one (1) share of Class B Common Stock, par value $0.00001 per share, of the Converted Entity. At and after the Effective Time: (x) all of the outstanding certificates that immediately prior to the Effective Time represented issued and outstanding shares of Class A Common Stock or Class B Common Stock of the Converting Entity shall be deemed for all purposes to evidence ownership of and to represent shares of Class A Common Stock or Class B Common Stock, as applicable, of the Converted Entity and shall be so registered on the books and records of the Converted Entity and its transfer agent; and (y) all of the issued and outstanding shares of Class A Common Stock and Class B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Effect on Other Securities of Converting Entity</w:t>
      </w:r>
      <w:r>
        <w:rPr>
          <w:rFonts w:ascii="Times New Roman" w:cs="Times New Roman" w:eastAsia="Times New Roman" w:hAnsi="Times New Roman"/>
          <w:sz w:val="18"/>
          <w:szCs w:val="18"/>
          <w:color w:val="auto"/>
        </w:rPr>
        <w:t>. At the Effective Time, any warrant, option, restricted stock unit, equity or equity-based award, or other right to acquire any shares of, or of any instrument to convert into or based on the value of, the Class A Common Stock or Class B Common Stock of the Converting Entity or other equity security of the Converting Entity, whether vested or unvested, which is outstanding immediately prior to the Effective Time (each,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Completion of the Conversion is subject to the following conditions:</w:t>
      </w:r>
    </w:p>
    <w:p>
      <w:pPr>
        <w:spacing w:after="0" w:line="11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(a)  the resolution of the Board of Directors of the Converting Entity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Class A Common Stock and Class B Common Stock of the Converting Entity outstanding and entitled to vote thereon, voting together as a single class; and</w:t>
      </w:r>
    </w:p>
    <w:p>
      <w:pPr>
        <w:spacing w:after="0" w:line="7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other than the filing of the Articles of Conversion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Record of Conversion</w:t>
      </w:r>
      <w:r>
        <w:rPr>
          <w:rFonts w:ascii="Times New Roman" w:cs="Times New Roman" w:eastAsia="Times New Roman" w:hAnsi="Times New Roman"/>
          <w:sz w:val="18"/>
          <w:szCs w:val="18"/>
          <w:color w:val="auto"/>
        </w:rPr>
        <w:t>. A copy of this Plan of Conversion will be kept at the principal place of business of the Converted Entity and, upon the request of any stockholder of the Converting Entity, a copy of this Plan of Conversion shall promptly be delivered to such stockholder.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Termination; Abandonment</w:t>
      </w:r>
      <w:r>
        <w:rPr>
          <w:rFonts w:ascii="Times New Roman" w:cs="Times New Roman" w:eastAsia="Times New Roman" w:hAnsi="Times New Roman"/>
          <w:sz w:val="18"/>
          <w:szCs w:val="18"/>
          <w:color w:val="auto"/>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9" w:name="page40"/>
    <w:bookmarkEnd w:id="39"/>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It is intended that the Conversion qualify as a “reorganization” within the meaning of Section 368(a)(1)(F)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any similar provision of state or local law). This Plan of Conversion shall constitute, and is adopted as, a “plan of reorganization” within the meaning of Sections 1.368-2(g) and 1.368-3(a) of the U.S. Treasury Regulations promulgated under the Code.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color w:val="auto"/>
        </w:rPr>
        <w:t>This Plan of Conversion has been adopted by the Board of Directors as of the date set forth above.</w:t>
      </w:r>
    </w:p>
    <w:p>
      <w:pPr>
        <w:spacing w:after="0" w:line="1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26035</wp:posOffset>
            </wp:positionV>
            <wp:extent cx="2417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1" w:name="page42"/>
    <w:bookmarkEnd w:id="41"/>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65"/>
          <w:szCs w:val="65"/>
          <w:b w:val="1"/>
          <w:bCs w:val="1"/>
          <w:u w:val="single" w:color="auto"/>
          <w:color w:val="auto"/>
        </w:rPr>
        <w:t>Delaware</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First State</w:t>
      </w:r>
    </w:p>
    <w:p>
      <w:pPr>
        <w:spacing w:after="0" w:line="93" w:lineRule="exact"/>
        <w:rPr>
          <w:sz w:val="20"/>
          <w:szCs w:val="20"/>
          <w:color w:val="auto"/>
        </w:rPr>
      </w:pPr>
    </w:p>
    <w:p>
      <w:pPr>
        <w:jc w:val="both"/>
        <w:ind w:left="1300" w:right="130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 JEFFREY W. BULLOCK, SECRETARY OF STATE OF THE STATE OF DELAWARE, DO HEREBY CERTIFY THE ATTACHED IS A TRUE AND CORRECT COPY OF THE RESTATED CERTIFICATE OF “DROPBOX, INC.”, FILED IN THIS OFFICE ON THE TWENTY-SEVENTH DAY OF MARCH, A.D. 2018, AT 8:08 O`CLOCK A.M.</w:t>
      </w:r>
    </w:p>
    <w:p>
      <w:pPr>
        <w:spacing w:after="0" w:line="68" w:lineRule="exact"/>
        <w:rPr>
          <w:sz w:val="20"/>
          <w:szCs w:val="20"/>
          <w:color w:val="auto"/>
        </w:rPr>
      </w:pPr>
    </w:p>
    <w:p>
      <w:pPr>
        <w:jc w:val="both"/>
        <w:ind w:left="1300" w:right="13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2992755</wp:posOffset>
            </wp:positionV>
            <wp:extent cx="1671955" cy="728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719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146050</wp:posOffset>
            </wp:positionV>
            <wp:extent cx="891540" cy="874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915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0"/>
          <w:szCs w:val="10"/>
          <w:color w:val="auto"/>
        </w:rPr>
        <w:t> </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4348296 8100</w:t>
            </w:r>
          </w:p>
        </w:tc>
        <w:tc>
          <w:tcPr>
            <w:tcW w:w="38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Authentication: 202396296</w:t>
            </w:r>
          </w:p>
        </w:tc>
      </w:tr>
      <w:tr>
        <w:trPr>
          <w:trHeight w:val="243"/>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SR# 20182206915</w:t>
            </w:r>
          </w:p>
        </w:tc>
        <w:tc>
          <w:tcPr>
            <w:tcW w:w="38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Date: 03-27-18</w:t>
            </w:r>
          </w:p>
        </w:tc>
      </w:tr>
      <w:tr>
        <w:trPr>
          <w:trHeight w:val="391"/>
        </w:trPr>
        <w:tc>
          <w:tcPr>
            <w:tcW w:w="7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You may verify this certificate online at corp.delaware.gov/authver.shtml</w:t>
            </w:r>
          </w:p>
        </w:tc>
        <w:tc>
          <w:tcPr>
            <w:tcW w:w="3880" w:type="dxa"/>
            <w:vAlign w:val="bottom"/>
          </w:tcPr>
          <w:p>
            <w:pPr>
              <w:spacing w:after="0"/>
              <w:rPr>
                <w:sz w:val="24"/>
                <w:szCs w:val="24"/>
                <w:color w:val="auto"/>
              </w:rPr>
            </w:pPr>
          </w:p>
        </w:tc>
      </w:tr>
      <w:tr>
        <w:trPr>
          <w:trHeight w:val="432"/>
        </w:trPr>
        <w:tc>
          <w:tcPr>
            <w:tcW w:w="714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Appendix C-1</w:t>
            </w:r>
          </w:p>
        </w:tc>
        <w:tc>
          <w:tcPr>
            <w:tcW w:w="3880" w:type="dxa"/>
            <w:vAlign w:val="bottom"/>
          </w:tcPr>
          <w:p>
            <w:pPr>
              <w:spacing w:after="0"/>
              <w:rPr>
                <w:sz w:val="24"/>
                <w:szCs w:val="24"/>
                <w:color w:val="auto"/>
              </w:rPr>
            </w:pPr>
          </w:p>
        </w:tc>
      </w:tr>
      <w:tr>
        <w:trPr>
          <w:trHeight w:val="183"/>
        </w:trPr>
        <w:tc>
          <w:tcPr>
            <w:tcW w:w="71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39" w:right="439" w:bottom="1440" w:gutter="0" w:footer="0" w:header="0"/>
        </w:sectPr>
      </w:pPr>
    </w:p>
    <w:bookmarkStart w:id="42" w:name="page43"/>
    <w:bookmarkEnd w:id="42"/>
    <w:p>
      <w:pPr>
        <w:ind w:left="640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Secretary of State</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Division of Corporations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Delivered 08:08 AM 03/27/2018</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FILED 08:08 AM 03/27/2018</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SR 20182206915 - File Number 4348296</w:t>
      </w:r>
    </w:p>
    <w:p>
      <w:pPr>
        <w:spacing w:after="0" w:line="200" w:lineRule="exact"/>
        <w:rPr>
          <w:sz w:val="20"/>
          <w:szCs w:val="20"/>
          <w:color w:val="auto"/>
        </w:rPr>
      </w:pPr>
    </w:p>
    <w:p>
      <w:pPr>
        <w:spacing w:after="0" w:line="2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Dropbox, Inc., a Delaware corporation, hereby certifies that: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1.  The name of the corporation is Dropbox, Inc. The date of filing its original Certificate of Incorporation with the Secretary of State of the State of Delaware was May 8,2007. The corporation was originally incorporated under the name Evenflow, Inc.</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2.  This Restated Certificate of Incorporation of the corporation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heretofore amended and/or restated, has been duly adopted by the corporation's Board of Directors and by the stockholders in accordance with Sections 242 and 245 of the General Corporation Law of the State of Delaware, with the approval of the corporation's stockholders having been given by written consent without a meeting in accordance with Section 228 of the General Corporation Law of the State of Delaware.</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Restated Certificate of Incorporation to be signed by its duly authorized officer and the foregoing facts stated herein are true and correct.</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2018</w:t>
            </w:r>
          </w:p>
        </w:tc>
        <w:tc>
          <w:tcPr>
            <w:tcW w:w="56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DROPBOX, INC.</w:t>
            </w:r>
          </w:p>
        </w:tc>
      </w:tr>
      <w:tr>
        <w:trPr>
          <w:trHeight w:val="506"/>
        </w:trPr>
        <w:tc>
          <w:tcPr>
            <w:tcW w:w="2800" w:type="dxa"/>
            <w:vAlign w:val="bottom"/>
          </w:tcPr>
          <w:p>
            <w:pPr>
              <w:spacing w:after="0"/>
              <w:rPr>
                <w:sz w:val="24"/>
                <w:szCs w:val="24"/>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Houston</w:t>
            </w:r>
          </w:p>
        </w:tc>
      </w:tr>
      <w:tr>
        <w:trPr>
          <w:trHeight w:val="264"/>
        </w:trPr>
        <w:tc>
          <w:tcPr>
            <w:tcW w:w="2800" w:type="dxa"/>
            <w:vAlign w:val="bottom"/>
          </w:tcPr>
          <w:p>
            <w:pPr>
              <w:spacing w:after="0"/>
              <w:rPr>
                <w:sz w:val="22"/>
                <w:szCs w:val="22"/>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Houston</w:t>
            </w:r>
          </w:p>
        </w:tc>
      </w:tr>
      <w:tr>
        <w:trPr>
          <w:trHeight w:val="243"/>
        </w:trPr>
        <w:tc>
          <w:tcPr>
            <w:tcW w:w="2800" w:type="dxa"/>
            <w:vAlign w:val="bottom"/>
          </w:tcPr>
          <w:p>
            <w:pPr>
              <w:spacing w:after="0"/>
              <w:rPr>
                <w:sz w:val="21"/>
                <w:szCs w:val="21"/>
                <w:color w:val="auto"/>
              </w:rPr>
            </w:pPr>
          </w:p>
        </w:tc>
        <w:tc>
          <w:tcPr>
            <w:tcW w:w="1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0"/>
        </w:trPr>
        <w:tc>
          <w:tcPr>
            <w:tcW w:w="2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43" w:name="page44"/>
    <w:bookmarkEnd w:id="43"/>
    <w:p>
      <w:pPr>
        <w:ind w:left="394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Dropbox,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Wilmington, New Castle County, Delaware 19808. The name of its registered agent at such address is Corporation Service Company.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21"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7"/>
          <w:szCs w:val="17"/>
          <w:b w:val="1"/>
          <w:bCs w:val="1"/>
          <w:i w:val="1"/>
          <w:iCs w:val="1"/>
          <w:color w:val="auto"/>
        </w:rPr>
        <w:t>Delaware General Corporation Law</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authorized to be issued is 3,675,000,000,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2,400,000,000 shares of which are designated Class A Common Stock, par value $0.00001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475,000,000 shares of which are designated Class B Common Stock, par value $0.00001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800,000,000 shares of which are designated Class C Common Stock, par value $0.00001 per share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The total number of shares of Preferred Stock authorized to be issued is 240,000,000 shares, par value $0.00001 per share.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 the following definitions apply;</w:t>
      </w:r>
    </w:p>
    <w:p>
      <w:pPr>
        <w:spacing w:after="0" w:line="11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Section V.1.1,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75"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 means this Restated Certificate of Incorporation of the Corporation, as may be amended.</w:t>
      </w:r>
    </w:p>
    <w:p>
      <w:pPr>
        <w:spacing w:after="0" w:line="4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a sale, lease, exclusive license or other disposition of all or substantially all of the assets of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4" w:name="page45"/>
    <w:bookmarkEnd w:id="44"/>
    <w:p>
      <w:pPr>
        <w:ind w:left="102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Controlled Company Exemption</w:t>
      </w:r>
      <w:r>
        <w:rPr>
          <w:rFonts w:ascii="Times New Roman" w:cs="Times New Roman" w:eastAsia="Times New Roman" w:hAnsi="Times New Roman"/>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6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(a)  the date specified by the holders of two-thirds of the then outstanding shares of Class B Common Stock, voting as a separate class;</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the first date on which the number of outstanding shares of Class B Common Stock represents less than 5% of the aggregate number of outstanding shares of Class A Common Stock and Class B Common Stock; or</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either Andrew Houston or Arash Ferdowsi.</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4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first date that shares of a class of the Corporation's capital stock have been listed for trading on the New York Stock Exchange, NASDAQ Global Select Market or NASDAQ Global Market or any successor markets or exchanges (each, a “</w:t>
      </w:r>
      <w:r>
        <w:rPr>
          <w:rFonts w:ascii="Times New Roman" w:cs="Times New Roman" w:eastAsia="Times New Roman" w:hAnsi="Times New Roman"/>
          <w:sz w:val="18"/>
          <w:szCs w:val="18"/>
          <w:b w:val="1"/>
          <w:bCs w:val="1"/>
          <w:i w:val="1"/>
          <w:iCs w:val="1"/>
          <w:color w:val="auto"/>
        </w:rPr>
        <w:t>Securities Exchange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Acquisition or Asset Transfer.</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71"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4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with respect to any Qualified Stockholder, any trust, account, plan, corporation, partnership, or limited liability company specified in Section V.1.15(b) with respect to such Qualified Stockholder, so long as such Permitted Entity meets the requirements of the exception set forth in Section V.1.15 applicable to such Permitted Entity.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5" w:name="page46"/>
    <w:bookmarkEnd w:id="45"/>
    <w:p>
      <w:pPr>
        <w:ind w:left="10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(a)  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68"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1" w:lineRule="exact"/>
        <w:rPr>
          <w:sz w:val="20"/>
          <w:szCs w:val="20"/>
          <w:color w:val="auto"/>
        </w:rPr>
      </w:pPr>
    </w:p>
    <w:p>
      <w:pPr>
        <w:jc w:val="both"/>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§2702(b)(l)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86"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86"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6" w:name="page47"/>
    <w:bookmarkEnd w:id="46"/>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68"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4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are outstanding as the IPO Date; (c) a Permitted Transferee; and (d) the initial registered holder of any shares of Class B Common Stock that are originally issued by the Corporation after the IPO Date in compliance with this Amended and Restated Certificate.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81"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7" w:name="page48"/>
    <w:bookmarkEnd w:id="47"/>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(d)  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72"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(e)  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8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(f)  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(g)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(h)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64"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xml:space="preserve"> ” means, with respect to a share of capital stock or other security, the power (whether exclusive or shared) to vote or direct the voting of such security, including by proxy, voting agreement or otherwise.</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means the total number of authorized directors whether or not there exist any vacancies or unfilled seats in previously authorized directorships.</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provided in this Amended and Restated Certificate or required by applicable law, shares of Common Stock shall have the same rights and powers, rank equally (including as to dividends and distributions, and any liquidation, dissolution or winding up of the corporation but excluding voting and other matters as described in Section V.3 below), share ratably and be identical in all respects as to all matters, including:</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8" w:name="page49"/>
    <w:bookmarkEnd w:id="48"/>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9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Each holder of shares of Class A Common Stock will be entitled to one vote for each share thereof held at the record date for the determination of the stockholders entitled to vote on such matters.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Each holder of shares of Class B Common Stock will be entitled to ten votes for each share thereof held at the record date for the determination of the stockholders entitled to vote on such matters.</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Except as required by law, the Class C Common Stock will have no voting rights and no holder thereof shall be entitled to vote on any matter.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Section V.9) by the affirmative vote of the holders of a majority of the voting power of the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80"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9" w:name="page50"/>
    <w:bookmarkEnd w:id="49"/>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“distribution to stockholders” for the purpose of this Section V.4; </w:t>
      </w:r>
      <w:r>
        <w:rPr>
          <w:rFonts w:ascii="Times New Roman" w:cs="Times New Roman" w:eastAsia="Times New Roman" w:hAnsi="Times New Roman"/>
          <w:sz w:val="18"/>
          <w:szCs w:val="18"/>
          <w:i w:val="1"/>
          <w:iCs w:val="1"/>
          <w:color w:val="auto"/>
        </w:rPr>
        <w:t xml:space="preserve">provided, farther, however, </w:t>
      </w:r>
      <w:r>
        <w:rPr>
          <w:rFonts w:ascii="Times New Roman" w:cs="Times New Roman" w:eastAsia="Times New Roman" w:hAnsi="Times New Roman"/>
          <w:sz w:val="18"/>
          <w:szCs w:val="18"/>
          <w:color w:val="auto"/>
        </w:rPr>
        <w:t>that shares of such classes may receive, or have the right to elect to receive, different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Conversion of the Class B Common Stock</w:t>
      </w:r>
      <w:r>
        <w:rPr>
          <w:rFonts w:ascii="Times New Roman" w:cs="Times New Roman" w:eastAsia="Times New Roman" w:hAnsi="Times New Roman"/>
          <w:sz w:val="18"/>
          <w:szCs w:val="18"/>
          <w:color w:val="auto"/>
        </w:rPr>
        <w:t>. The Class B Common Stock will be convertible into Class A Common Stock as follows: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5.1  Each share of Class B Common Stock will automatically convert into one fully paid and nonassessable share of Class A Common Stock on the Final Conversion Date.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68" w:lineRule="exact"/>
        <w:rPr>
          <w:sz w:val="20"/>
          <w:szCs w:val="20"/>
          <w:color w:val="auto"/>
        </w:rPr>
      </w:pPr>
    </w:p>
    <w:p>
      <w:pPr>
        <w:jc w:val="both"/>
        <w:ind w:left="1020" w:right="319" w:firstLine="360"/>
        <w:spacing w:after="0" w:line="289" w:lineRule="auto"/>
        <w:rPr>
          <w:sz w:val="20"/>
          <w:szCs w:val="20"/>
          <w:color w:val="auto"/>
        </w:rPr>
      </w:pPr>
      <w:r>
        <w:rPr>
          <w:rFonts w:ascii="Times New Roman" w:cs="Times New Roman" w:eastAsia="Times New Roman" w:hAnsi="Times New Roman"/>
          <w:sz w:val="17"/>
          <w:szCs w:val="17"/>
          <w:color w:val="auto"/>
        </w:rPr>
        <w:t>(a)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50"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(b)  on the occurrence of a Transfer of such share of Class B Common Stock, other than a Permitted Transfer; or</w:t>
      </w:r>
    </w:p>
    <w:p>
      <w:pPr>
        <w:spacing w:after="0" w:line="54" w:lineRule="exact"/>
        <w:rPr>
          <w:sz w:val="20"/>
          <w:szCs w:val="20"/>
          <w:color w:val="auto"/>
        </w:rPr>
      </w:pPr>
    </w:p>
    <w:p>
      <w:pPr>
        <w:jc w:val="both"/>
        <w:ind w:left="102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(c)  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Section V.1.18 of this Amended and Restated Certificate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that, if both Founders die and/or suffer a Disability simultaneously or the second Founder dies or suffers a Disability following the death or Disability of the other Founder, but prior to the conversion pursuant to this Section V.5.2(c) of the shares of Class B Common Stock held of record by such first Founder to die or become Disabled, his Permitted Entities or his Permitted Transferees, a person (including a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0" w:name="page51"/>
    <w:bookmarkEnd w:id="50"/>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Conversion of the Class C Common Stock</w:t>
      </w:r>
      <w:r>
        <w:rPr>
          <w:rFonts w:ascii="Times New Roman" w:cs="Times New Roman" w:eastAsia="Times New Roman" w:hAnsi="Times New Roman"/>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8"/>
          <w:szCs w:val="18"/>
          <w:b w:val="1"/>
          <w:bCs w:val="1"/>
          <w:i w:val="1"/>
          <w:iCs w:val="1"/>
          <w:color w:val="auto"/>
        </w:rPr>
        <w:t>Class C Conversion Date</w:t>
      </w:r>
      <w:r>
        <w:rPr>
          <w:rFonts w:ascii="Times New Roman" w:cs="Times New Roman" w:eastAsia="Times New Roman" w:hAnsi="Times New Roman"/>
          <w:sz w:val="18"/>
          <w:szCs w:val="18"/>
          <w:color w:val="auto"/>
        </w:rPr>
        <w:t>”), each outstanding share of Class C Capital Stock shall automatically, without further action by the Corporation or the holders thereof, convert into one (1)fully paid and nonassessable share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Immediate Effect</w:t>
      </w:r>
      <w:r>
        <w:rPr>
          <w:rFonts w:ascii="Times New Roman" w:cs="Times New Roman" w:eastAsia="Times New Roman" w:hAnsi="Times New Roman"/>
          <w:sz w:val="18"/>
          <w:szCs w:val="18"/>
          <w:color w:val="auto"/>
        </w:rPr>
        <w:t>. In the event of and upon a conversion of shares of Class B Common Stock to shares of Class A Common Stock pursuant to Section V.5 or Class C Common Stock to Class A Common Stock pursuant to Section V.6,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this Amended and Restated Certificate. Upon any conversion of Class B Common Stock or Class C Common Stock to Class A Common Stock in accordance with this Amended and Restated Certificate,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1" w:name="page52"/>
    <w:bookmarkEnd w:id="51"/>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this Amended and Restated Certificate: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12.1  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12.4  authorize, or issue any shares of, any class or series of capital stock of the Corporation having the right to more than (1) vote for each share thereof; 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12.5   consummate a Liquidation Event.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u w:val="single" w:color="auto"/>
          <w:color w:val="auto"/>
        </w:rPr>
        <w:t>Rights of Preferred Stock.</w:t>
      </w:r>
      <w:r>
        <w:rPr>
          <w:rFonts w:ascii="Times New Roman" w:cs="Times New Roman" w:eastAsia="Times New Roman" w:hAnsi="Times New Roman"/>
          <w:sz w:val="17"/>
          <w:szCs w:val="17"/>
          <w:color w:val="auto"/>
        </w:rPr>
        <w:t xml:space="preserve"> The Board is authorized, subject to any limitations prescribed by law, to provide for the issuance of shares of Preferred Stock in series, and by filing a certificate pursuant to the applicable law of the State of Delaware (such certificate being hereinafter referred to as a “</w:t>
      </w:r>
      <w:r>
        <w:rPr>
          <w:rFonts w:ascii="Times New Roman" w:cs="Times New Roman" w:eastAsia="Times New Roman" w:hAnsi="Times New Roman"/>
          <w:sz w:val="17"/>
          <w:szCs w:val="17"/>
          <w:b w:val="1"/>
          <w:bCs w:val="1"/>
          <w:i w:val="1"/>
          <w:iCs w:val="1"/>
          <w:color w:val="auto"/>
        </w:rPr>
        <w:t>Preferred Stock Designation</w:t>
      </w:r>
      <w:r>
        <w:rPr>
          <w:rFonts w:ascii="Times New Roman" w:cs="Times New Roman" w:eastAsia="Times New Roman" w:hAnsi="Times New Roman"/>
          <w:sz w:val="17"/>
          <w:szCs w:val="17"/>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6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Vote to Increase or Decrease Authorized Shares</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Delaware General Corporation Law.</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Structure</w:t>
      </w:r>
      <w:r>
        <w:rPr>
          <w:rFonts w:ascii="Times New Roman" w:cs="Times New Roman" w:eastAsia="Times New Roman" w:hAnsi="Times New Roman"/>
          <w:sz w:val="18"/>
          <w:szCs w:val="18"/>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8"/>
          <w:szCs w:val="18"/>
          <w:b w:val="1"/>
          <w:bCs w:val="1"/>
          <w:i w:val="1"/>
          <w:iCs w:val="1"/>
          <w:color w:val="auto"/>
        </w:rPr>
        <w:t>Classified Board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the term of office of the initial Class II directors shall expire at the second annual meeting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2" w:name="page53"/>
    <w:bookmarkEnd w:id="52"/>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Section VII.2 in the event a Classified Board Effective Date occurs) and until his or her successor shall have been duly elected and qualified. Notwithstanding the foregoing provisions of this Article VII,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Any director may be removed from office by the stockholders of the Corporation as provided in Section 141(k) of the Delaware General Corporation Law.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Power</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the General Corporation Law, the Board is expressly authorized to adopt, amend or repeal the Bylaws of the Corporation.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Availability of Stockholder Action bv Written Consent</w:t>
      </w:r>
      <w:r>
        <w:rPr>
          <w:rFonts w:ascii="Times New Roman" w:cs="Times New Roman" w:eastAsia="Times New Roman" w:hAnsi="Times New Roman"/>
          <w:sz w:val="18"/>
          <w:szCs w:val="18"/>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a Securities Exchange, the Corporation shall not rely upon the Controlled Company Exemption.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Neither any amendment nor repeal of this Article X, nor the adoption of any provision of this Amended and Restated Certificate inconsistent with this Article X, shall eliminate, reduce or otherwise adversely affect any limitation on the personal liability of a director of the Corporation existing at the time of such amendment, repeal or adoption of such an inconsistent provision.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as provided in Article X above,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w:t>
      </w:r>
    </w:p>
    <w:p>
      <w:pPr>
        <w:spacing w:after="0" w:line="5" w:lineRule="exact"/>
        <w:rPr>
          <w:sz w:val="20"/>
          <w:szCs w:val="20"/>
          <w:color w:val="auto"/>
        </w:rPr>
      </w:pPr>
    </w:p>
    <w:p>
      <w:pPr>
        <w:jc w:val="both"/>
        <w:ind w:left="300" w:right="299" w:hanging="8"/>
        <w:spacing w:after="0" w:line="251" w:lineRule="auto"/>
        <w:tabs>
          <w:tab w:leader="none" w:pos="5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V or this clause (i)(b) of Article XI of this Amended and Restated Certificate (except in either case by virtue of a filing of a Preferred Stock Designation, but subject to any vote required by law or by other provisions of this Amended and Restated Certificate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VII, Article VIII or this Article XI.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4" w:name="page55"/>
    <w:bookmarkEnd w:id="5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37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(as amended on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3"/>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2820" w:type="dxa"/>
            <w:vAlign w:val="bottom"/>
            <w:tcBorders>
              <w:bottom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ARTICLE I - CORPORATE OFFICES</w:t>
            </w:r>
          </w:p>
        </w:tc>
        <w:tc>
          <w:tcPr>
            <w:tcW w:w="5160" w:type="dxa"/>
            <w:vAlign w:val="bottom"/>
            <w:tcBorders>
              <w:bottom w:val="single" w:sz="8" w:color="CCEEFF"/>
            </w:tcBorders>
            <w:gridSpan w:val="3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2"/>
              </w:rPr>
              <w:t>D-1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REGISTERED OFFICE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1760" w:type="dxa"/>
            <w:vAlign w:val="bottom"/>
            <w:tcBorders>
              <w:top w:val="single" w:sz="8" w:color="0000EE"/>
            </w:tcBorders>
            <w:gridSpan w:val="18"/>
          </w:tcPr>
          <w:p>
            <w:pPr>
              <w:spacing w:after="0"/>
              <w:rPr>
                <w:sz w:val="2"/>
                <w:szCs w:val="2"/>
                <w:color w:val="auto"/>
              </w:rPr>
            </w:pPr>
          </w:p>
        </w:tc>
        <w:tc>
          <w:tcPr>
            <w:tcW w:w="5260" w:type="dxa"/>
            <w:vAlign w:val="bottom"/>
            <w:gridSpan w:val="32"/>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OFFICES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360" w:type="dxa"/>
            <w:vAlign w:val="bottom"/>
            <w:tcBorders>
              <w:top w:val="single" w:sz="8" w:color="0000EE"/>
            </w:tcBorders>
            <w:gridSpan w:val="12"/>
            <w:shd w:val="clear" w:color="auto" w:fill="CCEEFF"/>
          </w:tcPr>
          <w:p>
            <w:pPr>
              <w:spacing w:after="0"/>
              <w:rPr>
                <w:sz w:val="2"/>
                <w:szCs w:val="2"/>
                <w:color w:val="auto"/>
              </w:rPr>
            </w:pPr>
          </w:p>
        </w:tc>
        <w:tc>
          <w:tcPr>
            <w:tcW w:w="5660" w:type="dxa"/>
            <w:vAlign w:val="bottom"/>
            <w:tcBorders>
              <w:top w:val="single" w:sz="8" w:color="CCEEFF"/>
            </w:tcBorders>
            <w:gridSpan w:val="3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II - MEETINGS OF STOCKHOLDERS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3700" w:type="dxa"/>
            <w:vAlign w:val="bottom"/>
            <w:tcBorders>
              <w:top w:val="single" w:sz="8" w:color="0000EE"/>
            </w:tcBorders>
            <w:gridSpan w:val="35"/>
          </w:tcPr>
          <w:p>
            <w:pPr>
              <w:spacing w:after="0"/>
              <w:rPr>
                <w:sz w:val="2"/>
                <w:szCs w:val="2"/>
                <w:color w:val="auto"/>
              </w:rPr>
            </w:pPr>
          </w:p>
        </w:tc>
        <w:tc>
          <w:tcPr>
            <w:tcW w:w="4400" w:type="dxa"/>
            <w:vAlign w:val="bottom"/>
            <w:gridSpan w:val="19"/>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PLACE OF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800" w:type="dxa"/>
            <w:vAlign w:val="bottom"/>
            <w:tcBorders>
              <w:top w:val="single" w:sz="8" w:color="0000EE"/>
            </w:tcBorders>
            <w:gridSpan w:val="19"/>
            <w:shd w:val="clear" w:color="auto" w:fill="CCEEFF"/>
          </w:tcPr>
          <w:p>
            <w:pPr>
              <w:spacing w:after="0"/>
              <w:rPr>
                <w:sz w:val="2"/>
                <w:szCs w:val="2"/>
                <w:color w:val="auto"/>
              </w:rPr>
            </w:pPr>
          </w:p>
        </w:tc>
        <w:tc>
          <w:tcPr>
            <w:tcW w:w="5220" w:type="dxa"/>
            <w:vAlign w:val="bottom"/>
            <w:tcBorders>
              <w:top w:val="single" w:sz="8" w:color="CCEEFF"/>
            </w:tcBorders>
            <w:gridSpan w:val="31"/>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ANNUAL MEETING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1600" w:type="dxa"/>
            <w:vAlign w:val="bottom"/>
            <w:tcBorders>
              <w:top w:val="single" w:sz="8" w:color="0000EE"/>
            </w:tcBorders>
            <w:gridSpan w:val="15"/>
          </w:tcPr>
          <w:p>
            <w:pPr>
              <w:spacing w:after="0"/>
              <w:rPr>
                <w:sz w:val="2"/>
                <w:szCs w:val="2"/>
                <w:color w:val="auto"/>
              </w:rPr>
            </w:pPr>
          </w:p>
        </w:tc>
        <w:tc>
          <w:tcPr>
            <w:tcW w:w="5420" w:type="dxa"/>
            <w:vAlign w:val="bottom"/>
            <w:gridSpan w:val="35"/>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SPECIAL MEETING</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80" w:type="dxa"/>
            <w:vAlign w:val="bottom"/>
            <w:tcBorders>
              <w:top w:val="single" w:sz="8" w:color="0000EE"/>
            </w:tcBorders>
            <w:gridSpan w:val="14"/>
            <w:shd w:val="clear" w:color="auto" w:fill="CCEEFF"/>
          </w:tcPr>
          <w:p>
            <w:pPr>
              <w:spacing w:after="0"/>
              <w:rPr>
                <w:sz w:val="2"/>
                <w:szCs w:val="2"/>
                <w:color w:val="auto"/>
              </w:rPr>
            </w:pPr>
          </w:p>
        </w:tc>
        <w:tc>
          <w:tcPr>
            <w:tcW w:w="5440" w:type="dxa"/>
            <w:vAlign w:val="bottom"/>
            <w:tcBorders>
              <w:top w:val="single" w:sz="8" w:color="CCEEFF"/>
            </w:tcBorders>
            <w:gridSpan w:val="36"/>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ADVANCE NOTICE PROCEDURES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760" w:type="dxa"/>
            <w:vAlign w:val="bottom"/>
            <w:tcBorders>
              <w:top w:val="single" w:sz="8" w:color="0000EE"/>
            </w:tcBorders>
            <w:gridSpan w:val="34"/>
          </w:tcPr>
          <w:p>
            <w:pPr>
              <w:spacing w:after="0"/>
              <w:rPr>
                <w:sz w:val="2"/>
                <w:szCs w:val="2"/>
                <w:color w:val="auto"/>
              </w:rPr>
            </w:pPr>
          </w:p>
        </w:tc>
        <w:tc>
          <w:tcPr>
            <w:tcW w:w="4260" w:type="dxa"/>
            <w:vAlign w:val="bottom"/>
            <w:gridSpan w:val="16"/>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400" w:type="dxa"/>
            <w:vAlign w:val="bottom"/>
            <w:tcBorders>
              <w:top w:val="single" w:sz="8" w:color="0000EE"/>
            </w:tcBorders>
            <w:gridSpan w:val="36"/>
            <w:shd w:val="clear" w:color="auto" w:fill="CCEEFF"/>
          </w:tcPr>
          <w:p>
            <w:pPr>
              <w:spacing w:after="0"/>
              <w:rPr>
                <w:sz w:val="2"/>
                <w:szCs w:val="2"/>
                <w:color w:val="auto"/>
              </w:rPr>
            </w:pPr>
          </w:p>
        </w:tc>
        <w:tc>
          <w:tcPr>
            <w:tcW w:w="3620" w:type="dxa"/>
            <w:vAlign w:val="bottom"/>
            <w:tcBorders>
              <w:top w:val="single" w:sz="8" w:color="CCEEFF"/>
            </w:tcBorders>
            <w:gridSpan w:val="14"/>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Borders>
              <w:top w:val="single" w:sz="8" w:color="0000EE"/>
            </w:tcBorders>
            <w:gridSpan w:val="5"/>
          </w:tcPr>
          <w:p>
            <w:pPr>
              <w:spacing w:after="0"/>
              <w:rPr>
                <w:sz w:val="2"/>
                <w:szCs w:val="2"/>
                <w:color w:val="auto"/>
              </w:rPr>
            </w:pPr>
          </w:p>
        </w:tc>
        <w:tc>
          <w:tcPr>
            <w:tcW w:w="6220" w:type="dxa"/>
            <w:vAlign w:val="bottom"/>
            <w:gridSpan w:val="45"/>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ADJOURNED MEETING; NOTICE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680" w:type="dxa"/>
            <w:vAlign w:val="bottom"/>
            <w:tcBorders>
              <w:top w:val="single" w:sz="8" w:color="0000EE"/>
            </w:tcBorders>
            <w:gridSpan w:val="33"/>
            <w:shd w:val="clear" w:color="auto" w:fill="CCEEFF"/>
          </w:tcPr>
          <w:p>
            <w:pPr>
              <w:spacing w:after="0"/>
              <w:rPr>
                <w:sz w:val="2"/>
                <w:szCs w:val="2"/>
                <w:color w:val="auto"/>
              </w:rPr>
            </w:pPr>
          </w:p>
        </w:tc>
        <w:tc>
          <w:tcPr>
            <w:tcW w:w="4340" w:type="dxa"/>
            <w:vAlign w:val="bottom"/>
            <w:tcBorders>
              <w:top w:val="single" w:sz="8" w:color="CCEEFF"/>
            </w:tcBorders>
            <w:gridSpan w:val="17"/>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040" w:type="dxa"/>
            <w:vAlign w:val="bottom"/>
            <w:tcBorders>
              <w:top w:val="single" w:sz="8" w:color="0000EE"/>
            </w:tcBorders>
            <w:gridSpan w:val="23"/>
          </w:tcPr>
          <w:p>
            <w:pPr>
              <w:spacing w:after="0"/>
              <w:rPr>
                <w:sz w:val="2"/>
                <w:szCs w:val="2"/>
                <w:color w:val="auto"/>
              </w:rPr>
            </w:pPr>
          </w:p>
        </w:tc>
        <w:tc>
          <w:tcPr>
            <w:tcW w:w="4980" w:type="dxa"/>
            <w:vAlign w:val="bottom"/>
            <w:gridSpan w:val="2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680" w:type="dxa"/>
            <w:vAlign w:val="bottom"/>
            <w:tcBorders>
              <w:top w:val="single" w:sz="8" w:color="0000EE"/>
            </w:tcBorders>
            <w:gridSpan w:val="2"/>
            <w:shd w:val="clear" w:color="auto" w:fill="CCEEFF"/>
          </w:tcPr>
          <w:p>
            <w:pPr>
              <w:spacing w:after="0"/>
              <w:rPr>
                <w:sz w:val="2"/>
                <w:szCs w:val="2"/>
                <w:color w:val="auto"/>
              </w:rPr>
            </w:pPr>
          </w:p>
        </w:tc>
        <w:tc>
          <w:tcPr>
            <w:tcW w:w="6340" w:type="dxa"/>
            <w:vAlign w:val="bottom"/>
            <w:tcBorders>
              <w:top w:val="single" w:sz="8" w:color="CCEEFF"/>
            </w:tcBorders>
            <w:gridSpan w:val="4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STOCKHOLDER ACTION BY WRITTEN CONSENT WITHOUT A MEETING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5980" w:type="dxa"/>
            <w:vAlign w:val="bottom"/>
            <w:tcBorders>
              <w:top w:val="single" w:sz="8" w:color="0000EE"/>
            </w:tcBorders>
            <w:gridSpan w:val="47"/>
          </w:tcPr>
          <w:p>
            <w:pPr>
              <w:spacing w:after="0"/>
              <w:rPr>
                <w:sz w:val="2"/>
                <w:szCs w:val="2"/>
                <w:color w:val="auto"/>
              </w:rPr>
            </w:pPr>
          </w:p>
        </w:tc>
        <w:tc>
          <w:tcPr>
            <w:tcW w:w="1040" w:type="dxa"/>
            <w:vAlign w:val="bottom"/>
            <w:gridSpan w:val="3"/>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RECORD DATES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EE"/>
            </w:tcBorders>
            <w:gridSpan w:val="11"/>
            <w:shd w:val="clear" w:color="auto" w:fill="CCEEFF"/>
          </w:tcPr>
          <w:p>
            <w:pPr>
              <w:spacing w:after="0"/>
              <w:rPr>
                <w:sz w:val="2"/>
                <w:szCs w:val="2"/>
                <w:color w:val="auto"/>
              </w:rPr>
            </w:pPr>
          </w:p>
        </w:tc>
        <w:tc>
          <w:tcPr>
            <w:tcW w:w="5700" w:type="dxa"/>
            <w:vAlign w:val="bottom"/>
            <w:tcBorders>
              <w:top w:val="single" w:sz="8" w:color="CCEEFF"/>
            </w:tcBorders>
            <w:gridSpan w:val="39"/>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PROXIES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0000EE"/>
            </w:tcBorders>
            <w:gridSpan w:val="4"/>
          </w:tcPr>
          <w:p>
            <w:pPr>
              <w:spacing w:after="0"/>
              <w:rPr>
                <w:sz w:val="2"/>
                <w:szCs w:val="2"/>
                <w:color w:val="auto"/>
              </w:rPr>
            </w:pPr>
          </w:p>
        </w:tc>
        <w:tc>
          <w:tcPr>
            <w:tcW w:w="6280" w:type="dxa"/>
            <w:vAlign w:val="bottom"/>
            <w:gridSpan w:val="46"/>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80" w:type="dxa"/>
            <w:vAlign w:val="bottom"/>
            <w:gridSpan w:val="4"/>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13</w:t>
            </w: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LIST OF STOCKHOLDERS ENTITLED TO VOTE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20" w:type="dxa"/>
            <w:vAlign w:val="bottom"/>
            <w:tcBorders>
              <w:top w:val="single" w:sz="8" w:color="0000EE"/>
            </w:tcBorders>
            <w:gridSpan w:val="42"/>
            <w:shd w:val="clear" w:color="auto" w:fill="CCEEFF"/>
          </w:tcPr>
          <w:p>
            <w:pPr>
              <w:spacing w:after="0"/>
              <w:rPr>
                <w:sz w:val="2"/>
                <w:szCs w:val="2"/>
                <w:color w:val="auto"/>
              </w:rPr>
            </w:pPr>
          </w:p>
        </w:tc>
        <w:tc>
          <w:tcPr>
            <w:tcW w:w="3200" w:type="dxa"/>
            <w:vAlign w:val="bottom"/>
            <w:tcBorders>
              <w:top w:val="single" w:sz="8" w:color="CCEEFF"/>
            </w:tcBorders>
            <w:gridSpan w:val="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14</w:t>
            </w: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INSPECTORS OF ELECTION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Borders>
              <w:top w:val="single" w:sz="8" w:color="0000EE"/>
            </w:tcBorders>
            <w:gridSpan w:val="27"/>
          </w:tcPr>
          <w:p>
            <w:pPr>
              <w:spacing w:after="0"/>
              <w:rPr>
                <w:sz w:val="2"/>
                <w:szCs w:val="2"/>
                <w:color w:val="auto"/>
              </w:rPr>
            </w:pPr>
          </w:p>
        </w:tc>
        <w:tc>
          <w:tcPr>
            <w:tcW w:w="4760" w:type="dxa"/>
            <w:vAlign w:val="bottom"/>
            <w:gridSpan w:val="23"/>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12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ARTICLE III - DIRECTORS</w:t>
            </w:r>
          </w:p>
        </w:tc>
        <w:tc>
          <w:tcPr>
            <w:tcW w:w="5860" w:type="dxa"/>
            <w:vAlign w:val="bottom"/>
            <w:tcBorders>
              <w:bottom w:val="single" w:sz="8" w:color="CCEEFF"/>
            </w:tcBorders>
            <w:gridSpan w:val="39"/>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2"/>
              </w:rPr>
              <w:t>D-8</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POWERS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Borders>
              <w:top w:val="single" w:sz="8" w:color="0000EE"/>
            </w:tcBorders>
            <w:gridSpan w:val="3"/>
          </w:tcPr>
          <w:p>
            <w:pPr>
              <w:spacing w:after="0"/>
              <w:rPr>
                <w:sz w:val="2"/>
                <w:szCs w:val="2"/>
                <w:color w:val="auto"/>
              </w:rPr>
            </w:pPr>
          </w:p>
        </w:tc>
        <w:tc>
          <w:tcPr>
            <w:tcW w:w="6300" w:type="dxa"/>
            <w:vAlign w:val="bottom"/>
            <w:gridSpan w:val="4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OF DIRECTORS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080" w:type="dxa"/>
            <w:vAlign w:val="bottom"/>
            <w:tcBorders>
              <w:top w:val="single" w:sz="8" w:color="0000EE"/>
            </w:tcBorders>
            <w:gridSpan w:val="24"/>
            <w:shd w:val="clear" w:color="auto" w:fill="CCEEFF"/>
          </w:tcPr>
          <w:p>
            <w:pPr>
              <w:spacing w:after="0"/>
              <w:rPr>
                <w:sz w:val="2"/>
                <w:szCs w:val="2"/>
                <w:color w:val="auto"/>
              </w:rPr>
            </w:pPr>
          </w:p>
        </w:tc>
        <w:tc>
          <w:tcPr>
            <w:tcW w:w="4940" w:type="dxa"/>
            <w:vAlign w:val="bottom"/>
            <w:tcBorders>
              <w:top w:val="single" w:sz="8" w:color="CCEEFF"/>
            </w:tcBorders>
            <w:gridSpan w:val="26"/>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ELECTION, QUALIFICATION AND TERM OF OFFICE OF DIRECTORS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D-8</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5580" w:type="dxa"/>
            <w:vAlign w:val="bottom"/>
            <w:tcBorders>
              <w:top w:val="single" w:sz="8" w:color="0000EE"/>
            </w:tcBorders>
            <w:gridSpan w:val="46"/>
          </w:tcPr>
          <w:p>
            <w:pPr>
              <w:spacing w:after="0"/>
              <w:rPr>
                <w:sz w:val="2"/>
                <w:szCs w:val="2"/>
                <w:color w:val="auto"/>
              </w:rPr>
            </w:pPr>
          </w:p>
        </w:tc>
        <w:tc>
          <w:tcPr>
            <w:tcW w:w="1440" w:type="dxa"/>
            <w:vAlign w:val="bottom"/>
            <w:gridSpan w:val="4"/>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RESIGNATION AND VACANCIES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660" w:type="dxa"/>
            <w:vAlign w:val="bottom"/>
            <w:tcBorders>
              <w:top w:val="single" w:sz="8" w:color="0000EE"/>
            </w:tcBorders>
            <w:gridSpan w:val="32"/>
            <w:shd w:val="clear" w:color="auto" w:fill="CCEEFF"/>
          </w:tcPr>
          <w:p>
            <w:pPr>
              <w:spacing w:after="0"/>
              <w:rPr>
                <w:sz w:val="2"/>
                <w:szCs w:val="2"/>
                <w:color w:val="auto"/>
              </w:rPr>
            </w:pPr>
          </w:p>
        </w:tc>
        <w:tc>
          <w:tcPr>
            <w:tcW w:w="4360" w:type="dxa"/>
            <w:vAlign w:val="bottom"/>
            <w:tcBorders>
              <w:top w:val="single" w:sz="8" w:color="CCEEFF"/>
            </w:tcBorders>
            <w:gridSpan w:val="18"/>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PLACE OF MEETINGS; MEETINGS BY TELEPHONE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4180" w:type="dxa"/>
            <w:vAlign w:val="bottom"/>
            <w:tcBorders>
              <w:top w:val="single" w:sz="8" w:color="0000EE"/>
            </w:tcBorders>
            <w:gridSpan w:val="43"/>
          </w:tcPr>
          <w:p>
            <w:pPr>
              <w:spacing w:after="0"/>
              <w:rPr>
                <w:sz w:val="2"/>
                <w:szCs w:val="2"/>
                <w:color w:val="auto"/>
              </w:rPr>
            </w:pPr>
          </w:p>
        </w:tc>
        <w:tc>
          <w:tcPr>
            <w:tcW w:w="2840" w:type="dxa"/>
            <w:vAlign w:val="bottom"/>
            <w:gridSpan w:val="7"/>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REGULAR MEETINGS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800" w:type="dxa"/>
            <w:vAlign w:val="bottom"/>
            <w:tcBorders>
              <w:top w:val="single" w:sz="8" w:color="0000EE"/>
            </w:tcBorders>
            <w:gridSpan w:val="19"/>
            <w:shd w:val="clear" w:color="auto" w:fill="CCEEFF"/>
          </w:tcPr>
          <w:p>
            <w:pPr>
              <w:spacing w:after="0"/>
              <w:rPr>
                <w:sz w:val="2"/>
                <w:szCs w:val="2"/>
                <w:color w:val="auto"/>
              </w:rPr>
            </w:pPr>
          </w:p>
        </w:tc>
        <w:tc>
          <w:tcPr>
            <w:tcW w:w="5220" w:type="dxa"/>
            <w:vAlign w:val="bottom"/>
            <w:tcBorders>
              <w:top w:val="single" w:sz="8" w:color="CCEEFF"/>
            </w:tcBorders>
            <w:gridSpan w:val="31"/>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SPECIAL MEETINGS; NOTICE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D-9</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40" w:type="dxa"/>
            <w:vAlign w:val="bottom"/>
            <w:tcBorders>
              <w:top w:val="single" w:sz="8" w:color="0000EE"/>
            </w:tcBorders>
            <w:gridSpan w:val="29"/>
          </w:tcPr>
          <w:p>
            <w:pPr>
              <w:spacing w:after="0"/>
              <w:rPr>
                <w:sz w:val="2"/>
                <w:szCs w:val="2"/>
                <w:color w:val="auto"/>
              </w:rPr>
            </w:pPr>
          </w:p>
        </w:tc>
        <w:tc>
          <w:tcPr>
            <w:tcW w:w="4580" w:type="dxa"/>
            <w:vAlign w:val="bottom"/>
            <w:gridSpan w:val="21"/>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QUORUM; VOTING</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80" w:type="dxa"/>
            <w:vAlign w:val="bottom"/>
            <w:tcBorders>
              <w:top w:val="single" w:sz="8" w:color="0000EE"/>
            </w:tcBorders>
            <w:gridSpan w:val="14"/>
            <w:shd w:val="clear" w:color="auto" w:fill="CCEEFF"/>
          </w:tcPr>
          <w:p>
            <w:pPr>
              <w:spacing w:after="0"/>
              <w:rPr>
                <w:sz w:val="2"/>
                <w:szCs w:val="2"/>
                <w:color w:val="auto"/>
              </w:rPr>
            </w:pPr>
          </w:p>
        </w:tc>
        <w:tc>
          <w:tcPr>
            <w:tcW w:w="5360" w:type="dxa"/>
            <w:vAlign w:val="bottom"/>
            <w:tcBorders>
              <w:top w:val="single" w:sz="8" w:color="CCEEFF"/>
            </w:tcBorders>
            <w:gridSpan w:val="35"/>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BOARD ACTION BY WRITTEN CONSENT WITHOUT A MEETING</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5280" w:type="dxa"/>
            <w:vAlign w:val="bottom"/>
            <w:tcBorders>
              <w:top w:val="single" w:sz="8" w:color="0000EE"/>
            </w:tcBorders>
            <w:gridSpan w:val="45"/>
          </w:tcPr>
          <w:p>
            <w:pPr>
              <w:spacing w:after="0"/>
              <w:rPr>
                <w:sz w:val="2"/>
                <w:szCs w:val="2"/>
                <w:color w:val="auto"/>
              </w:rPr>
            </w:pPr>
          </w:p>
        </w:tc>
        <w:tc>
          <w:tcPr>
            <w:tcW w:w="1660" w:type="dxa"/>
            <w:vAlign w:val="bottom"/>
            <w:gridSpan w:val="4"/>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80" w:type="dxa"/>
            <w:vAlign w:val="bottom"/>
            <w:gridSpan w:val="4"/>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FEES AND COMPENSATION OF DIRECTORS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gridSpan w:val="2"/>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0000EE"/>
            </w:tcBorders>
            <w:gridSpan w:val="39"/>
            <w:shd w:val="clear" w:color="auto" w:fill="CCEEFF"/>
          </w:tcPr>
          <w:p>
            <w:pPr>
              <w:spacing w:after="0"/>
              <w:rPr>
                <w:sz w:val="2"/>
                <w:szCs w:val="2"/>
                <w:color w:val="auto"/>
              </w:rPr>
            </w:pPr>
          </w:p>
        </w:tc>
        <w:tc>
          <w:tcPr>
            <w:tcW w:w="3340" w:type="dxa"/>
            <w:vAlign w:val="bottom"/>
            <w:tcBorders>
              <w:top w:val="single" w:sz="8" w:color="CCEEFF"/>
            </w:tcBorders>
            <w:gridSpan w:val="10"/>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REMOVAL OF DIRECTORS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300" w:type="dxa"/>
            <w:vAlign w:val="bottom"/>
            <w:tcBorders>
              <w:top w:val="single" w:sz="8" w:color="0000EE"/>
            </w:tcBorders>
            <w:gridSpan w:val="2"/>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Borders>
              <w:top w:val="single" w:sz="8" w:color="0000EE"/>
            </w:tcBorders>
            <w:gridSpan w:val="26"/>
          </w:tcPr>
          <w:p>
            <w:pPr>
              <w:spacing w:after="0"/>
              <w:rPr>
                <w:sz w:val="2"/>
                <w:szCs w:val="2"/>
                <w:color w:val="auto"/>
              </w:rPr>
            </w:pPr>
          </w:p>
        </w:tc>
        <w:tc>
          <w:tcPr>
            <w:tcW w:w="4760" w:type="dxa"/>
            <w:vAlign w:val="bottom"/>
            <w:gridSpan w:val="23"/>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ARTICLE IV - COMMITTEES</w:t>
            </w:r>
          </w:p>
        </w:tc>
        <w:tc>
          <w:tcPr>
            <w:tcW w:w="5680" w:type="dxa"/>
            <w:vAlign w:val="bottom"/>
            <w:gridSpan w:val="38"/>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2300" w:type="dxa"/>
            <w:vAlign w:val="bottom"/>
            <w:tcBorders>
              <w:top w:val="single" w:sz="8" w:color="0000EE"/>
            </w:tcBorders>
            <w:gridSpan w:val="14"/>
            <w:shd w:val="clear" w:color="auto" w:fill="CCEEFF"/>
          </w:tcPr>
          <w:p>
            <w:pPr>
              <w:spacing w:after="0"/>
              <w:rPr>
                <w:sz w:val="2"/>
                <w:szCs w:val="2"/>
                <w:color w:val="auto"/>
              </w:rPr>
            </w:pPr>
          </w:p>
        </w:tc>
        <w:tc>
          <w:tcPr>
            <w:tcW w:w="5720" w:type="dxa"/>
            <w:vAlign w:val="bottom"/>
            <w:tcBorders>
              <w:top w:val="single" w:sz="8" w:color="CCEEFF"/>
            </w:tcBorders>
            <w:gridSpan w:val="39"/>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COMMITTEES OF DIRECTORS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D-10</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80" w:type="dxa"/>
            <w:vAlign w:val="bottom"/>
            <w:tcBorders>
              <w:top w:val="single" w:sz="8" w:color="0000EE"/>
            </w:tcBorders>
            <w:gridSpan w:val="30"/>
          </w:tcPr>
          <w:p>
            <w:pPr>
              <w:spacing w:after="0"/>
              <w:rPr>
                <w:sz w:val="2"/>
                <w:szCs w:val="2"/>
                <w:color w:val="auto"/>
              </w:rPr>
            </w:pPr>
          </w:p>
        </w:tc>
        <w:tc>
          <w:tcPr>
            <w:tcW w:w="4460" w:type="dxa"/>
            <w:vAlign w:val="bottom"/>
            <w:gridSpan w:val="19"/>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COMMITTEE MINUTES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900" w:type="dxa"/>
            <w:vAlign w:val="bottom"/>
            <w:tcBorders>
              <w:top w:val="single" w:sz="8" w:color="0000EE"/>
            </w:tcBorders>
            <w:gridSpan w:val="21"/>
            <w:shd w:val="clear" w:color="auto" w:fill="CCEEFF"/>
          </w:tcPr>
          <w:p>
            <w:pPr>
              <w:spacing w:after="0"/>
              <w:rPr>
                <w:sz w:val="2"/>
                <w:szCs w:val="2"/>
                <w:color w:val="auto"/>
              </w:rPr>
            </w:pPr>
          </w:p>
        </w:tc>
        <w:tc>
          <w:tcPr>
            <w:tcW w:w="5040" w:type="dxa"/>
            <w:vAlign w:val="bottom"/>
            <w:tcBorders>
              <w:top w:val="single" w:sz="8" w:color="CCEEFF"/>
            </w:tcBorders>
            <w:gridSpan w:val="28"/>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MEETINGS AND ACTION OF COMMITTEES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560" w:type="dxa"/>
            <w:vAlign w:val="bottom"/>
            <w:tcBorders>
              <w:top w:val="single" w:sz="8" w:color="0000EE"/>
            </w:tcBorders>
            <w:gridSpan w:val="38"/>
          </w:tcPr>
          <w:p>
            <w:pPr>
              <w:spacing w:after="0"/>
              <w:rPr>
                <w:sz w:val="2"/>
                <w:szCs w:val="2"/>
                <w:color w:val="auto"/>
              </w:rPr>
            </w:pPr>
          </w:p>
        </w:tc>
        <w:tc>
          <w:tcPr>
            <w:tcW w:w="3380" w:type="dxa"/>
            <w:vAlign w:val="bottom"/>
            <w:gridSpan w:val="1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SUBCOMMITTEES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520" w:type="dxa"/>
            <w:vAlign w:val="bottom"/>
            <w:tcBorders>
              <w:top w:val="single" w:sz="8" w:color="0000EE"/>
            </w:tcBorders>
            <w:gridSpan w:val="13"/>
            <w:shd w:val="clear" w:color="auto" w:fill="CCEEFF"/>
          </w:tcPr>
          <w:p>
            <w:pPr>
              <w:spacing w:after="0"/>
              <w:rPr>
                <w:sz w:val="2"/>
                <w:szCs w:val="2"/>
                <w:color w:val="auto"/>
              </w:rPr>
            </w:pPr>
          </w:p>
        </w:tc>
        <w:tc>
          <w:tcPr>
            <w:tcW w:w="5420" w:type="dxa"/>
            <w:vAlign w:val="bottom"/>
            <w:tcBorders>
              <w:top w:val="single" w:sz="8" w:color="CCEEFF"/>
            </w:tcBorders>
            <w:gridSpan w:val="36"/>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V -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1900" w:type="dxa"/>
            <w:vAlign w:val="bottom"/>
            <w:tcBorders>
              <w:top w:val="single" w:sz="8" w:color="0000EE"/>
            </w:tcBorders>
            <w:gridSpan w:val="10"/>
          </w:tcPr>
          <w:p>
            <w:pPr>
              <w:spacing w:after="0"/>
              <w:rPr>
                <w:sz w:val="2"/>
                <w:szCs w:val="2"/>
                <w:color w:val="auto"/>
              </w:rPr>
            </w:pPr>
          </w:p>
        </w:tc>
        <w:tc>
          <w:tcPr>
            <w:tcW w:w="6120" w:type="dxa"/>
            <w:vAlign w:val="bottom"/>
            <w:gridSpan w:val="43"/>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840" w:type="dxa"/>
            <w:vAlign w:val="bottom"/>
            <w:tcBorders>
              <w:top w:val="single" w:sz="8" w:color="0000EE"/>
            </w:tcBorders>
            <w:gridSpan w:val="7"/>
            <w:shd w:val="clear" w:color="auto" w:fill="CCEEFF"/>
          </w:tcPr>
          <w:p>
            <w:pPr>
              <w:spacing w:after="0"/>
              <w:rPr>
                <w:sz w:val="2"/>
                <w:szCs w:val="2"/>
                <w:color w:val="auto"/>
              </w:rPr>
            </w:pPr>
          </w:p>
        </w:tc>
        <w:tc>
          <w:tcPr>
            <w:tcW w:w="6100" w:type="dxa"/>
            <w:vAlign w:val="bottom"/>
            <w:tcBorders>
              <w:top w:val="single" w:sz="8" w:color="CCEEFF"/>
            </w:tcBorders>
            <w:gridSpan w:val="42"/>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APPOINTMENT OF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D-11</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2420" w:type="dxa"/>
            <w:vAlign w:val="bottom"/>
            <w:tcBorders>
              <w:top w:val="single" w:sz="8" w:color="0000EE"/>
            </w:tcBorders>
            <w:gridSpan w:val="28"/>
          </w:tcPr>
          <w:p>
            <w:pPr>
              <w:spacing w:after="0"/>
              <w:rPr>
                <w:sz w:val="2"/>
                <w:szCs w:val="2"/>
                <w:color w:val="auto"/>
              </w:rPr>
            </w:pPr>
          </w:p>
        </w:tc>
        <w:tc>
          <w:tcPr>
            <w:tcW w:w="4520" w:type="dxa"/>
            <w:vAlign w:val="bottom"/>
            <w:gridSpan w:val="2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SUBORDINATE 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120" w:type="dxa"/>
            <w:vAlign w:val="bottom"/>
            <w:tcBorders>
              <w:top w:val="single" w:sz="8" w:color="0000EE"/>
            </w:tcBorders>
            <w:gridSpan w:val="25"/>
            <w:shd w:val="clear" w:color="auto" w:fill="CCEEFF"/>
          </w:tcPr>
          <w:p>
            <w:pPr>
              <w:spacing w:after="0"/>
              <w:rPr>
                <w:sz w:val="2"/>
                <w:szCs w:val="2"/>
                <w:color w:val="auto"/>
              </w:rPr>
            </w:pPr>
          </w:p>
        </w:tc>
        <w:tc>
          <w:tcPr>
            <w:tcW w:w="4820" w:type="dxa"/>
            <w:vAlign w:val="bottom"/>
            <w:tcBorders>
              <w:top w:val="single" w:sz="8" w:color="CCEEFF"/>
            </w:tcBorders>
            <w:gridSpan w:val="24"/>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680" w:type="dxa"/>
            <w:vAlign w:val="bottom"/>
            <w:tcBorders>
              <w:top w:val="single" w:sz="8" w:color="0000EE"/>
            </w:tcBorders>
            <w:gridSpan w:val="40"/>
          </w:tcPr>
          <w:p>
            <w:pPr>
              <w:spacing w:after="0"/>
              <w:rPr>
                <w:sz w:val="2"/>
                <w:szCs w:val="2"/>
                <w:color w:val="auto"/>
              </w:rPr>
            </w:pPr>
          </w:p>
        </w:tc>
        <w:tc>
          <w:tcPr>
            <w:tcW w:w="3260" w:type="dxa"/>
            <w:vAlign w:val="bottom"/>
            <w:gridSpan w:val="9"/>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VACANCIES IN OFFICES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2000" w:type="dxa"/>
            <w:vAlign w:val="bottom"/>
            <w:tcBorders>
              <w:top w:val="single" w:sz="8" w:color="0000EE"/>
            </w:tcBorders>
            <w:gridSpan w:val="22"/>
            <w:shd w:val="clear" w:color="auto" w:fill="CCEEFF"/>
          </w:tcPr>
          <w:p>
            <w:pPr>
              <w:spacing w:after="0"/>
              <w:rPr>
                <w:sz w:val="2"/>
                <w:szCs w:val="2"/>
                <w:color w:val="auto"/>
              </w:rPr>
            </w:pPr>
          </w:p>
        </w:tc>
        <w:tc>
          <w:tcPr>
            <w:tcW w:w="4940" w:type="dxa"/>
            <w:vAlign w:val="bottom"/>
            <w:tcBorders>
              <w:top w:val="single" w:sz="8" w:color="CCEEFF"/>
            </w:tcBorders>
            <w:gridSpan w:val="27"/>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REPRESENTATION OF SECURITIES OF OTHER ENTITIES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4620" w:type="dxa"/>
            <w:vAlign w:val="bottom"/>
            <w:tcBorders>
              <w:top w:val="single" w:sz="8" w:color="0000EE"/>
            </w:tcBorders>
            <w:gridSpan w:val="44"/>
          </w:tcPr>
          <w:p>
            <w:pPr>
              <w:spacing w:after="0"/>
              <w:rPr>
                <w:sz w:val="2"/>
                <w:szCs w:val="2"/>
                <w:color w:val="auto"/>
              </w:rPr>
            </w:pPr>
          </w:p>
        </w:tc>
        <w:tc>
          <w:tcPr>
            <w:tcW w:w="2320" w:type="dxa"/>
            <w:vAlign w:val="bottom"/>
            <w:gridSpan w:val="5"/>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320" w:type="dxa"/>
            <w:vAlign w:val="bottom"/>
            <w:tcBorders>
              <w:top w:val="single" w:sz="8" w:color="0000EE"/>
            </w:tcBorders>
            <w:gridSpan w:val="35"/>
            <w:shd w:val="clear" w:color="auto" w:fill="CCEEFF"/>
          </w:tcPr>
          <w:p>
            <w:pPr>
              <w:spacing w:after="0"/>
              <w:rPr>
                <w:sz w:val="2"/>
                <w:szCs w:val="2"/>
                <w:color w:val="auto"/>
              </w:rPr>
            </w:pPr>
          </w:p>
        </w:tc>
        <w:tc>
          <w:tcPr>
            <w:tcW w:w="3620" w:type="dxa"/>
            <w:vAlign w:val="bottom"/>
            <w:tcBorders>
              <w:top w:val="single" w:sz="8" w:color="CCEEFF"/>
            </w:tcBorders>
            <w:gridSpan w:val="14"/>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52"/>
          </w:tcPr>
          <w:p>
            <w:pPr>
              <w:spacing w:after="0" w:line="189" w:lineRule="exact"/>
              <w:rPr>
                <w:sz w:val="20"/>
                <w:szCs w:val="20"/>
                <w:color w:val="auto"/>
              </w:rPr>
            </w:pPr>
            <w:r>
              <w:rPr>
                <w:rFonts w:ascii="Times New Roman" w:cs="Times New Roman" w:eastAsia="Times New Roman" w:hAnsi="Times New Roman"/>
                <w:sz w:val="18"/>
                <w:szCs w:val="18"/>
                <w:color w:val="0000EE"/>
              </w:rPr>
              <w:t>ARTICLE VI - STOCK</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1720" w:type="dxa"/>
            <w:vAlign w:val="bottom"/>
            <w:tcBorders>
              <w:top w:val="single" w:sz="8" w:color="0000EE"/>
            </w:tcBorders>
            <w:gridSpan w:val="5"/>
          </w:tcPr>
          <w:p>
            <w:pPr>
              <w:spacing w:after="0"/>
              <w:rPr>
                <w:sz w:val="2"/>
                <w:szCs w:val="2"/>
                <w:color w:val="auto"/>
              </w:rPr>
            </w:pPr>
          </w:p>
        </w:tc>
        <w:tc>
          <w:tcPr>
            <w:tcW w:w="6300" w:type="dxa"/>
            <w:vAlign w:val="bottom"/>
            <w:gridSpan w:val="48"/>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 CERTIFICATES; PARTLY PAID SHARES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D-12</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3780" w:type="dxa"/>
            <w:vAlign w:val="bottom"/>
            <w:tcBorders>
              <w:top w:val="single" w:sz="8" w:color="0000EE"/>
            </w:tcBorders>
            <w:gridSpan w:val="41"/>
            <w:shd w:val="clear" w:color="auto" w:fill="CCEEFF"/>
          </w:tcPr>
          <w:p>
            <w:pPr>
              <w:spacing w:after="0"/>
              <w:rPr>
                <w:sz w:val="2"/>
                <w:szCs w:val="2"/>
                <w:color w:val="auto"/>
              </w:rPr>
            </w:pPr>
          </w:p>
        </w:tc>
        <w:tc>
          <w:tcPr>
            <w:tcW w:w="3160" w:type="dxa"/>
            <w:vAlign w:val="bottom"/>
            <w:tcBorders>
              <w:top w:val="single" w:sz="8" w:color="CCEEFF"/>
            </w:tcBorders>
            <w:gridSpan w:val="8"/>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SPECIAL DESIGNATION ON CERTIFICATES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3540" w:type="dxa"/>
            <w:vAlign w:val="bottom"/>
            <w:tcBorders>
              <w:top w:val="single" w:sz="8" w:color="0000EE"/>
            </w:tcBorders>
            <w:gridSpan w:val="37"/>
          </w:tcPr>
          <w:p>
            <w:pPr>
              <w:spacing w:after="0"/>
              <w:rPr>
                <w:sz w:val="2"/>
                <w:szCs w:val="2"/>
                <w:color w:val="auto"/>
              </w:rPr>
            </w:pPr>
          </w:p>
        </w:tc>
        <w:tc>
          <w:tcPr>
            <w:tcW w:w="3400" w:type="dxa"/>
            <w:vAlign w:val="bottom"/>
            <w:gridSpan w:val="12"/>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LOST CERTIFICATES</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gridSpan w:val="2"/>
            <w:shd w:val="clear" w:color="auto" w:fill="CCEEFF"/>
          </w:tcPr>
          <w:p>
            <w:pPr>
              <w:spacing w:after="0"/>
              <w:rPr>
                <w:sz w:val="2"/>
                <w:szCs w:val="2"/>
                <w:color w:val="auto"/>
              </w:rPr>
            </w:pPr>
          </w:p>
        </w:tc>
        <w:tc>
          <w:tcPr>
            <w:tcW w:w="1700" w:type="dxa"/>
            <w:vAlign w:val="bottom"/>
            <w:tcBorders>
              <w:top w:val="single" w:sz="8" w:color="0000EE"/>
            </w:tcBorders>
            <w:gridSpan w:val="16"/>
            <w:shd w:val="clear" w:color="auto" w:fill="CCEEFF"/>
          </w:tcPr>
          <w:p>
            <w:pPr>
              <w:spacing w:after="0"/>
              <w:rPr>
                <w:sz w:val="2"/>
                <w:szCs w:val="2"/>
                <w:color w:val="auto"/>
              </w:rPr>
            </w:pPr>
          </w:p>
        </w:tc>
        <w:tc>
          <w:tcPr>
            <w:tcW w:w="5240" w:type="dxa"/>
            <w:vAlign w:val="bottom"/>
            <w:tcBorders>
              <w:top w:val="single" w:sz="8" w:color="CCEEFF"/>
            </w:tcBorders>
            <w:gridSpan w:val="33"/>
            <w:shd w:val="clear" w:color="auto" w:fill="CCEEFF"/>
          </w:tcPr>
          <w:p>
            <w:pPr>
              <w:spacing w:after="0"/>
              <w:rPr>
                <w:sz w:val="2"/>
                <w:szCs w:val="2"/>
                <w:color w:val="auto"/>
              </w:rPr>
            </w:pPr>
          </w:p>
        </w:tc>
        <w:tc>
          <w:tcPr>
            <w:tcW w:w="360" w:type="dxa"/>
            <w:vAlign w:val="bottom"/>
            <w:tcBorders>
              <w:top w:val="single" w:sz="8" w:color="0000EE"/>
            </w:tcBorders>
            <w:gridSpan w:val="2"/>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DIVIDENDS</w:t>
            </w:r>
          </w:p>
        </w:tc>
        <w:tc>
          <w:tcPr>
            <w:tcW w:w="40" w:type="dxa"/>
            <w:vAlign w:val="bottom"/>
          </w:tcPr>
          <w:p>
            <w:pPr>
              <w:spacing w:after="0"/>
              <w:rPr>
                <w:sz w:val="16"/>
                <w:szCs w:val="16"/>
                <w:color w:val="auto"/>
              </w:rPr>
            </w:pPr>
          </w:p>
        </w:tc>
        <w:tc>
          <w:tcPr>
            <w:tcW w:w="4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Borders>
              <w:top w:val="single" w:sz="8" w:color="0000EE"/>
            </w:tcBorders>
            <w:gridSpan w:val="8"/>
          </w:tcPr>
          <w:p>
            <w:pPr>
              <w:spacing w:after="0"/>
              <w:rPr>
                <w:sz w:val="2"/>
                <w:szCs w:val="2"/>
                <w:color w:val="auto"/>
              </w:rPr>
            </w:pPr>
          </w:p>
        </w:tc>
        <w:tc>
          <w:tcPr>
            <w:tcW w:w="5960" w:type="dxa"/>
            <w:vAlign w:val="bottom"/>
            <w:gridSpan w:val="41"/>
          </w:tcPr>
          <w:p>
            <w:pPr>
              <w:spacing w:after="0"/>
              <w:rPr>
                <w:sz w:val="2"/>
                <w:szCs w:val="2"/>
                <w:color w:val="auto"/>
              </w:rPr>
            </w:pPr>
          </w:p>
        </w:tc>
        <w:tc>
          <w:tcPr>
            <w:tcW w:w="360" w:type="dxa"/>
            <w:vAlign w:val="bottom"/>
            <w:tcBorders>
              <w:top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6.5</w:t>
            </w:r>
          </w:p>
        </w:tc>
        <w:tc>
          <w:tcPr>
            <w:tcW w:w="180" w:type="dxa"/>
            <w:vAlign w:val="bottom"/>
            <w:shd w:val="clear" w:color="auto" w:fill="CCEEFF"/>
          </w:tcPr>
          <w:p>
            <w:pPr>
              <w:spacing w:after="0"/>
              <w:rPr>
                <w:sz w:val="16"/>
                <w:szCs w:val="16"/>
                <w:color w:val="auto"/>
              </w:rPr>
            </w:pPr>
          </w:p>
        </w:tc>
        <w:tc>
          <w:tcPr>
            <w:tcW w:w="69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TRANSFER OF STOCK</w:t>
            </w: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1"/>
              </w:rPr>
              <w:t>D-13</w:t>
            </w:r>
          </w:p>
        </w:tc>
      </w:tr>
      <w:tr>
        <w:trPr>
          <w:trHeight w:val="74"/>
        </w:trPr>
        <w:tc>
          <w:tcPr>
            <w:tcW w:w="6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gridSpan w:val="2"/>
            <w:shd w:val="clear" w:color="auto" w:fill="CCEEFF"/>
          </w:tcPr>
          <w:p>
            <w:pPr>
              <w:spacing w:after="0"/>
              <w:rPr>
                <w:sz w:val="6"/>
                <w:szCs w:val="6"/>
                <w:color w:val="auto"/>
              </w:rPr>
            </w:pPr>
          </w:p>
        </w:tc>
        <w:tc>
          <w:tcPr>
            <w:tcW w:w="1820" w:type="dxa"/>
            <w:vAlign w:val="bottom"/>
            <w:tcBorders>
              <w:top w:val="single" w:sz="8" w:color="0000EE"/>
            </w:tcBorders>
            <w:gridSpan w:val="20"/>
            <w:shd w:val="clear" w:color="auto" w:fill="CCEEFF"/>
          </w:tcPr>
          <w:p>
            <w:pPr>
              <w:spacing w:after="0"/>
              <w:rPr>
                <w:sz w:val="6"/>
                <w:szCs w:val="6"/>
                <w:color w:val="auto"/>
              </w:rPr>
            </w:pPr>
          </w:p>
        </w:tc>
        <w:tc>
          <w:tcPr>
            <w:tcW w:w="5120" w:type="dxa"/>
            <w:vAlign w:val="bottom"/>
            <w:tcBorders>
              <w:top w:val="single" w:sz="8" w:color="CCEEFF"/>
            </w:tcBorders>
            <w:gridSpan w:val="29"/>
            <w:shd w:val="clear" w:color="auto" w:fill="CCEEFF"/>
          </w:tcPr>
          <w:p>
            <w:pPr>
              <w:spacing w:after="0"/>
              <w:rPr>
                <w:sz w:val="6"/>
                <w:szCs w:val="6"/>
                <w:color w:val="auto"/>
              </w:rPr>
            </w:pPr>
          </w:p>
        </w:tc>
        <w:tc>
          <w:tcPr>
            <w:tcW w:w="360" w:type="dxa"/>
            <w:vAlign w:val="bottom"/>
            <w:tcBorders>
              <w:top w:val="single" w:sz="8" w:color="0000EE"/>
            </w:tcBorders>
            <w:gridSpan w:val="2"/>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w w:val="97"/>
              </w:rPr>
              <w:t>Page</w:t>
            </w:r>
          </w:p>
        </w:tc>
      </w:tr>
      <w:tr>
        <w:trPr>
          <w:trHeight w:val="23"/>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00" w:type="dxa"/>
            <w:vAlign w:val="bottom"/>
            <w:gridSpan w:val="3"/>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p>
        </w:tc>
        <w:tc>
          <w:tcPr>
            <w:tcW w:w="180" w:type="dxa"/>
            <w:vAlign w:val="bottom"/>
            <w:shd w:val="clear" w:color="auto" w:fill="CCEEFF"/>
          </w:tcPr>
          <w:p>
            <w:pPr>
              <w:spacing w:after="0"/>
              <w:rPr>
                <w:sz w:val="17"/>
                <w:szCs w:val="17"/>
                <w:color w:val="auto"/>
              </w:rPr>
            </w:pPr>
          </w:p>
        </w:tc>
        <w:tc>
          <w:tcPr>
            <w:tcW w:w="690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 TRANSFER AGREEMENTS</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D-13</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7</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REGISTERED STOCKHOLDERS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D-13</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VII - MANNER OF GIVING NOTICE AND WAIVER</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3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318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 TO STOCKHOLDERS SHARING AN ADDRESS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NOTICE TO PERSON WITH WHOM COMMUNICATION IS UNLAWFUL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WAIVER OF NOTICE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ARTICLE VIII - INDEMNIFICATION</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AND OFFICERS IN THIRD PARTY</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PROCEEDINGS</w:t>
            </w:r>
          </w:p>
        </w:tc>
        <w:tc>
          <w:tcPr>
            <w:tcW w:w="4420" w:type="dxa"/>
            <w:vAlign w:val="bottom"/>
            <w:tcBorders>
              <w:top w:val="single" w:sz="8" w:color="0000EE"/>
            </w:tcBorders>
            <w:gridSpan w:val="21"/>
            <w:shd w:val="clear" w:color="auto" w:fill="CCEEFF"/>
          </w:tcPr>
          <w:p>
            <w:pPr>
              <w:spacing w:after="0"/>
              <w:rPr>
                <w:sz w:val="17"/>
                <w:szCs w:val="17"/>
                <w:color w:val="auto"/>
              </w:rPr>
            </w:pPr>
          </w:p>
        </w:tc>
        <w:tc>
          <w:tcPr>
            <w:tcW w:w="124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D-14</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AND OFFICERS IN ACTIONS BY OR IN THE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RIGHT OF THE CORPORATION</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SUCCESSFUL DEFENSE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4</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OTHERS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5</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ADVANCE PAYMENT OF EXPENSES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D-15</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6</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LIMITATION ON INDEMNIFICATION</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7</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DETERMINATION; CLAIM</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8</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NON-EXCLUSIVITY OF RIGHTS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9</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INSURANCE</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D-16</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SURVIVAL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11</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 OF REPEAL OR MODIFICATION</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0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CERTAIN DEFINITIONS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IX - GENERAL MATTERS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FISCAL YEAR</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90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180" w:type="dxa"/>
            <w:vAlign w:val="bottom"/>
          </w:tcPr>
          <w:p>
            <w:pPr>
              <w:spacing w:after="0"/>
              <w:rPr>
                <w:sz w:val="16"/>
                <w:szCs w:val="16"/>
                <w:color w:val="auto"/>
              </w:rPr>
            </w:pPr>
          </w:p>
        </w:tc>
        <w:tc>
          <w:tcPr>
            <w:tcW w:w="69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SEAL</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9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180" w:type="dxa"/>
            <w:vAlign w:val="bottom"/>
            <w:shd w:val="clear" w:color="auto" w:fill="CCEEFF"/>
          </w:tcPr>
          <w:p>
            <w:pPr>
              <w:spacing w:after="0"/>
              <w:rPr>
                <w:sz w:val="16"/>
                <w:szCs w:val="16"/>
                <w:color w:val="auto"/>
              </w:rPr>
            </w:pPr>
          </w:p>
        </w:tc>
        <w:tc>
          <w:tcPr>
            <w:tcW w:w="69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CONSTRUCTION; DEFINITIONS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D-17</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ARTICLE X - AMENDMENTS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D-18</w:t>
            </w:r>
          </w:p>
        </w:tc>
      </w:tr>
      <w:tr>
        <w:trPr>
          <w:trHeight w:val="34"/>
        </w:trPr>
        <w:tc>
          <w:tcPr>
            <w:tcW w:w="6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XI - EXCLUSIVE FORUM</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D-18</w:t>
            </w:r>
          </w:p>
        </w:tc>
      </w:tr>
      <w:tr>
        <w:trPr>
          <w:trHeight w:val="75"/>
        </w:trPr>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BYLAWS OF 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182880</wp:posOffset>
            </wp:positionV>
            <wp:extent cx="1097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The registered office of Dropbox,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fixed in the corporation’s certificate of incorporation, as the same may be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may at any time establish other offices at any place or places.</w:t>
      </w:r>
    </w:p>
    <w:p>
      <w:pPr>
        <w:spacing w:after="0" w:line="275" w:lineRule="exact"/>
        <w:rPr>
          <w:sz w:val="20"/>
          <w:szCs w:val="20"/>
          <w:color w:val="auto"/>
        </w:rPr>
      </w:pPr>
    </w:p>
    <w:p>
      <w:pPr>
        <w:ind w:left="660" w:right="2539" w:firstLine="187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ARTICLE II - MEETINGS OF STOCKHOLDERS </w:t>
      </w:r>
      <w:r>
        <w:rPr>
          <w:rFonts w:ascii="Times New Roman" w:cs="Times New Roman" w:eastAsia="Times New Roman" w:hAnsi="Times New Roman"/>
          <w:sz w:val="18"/>
          <w:szCs w:val="18"/>
          <w:color w:val="auto"/>
        </w:rPr>
        <w:t>2.1  PLACE OF MEETINGS</w:t>
      </w:r>
    </w:p>
    <w:p>
      <w:pPr>
        <w:spacing w:after="0" w:line="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corporation’s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of stockholders at any time, before or after the notice for such meeting has been sent to the stockholders. For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or unfilled seats in previously authorized directorships.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A special meeting of the stockholders, other than as required by statute, may be called at any time by</w:t>
      </w:r>
    </w:p>
    <w:p>
      <w:pPr>
        <w:spacing w:after="0" w:line="27" w:lineRule="exact"/>
        <w:rPr>
          <w:sz w:val="20"/>
          <w:szCs w:val="20"/>
          <w:color w:val="auto"/>
        </w:rPr>
      </w:pPr>
    </w:p>
    <w:p>
      <w:pPr>
        <w:jc w:val="both"/>
        <w:ind w:left="660" w:right="299" w:hanging="8"/>
        <w:spacing w:after="0" w:line="251" w:lineRule="auto"/>
        <w:tabs>
          <w:tab w:leader="none" w:pos="9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certificate of incorporation), by written request of the holders of at least 30% of the voting power of the corporation’s Class A Common Stock and Class B Common Stock, voting together as a single class, provided that such written request is in compliance with the requirements of Section 2.3(ii) 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be in writing;</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specify the general nature of the business proposed to be transacted, subject to any additional applicable requirements as are set forth in Section 2.4(iii) and in Section 2.4(i)(b) (for the proposal of business other than nominations); and</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8" w:name="page59"/>
    <w:bookmarkEnd w:id="58"/>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(iii)  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Section 2.3(ii) above. Nothing contained in this Section 2.3(ii) shall be construed as limiting, fixing or affecting the time when a meeting of stockholders called by action of the board of directors may be held.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11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Advance Notice of Stockholder Business.</w:t>
      </w:r>
      <w:r>
        <w:rPr>
          <w:rFonts w:ascii="Times New Roman" w:cs="Times New Roman" w:eastAsia="Times New Roman" w:hAnsi="Times New Roman"/>
          <w:sz w:val="18"/>
          <w:szCs w:val="18"/>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notice of annual meeting (or any supplement thereto),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w:t>
      </w:r>
    </w:p>
    <w:p>
      <w:pPr>
        <w:spacing w:after="0" w:line="5" w:lineRule="exact"/>
        <w:rPr>
          <w:sz w:val="20"/>
          <w:szCs w:val="20"/>
          <w:color w:val="auto"/>
        </w:rPr>
      </w:pPr>
    </w:p>
    <w:p>
      <w:pPr>
        <w:jc w:val="both"/>
        <w:ind w:left="660" w:right="299" w:hanging="8"/>
        <w:spacing w:after="0" w:line="252" w:lineRule="auto"/>
        <w:tabs>
          <w:tab w:leader="none" w:pos="9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and the rules and regulations thereunder, as amended and inclusive of such rules and regulations and any successor thereto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before an annual meeting of stockholders.</w:t>
      </w:r>
    </w:p>
    <w:p>
      <w:pPr>
        <w:spacing w:after="0" w:line="80"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no annual meeting was held in the previous year or if the date of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w:t>
      </w:r>
    </w:p>
    <w:p>
      <w:pPr>
        <w:spacing w:after="0" w:line="6" w:lineRule="exact"/>
        <w:rPr>
          <w:sz w:val="20"/>
          <w:szCs w:val="20"/>
          <w:color w:val="auto"/>
        </w:rPr>
      </w:pPr>
    </w:p>
    <w:p>
      <w:pPr>
        <w:jc w:val="both"/>
        <w:ind w:left="1020" w:right="299" w:hanging="8"/>
        <w:spacing w:after="0" w:line="252" w:lineRule="auto"/>
        <w:tabs>
          <w:tab w:leader="none" w:pos="12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of such record date. For purposes of this Section 2.4, a “</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8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Without exception, no business shall be conducted at any annual meeting except in accordance with the provisions set forth in this Section 2.4.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 and, if the chairperson should so determine, the chairperson shall so declare at the annual meeting that any such business not properly brought before the annual meeting shall not be conducted.</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86"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113" w:lineRule="exact"/>
        <w:rPr>
          <w:sz w:val="20"/>
          <w:szCs w:val="20"/>
          <w:color w:val="auto"/>
        </w:rPr>
      </w:pPr>
    </w:p>
    <w:p>
      <w:pPr>
        <w:jc w:val="both"/>
        <w:ind w:left="1380" w:right="299" w:firstLine="360"/>
        <w:spacing w:after="0" w:line="263" w:lineRule="auto"/>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 director: (A) the name, age, business address and residence address of the nominee,</w:t>
      </w:r>
    </w:p>
    <w:p>
      <w:pPr>
        <w:spacing w:after="0" w:line="1" w:lineRule="exact"/>
        <w:rPr>
          <w:sz w:val="20"/>
          <w:szCs w:val="20"/>
          <w:color w:val="auto"/>
        </w:rPr>
      </w:pPr>
    </w:p>
    <w:p>
      <w:pPr>
        <w:ind w:left="3980" w:right="299" w:hanging="2608"/>
        <w:spacing w:after="0" w:line="511" w:lineRule="auto"/>
        <w:tabs>
          <w:tab w:leader="none" w:pos="1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 (C) the class and number of shares of the Appendix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jc w:val="both"/>
        <w:ind w:left="1380" w:right="299"/>
        <w:spacing w:after="0" w:line="252" w:lineRule="auto"/>
        <w:rPr>
          <w:sz w:val="20"/>
          <w:szCs w:val="20"/>
          <w:color w:val="auto"/>
        </w:rPr>
      </w:pPr>
      <w:r>
        <w:rPr>
          <w:rFonts w:ascii="Times New Roman" w:cs="Times New Roman" w:eastAsia="Times New Roman" w:hAnsi="Times New Roman"/>
          <w:sz w:val="18"/>
          <w:szCs w:val="18"/>
          <w:color w:val="auto"/>
        </w:rPr>
        <w:t>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(such agreement, arrangement or understanding, a “</w:t>
      </w:r>
      <w:r>
        <w:rPr>
          <w:rFonts w:ascii="Times New Roman" w:cs="Times New Roman" w:eastAsia="Times New Roman" w:hAnsi="Times New Roman"/>
          <w:sz w:val="18"/>
          <w:szCs w:val="18"/>
          <w:b w:val="1"/>
          <w:bCs w:val="1"/>
          <w:color w:val="auto"/>
        </w:rPr>
        <w:t>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Arrangement</w:t>
      </w:r>
      <w:r>
        <w:rPr>
          <w:rFonts w:ascii="Times New Roman" w:cs="Times New Roman" w:eastAsia="Times New Roman" w:hAnsi="Times New Roman"/>
          <w:sz w:val="18"/>
          <w:szCs w:val="18"/>
          <w:color w:val="auto"/>
        </w:rPr>
        <w:t>”), (F) a written statement executed by the nominee consenting to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named as a nominee of such stockholder, (y) serving as a director of the corporation if elected and (z) being named in the corporation’s form of proxy pursuant to Rule 14a-19 under the 1934 Act (“</w:t>
      </w:r>
      <w:r>
        <w:rPr>
          <w:rFonts w:ascii="Times New Roman" w:cs="Times New Roman" w:eastAsia="Times New Roman" w:hAnsi="Times New Roman"/>
          <w:sz w:val="18"/>
          <w:szCs w:val="18"/>
          <w:b w:val="1"/>
          <w:bCs w:val="1"/>
          <w:color w:val="auto"/>
        </w:rPr>
        <w:t>Rule 14a-19</w:t>
      </w:r>
      <w:r>
        <w:rPr>
          <w:rFonts w:ascii="Times New Roman" w:cs="Times New Roman" w:eastAsia="Times New Roman" w:hAnsi="Times New Roman"/>
          <w:sz w:val="18"/>
          <w:szCs w:val="18"/>
          <w:color w:val="auto"/>
        </w:rPr>
        <w:t>”) , and (H) any other information relating to the nominee that would be required to be disclosed about such nominee if proxies were being solicited for the election or re-election of the nominee as a director, or that is otherwise required, in each case pursuant to Section 14 of the 1934 Act; and</w:t>
      </w:r>
    </w:p>
    <w:p>
      <w:pPr>
        <w:spacing w:after="0" w:line="81" w:lineRule="exact"/>
        <w:rPr>
          <w:sz w:val="20"/>
          <w:szCs w:val="20"/>
          <w:color w:val="auto"/>
        </w:rPr>
      </w:pPr>
    </w:p>
    <w:p>
      <w:pPr>
        <w:jc w:val="both"/>
        <w:ind w:left="1380" w:right="299" w:firstLine="360"/>
        <w:spacing w:after="0" w:line="267" w:lineRule="auto"/>
        <w:rPr>
          <w:sz w:val="20"/>
          <w:szCs w:val="20"/>
          <w:color w:val="auto"/>
        </w:rPr>
      </w:pPr>
      <w:r>
        <w:rPr>
          <w:rFonts w:ascii="Times New Roman" w:cs="Times New Roman" w:eastAsia="Times New Roman" w:hAnsi="Times New Roman"/>
          <w:sz w:val="17"/>
          <w:szCs w:val="17"/>
          <w:color w:val="auto"/>
        </w:rPr>
        <w:t>(2)  as to such stockholder giving notice, (A) the information required to be provided pursuant to clauses (2) through (5) of Section 2.4(i)(b) above, and the update and supplement referenced in the second sentence of Section 2.4(i)(b) above (except that the references to “business” in such clauses shall instead refer to nominations of directors for purposes of this paragraph), and (B) a representation and undertaking as to whether such stockholder or Stockholder Associated Person or others acting in concert with them intends, or are part of a group that intends, to (x) deliver a proxy statement or form of proxy to or otherwise solicit proxies from holders of at least the percentage of the voting power of the corporation’s then-outstanding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(y) otherwise solicit proxies from stockholders in support of such nomination (such information provided and statements made as required by Section 2.4(ii)(b)</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 and this Section 2.4(ii)(b)(2), a “</w:t>
      </w:r>
      <w:r>
        <w:rPr>
          <w:rFonts w:ascii="Times New Roman" w:cs="Times New Roman" w:eastAsia="Times New Roman" w:hAnsi="Times New Roman"/>
          <w:sz w:val="18"/>
          <w:szCs w:val="18"/>
          <w:b w:val="1"/>
          <w:bCs w:val="1"/>
          <w:color w:val="auto"/>
        </w:rPr>
        <w:t>Nominee Solicitation Statement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(2) a written representation and undertaking that, unless previously disclosed to the corporation, such nominee is not, and will not become, a party to any Third-Party Compensation Arrangement and (3)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timely furnishing of any such information, if requested, such stockholder’s nomination shall not be considered in proper form and shall be ineligible for consideration at the annual meeting pursuant to this Section 2.4(ii).</w:t>
      </w:r>
    </w:p>
    <w:p>
      <w:pPr>
        <w:spacing w:after="0" w:line="84" w:lineRule="exact"/>
        <w:rPr>
          <w:sz w:val="20"/>
          <w:szCs w:val="20"/>
          <w:color w:val="auto"/>
        </w:rPr>
      </w:pPr>
    </w:p>
    <w:p>
      <w:pPr>
        <w:jc w:val="both"/>
        <w:ind w:left="1020" w:right="299" w:firstLine="360"/>
        <w:spacing w:after="0" w:line="272" w:lineRule="auto"/>
        <w:rPr>
          <w:sz w:val="20"/>
          <w:szCs w:val="20"/>
          <w:color w:val="auto"/>
        </w:rPr>
      </w:pPr>
      <w:r>
        <w:rPr>
          <w:rFonts w:ascii="Times New Roman" w:cs="Times New Roman" w:eastAsia="Times New Roman" w:hAnsi="Times New Roman"/>
          <w:sz w:val="17"/>
          <w:szCs w:val="17"/>
          <w:color w:val="auto"/>
        </w:rPr>
        <w:t>(d)  Without exception, no person shall be eligible for election or re-election as a director of the corporation at an annual meeting of stockholders unless nominated in accordance with the provisions set forth in this Section 2.4.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The chairperson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1" w:name="page62"/>
    <w:bookmarkEnd w:id="61"/>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7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(e)  No later than five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Advance Notice of Director Nominations for Special Meetings.</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(a)  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above(with references therein to “annual meeting” deemed to mean “special meeting” for the purposes of this Section 2.4(iii)).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Section 2.4(iii) is subject to, and must comply with, the provisions of Section 2.4(ii)(c).</w:t>
      </w:r>
    </w:p>
    <w:p>
      <w:pPr>
        <w:spacing w:after="0" w:line="96"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Other Requirements and Procedures.</w:t>
      </w:r>
    </w:p>
    <w:p>
      <w:pPr>
        <w:spacing w:after="0" w:line="119"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(a)  In addition to the foregoing provisions of this Section 2.4, a stockholder must also comply with all applicable requirements of state law and of the 1934 Act and the rules and regulations thereunder with respect to the matters set forth in this Section 2.4. Nothing in this Section 2.4 shall be deemed to affect any rights of: (1) a stockholder to request the inclusion of proposals in the corporation’s proxy statement pursuant to Rule 14a-8 (or any successor provision) under the 1934 Act or (2) the corporation to omit a proposal from the corporation’s proxy statement pursuant to Rule 14a-8 (or any successor provision) under the 1934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w:t>
      </w:r>
    </w:p>
    <w:p>
      <w:pPr>
        <w:spacing w:after="0" w:line="8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STOCKHOLDER ACTION BY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the manner provided by Section 228(d) of the DGCL. Prompt notice of the taking of the corporate action without a meeting by less than unanimous consent shall be provided to stockholders to the extent required by law. No consent shall be effective to take the corporate action referred to therein unless consents signed by a sufficient number of stockholders to take such action are delivered to the corporation in the manner prescribed in this Section 2.10 and applicable law within sixty (60) days of the first date on which a consent is so delivered to the corporation.</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or such stockholder’s authorized director, officer,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no later than the tenth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Such inspectors shall take all actions as contemplated under Section 231 of the DGCL or any successor provision thereto.</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86"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Unless otherwise provided in the certificate of incorporation or these bylaws or permitted in the specific case by resolution of the board of directors, and subject to the rights of holders of Preferred Stock, vacancies occurring on the board of directors for any reason and newly created directorships resulting from any increase in the authorized number of directors may be filled only by a vote of a majority of the remaining members of the board of directors, although less than a quorum, or by a sole remaining director, at any meeting of the board of directors, and not by stockholders. If the directors are divided into classes as provided by the certificate of incorporation, a person so chosen to fill a vacancy or newly created directorship shall hold office until the next election of the class for which such director shall have been chosen and until such director’s successor shall have been duly elected and qualified.</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of the board of directors shall be: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delivered personally by hand or by courier;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sent by United States first-class mail, postage prepaid;</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sent by facsimile;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sent by electronic mail;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otherwise given by electronic transmission (as defined in Section 232 of the DGCL),</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facsimile number, electronic mail address or other contact for notice by electronic transmission, as the case may be, as shown on the corporation’s records.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6" w:name="page67"/>
    <w:bookmarkEnd w:id="66"/>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notice is (i) delivered personally by hand or by courier,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oral notice is given in person or by telephone at least 24 hours before the time of the holding of the special meeting. The notice need not specify the place of the meeting (if the meeting is to be held at the corporation’s principal executive office) nor the purpose of the meeting, unless required by statute.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in the same paper or electronic form as the minutes are maintained.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by the affirmative vote of the holders of at least a majority of the voting power of the outstanding shares then entitled to vote for the election of directors; provided, however, for so long as the directors of the corporation are divided into classes, any director may be removed from office by the stockholders of the corporation only for cause.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 office.</w:t>
      </w:r>
    </w:p>
    <w:p>
      <w:pPr>
        <w:spacing w:after="0" w:line="18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may, by resolution adopted by the affirmative vote of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shall be governed by, and held and taken in accordance with, the provisions of: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Section 3.5 (place of meetings and meetings by telephone);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Section 3.6 (regular meetings);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Section 3.7 (special meetings and notice);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Section 3.8 (quorum; voting);</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Section 3.9 (action without a meeting); and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(vi)   Section 7.4 (waiver of notice)</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of directors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the time and place of regular meetings of committees may be determined either by resolution of the board of directors or by resolution of the committee;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special meetings of committees may also be called by resolution of the board of directors; and</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(iii)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officers of the corporation shall be a chief executive officer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with such other titles as may be appointed from time to time in accordance with the provisions of these bylaws. Any number of offices may be held by the same person.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Section 5.3 of these bylaws, subject to the rights, if any, of an officer under any contract of employment.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Section 5.3.</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chief financial officer or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this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1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declaration of any dividend on fully-paid shares, the corporation shall declare a dividend upon partly-paid shares of the same class, but only upon the basis of the percentage of the consideration actually paid thereon.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DIVIDENDS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shall be entitled to recognize the exclusive right of a person registered on its books as the owner of shares to receive dividends and notices and to vote as such owner;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(ii)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12" w:lineRule="exact"/>
        <w:rPr>
          <w:sz w:val="20"/>
          <w:szCs w:val="20"/>
          <w:color w:val="auto"/>
        </w:rPr>
      </w:pPr>
    </w:p>
    <w:p>
      <w:pPr>
        <w:ind w:left="660" w:right="1979" w:firstLine="1311"/>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ARTICLE VII - MANNER OF GIVING NOTICE AND WAIVER </w:t>
      </w:r>
      <w:r>
        <w:rPr>
          <w:rFonts w:ascii="Times New Roman" w:cs="Times New Roman" w:eastAsia="Times New Roman" w:hAnsi="Times New Roman"/>
          <w:sz w:val="18"/>
          <w:szCs w:val="18"/>
          <w:color w:val="auto"/>
        </w:rPr>
        <w:t>7.1  NOTICE TO STOCKHOLDERS</w:t>
      </w:r>
    </w:p>
    <w:p>
      <w:pPr>
        <w:spacing w:after="0" w:line="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notice to stockholders given by the corporation under any provision of the DGCL, the certificate of incorporation or these bylaws may be given in the manner set forth in Section 232 of the DGCL.</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1" w:name="page72"/>
    <w:bookmarkEnd w:id="71"/>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(for the purposes of this Section 8.3 only, as such term is defined in Section 145(c)(1) of the DGCL) of the corporation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Section 8.1 or Section 8.2 of these bylaws or in defense of any claim, issue or matter therein.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have power to advance expenses to and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 or receive an advancement of expenses.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Subject to the requirements in Section 8.3 and the DGCL, the corporation shall not be obligated to indemnify any person pursuant to this Article VIII in connection with any Proceeding (or any part of any Proceeding):</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  for which payment has actually been made to or on behalf of such person under any statute, insurance policy, indemnity provision, vote or otherwise, except with respect to any excess beyond the amount paid;</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81"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color w:val="auto"/>
        </w:rPr>
        <w:t>(iv)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w:t>
      </w:r>
    </w:p>
    <w:p>
      <w:pPr>
        <w:spacing w:after="0" w:line="1" w:lineRule="exact"/>
        <w:rPr>
          <w:sz w:val="20"/>
          <w:szCs w:val="20"/>
          <w:color w:val="auto"/>
        </w:rPr>
      </w:pPr>
    </w:p>
    <w:p>
      <w:pPr>
        <w:jc w:val="both"/>
        <w:ind w:left="660" w:right="319" w:hanging="8"/>
        <w:spacing w:after="0" w:line="255" w:lineRule="auto"/>
        <w:tabs>
          <w:tab w:leader="none" w:pos="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provides the indemnification, in its sole discretion, pursuant to the powers vested in the corporation under applicable law, (c) otherwise required to be made under Section 8.7 or (d) otherwise required by applicable law; or</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8.9   INSURANCE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corporation may purchase and maintain insurance to the fullest extent permitted by the DGCL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8.10   SURVIVAL</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11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of the corporation</w:t>
      </w:r>
      <w:r>
        <w:rPr>
          <w:rFonts w:ascii="Times New Roman" w:cs="Times New Roman" w:eastAsia="Times New Roman" w:hAnsi="Times New Roman"/>
          <w:sz w:val="18"/>
          <w:szCs w:val="18"/>
          <w:color w:val="auto"/>
        </w:rPr>
        <w:t>” shall include any service as a director, officer, employee or agent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 corporation</w:t>
      </w:r>
      <w:r>
        <w:rPr>
          <w:rFonts w:ascii="Times New Roman" w:cs="Times New Roman" w:eastAsia="Times New Roman" w:hAnsi="Times New Roman"/>
          <w:sz w:val="18"/>
          <w:szCs w:val="18"/>
          <w:color w:val="auto"/>
        </w:rPr>
        <w:t>” as referred to in this Article VIII.</w:t>
      </w:r>
    </w:p>
    <w:p>
      <w:pPr>
        <w:spacing w:after="0" w:line="34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These bylaws may be adopted, amended or repealed by the stockholders entitled to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7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 of directors.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corporation expressly consents in writing to the selection of an alternative forum, the Court of Chancery of the State of Delaware shall, to the fullest extent permitted by law, be the sole and exclusive forum for</w:t>
      </w:r>
    </w:p>
    <w:p>
      <w:pPr>
        <w:jc w:val="both"/>
        <w:ind w:left="300" w:right="299" w:hanging="8"/>
        <w:spacing w:after="0" w:line="25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security of the corporation shall be deemed to have notice of and consented to the provisions of this Article XI. This provision shall be enforceable by any party to a claim covered by the provisions of this Article XI.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5" w:name="page76"/>
    <w:bookmarkEnd w:id="75"/>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CORPORATION</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The name of the corporation is Dropbox,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Corporation is the resulting entity in the conversion of Dropbox, Inc., a Delaware corporation (the “</w:t>
      </w:r>
      <w:r>
        <w:rPr>
          <w:rFonts w:ascii="Times New Roman" w:cs="Times New Roman" w:eastAsia="Times New Roman" w:hAnsi="Times New Roman"/>
          <w:sz w:val="18"/>
          <w:szCs w:val="18"/>
          <w:b w:val="1"/>
          <w:bCs w:val="1"/>
          <w:i w:val="1"/>
          <w:iCs w:val="1"/>
          <w:color w:val="auto"/>
        </w:rPr>
        <w:t>Delaware Corporation</w:t>
      </w:r>
      <w:r>
        <w:rPr>
          <w:rFonts w:ascii="Times New Roman" w:cs="Times New Roman" w:eastAsia="Times New Roman" w:hAnsi="Times New Roman"/>
          <w:sz w:val="18"/>
          <w:szCs w:val="18"/>
          <w:color w:val="auto"/>
        </w:rPr>
        <w:t>”), into a Nevada 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and is a continuation of the existence thereof pursuant to Chapter 92A of the Nevada Revised Statutes (as amended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 AND REGISTERED OFFICE</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31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NRS.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authorized to be issued is 3,675,000,000,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2,400,000,000 shares of which are designated Class A Common Stock, par value $0.00001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475,000,000 shares of which are designated Class B Common Stock, par value $0.00001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800,000,000 shares of which are designated Class C Common Stock, par value $0.00001 per share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The total number of shares of Preferred Stock authorized to be issued is 240,000,000 shares, par value $0.00001 per share.</w:t>
      </w:r>
    </w:p>
    <w:p>
      <w:pPr>
        <w:spacing w:after="0" w:line="3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following definitions apply;</w:t>
      </w:r>
    </w:p>
    <w:p>
      <w:pPr>
        <w:spacing w:after="0" w:line="11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Times New Roman" w:cs="Times New Roman" w:eastAsia="Times New Roman" w:hAnsi="Times New Roman"/>
          <w:sz w:val="18"/>
          <w:szCs w:val="18"/>
          <w:u w:val="single" w:color="auto"/>
          <w:color w:val="auto"/>
        </w:rPr>
        <w:t>Section V.1.1</w:t>
      </w:r>
      <w:r>
        <w:rPr>
          <w:rFonts w:ascii="Times New Roman" w:cs="Times New Roman" w:eastAsia="Times New Roman" w:hAnsi="Times New Roman"/>
          <w:sz w:val="18"/>
          <w:szCs w:val="18"/>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6" w:name="page77"/>
    <w:bookmarkEnd w:id="76"/>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these Articles of Incorporation of the Corporation, as amended from time to time.</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a sale, lease, exclusive license or other disposition of all or substantially all of the assets of the Corporation.</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Controlled Company Exemption</w:t>
      </w:r>
      <w:r>
        <w:rPr>
          <w:rFonts w:ascii="Times New Roman" w:cs="Times New Roman" w:eastAsia="Times New Roman" w:hAnsi="Times New Roman"/>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6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(a)  the date specified by the holders of two-thirds of the then outstanding shares of Class B Common Stock, voting as a separate class;</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the first date on which the number of outstanding shares of Class B Common Stock represents less than five percent (5%) of the aggregate number of outstanding shares of Class A Common Stock and Class B Common Stock; or</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last to die or become Disabled of the Founders, provided, that such date may be extended but not for a total period of longer than eighteen</w:t>
      </w:r>
    </w:p>
    <w:p>
      <w:pPr>
        <w:ind w:left="1020" w:right="319" w:hanging="8"/>
        <w:spacing w:after="0" w:line="260" w:lineRule="auto"/>
        <w:tabs>
          <w:tab w:leader="none" w:pos="14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last applicable death or Disability to a date approved by a majority of the Independent Directors then in office.</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either Andrew Houston or Arash Ferdowsi.</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March 23, 2018.</w:t>
      </w:r>
    </w:p>
    <w:p>
      <w:pPr>
        <w:spacing w:after="0" w:line="11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Acquisition or Asset Transfer.</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71"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7" w:name="page78"/>
    <w:bookmarkEnd w:id="77"/>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xml:space="preserve">” means, with respect to any Qualified Stockholder, any trust, account, plan, corporation, partnership, or limited liability company specified in </w:t>
      </w:r>
      <w:r>
        <w:rPr>
          <w:rFonts w:ascii="Times New Roman" w:cs="Times New Roman" w:eastAsia="Times New Roman" w:hAnsi="Times New Roman"/>
          <w:sz w:val="18"/>
          <w:szCs w:val="18"/>
          <w:u w:val="single" w:color="auto"/>
          <w:color w:val="auto"/>
        </w:rPr>
        <w:t>Section V.1.15(b)</w:t>
      </w:r>
      <w:r>
        <w:rPr>
          <w:rFonts w:ascii="Times New Roman" w:cs="Times New Roman" w:eastAsia="Times New Roman" w:hAnsi="Times New Roman"/>
          <w:sz w:val="18"/>
          <w:szCs w:val="18"/>
          <w:color w:val="auto"/>
        </w:rPr>
        <w:t xml:space="preserve"> with respect to such Qualified Stockholder, so long as such Permitted Entity meets the requirements of the exception set forth in </w:t>
      </w:r>
      <w:r>
        <w:rPr>
          <w:rFonts w:ascii="Times New Roman" w:cs="Times New Roman" w:eastAsia="Times New Roman" w:hAnsi="Times New Roman"/>
          <w:sz w:val="18"/>
          <w:szCs w:val="18"/>
          <w:u w:val="single" w:color="auto"/>
          <w:color w:val="auto"/>
        </w:rPr>
        <w:t>Section V.1.15</w:t>
      </w:r>
      <w:r>
        <w:rPr>
          <w:rFonts w:ascii="Times New Roman" w:cs="Times New Roman" w:eastAsia="Times New Roman" w:hAnsi="Times New Roman"/>
          <w:sz w:val="18"/>
          <w:szCs w:val="18"/>
          <w:color w:val="auto"/>
        </w:rPr>
        <w:t xml:space="preserve"> applicable to such Permitted Entity.</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(a)  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68"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1" w:lineRule="exact"/>
        <w:rPr>
          <w:sz w:val="20"/>
          <w:szCs w:val="20"/>
          <w:color w:val="auto"/>
        </w:rPr>
      </w:pPr>
    </w:p>
    <w:p>
      <w:pPr>
        <w:jc w:val="both"/>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84" w:lineRule="exact"/>
        <w:rPr>
          <w:sz w:val="20"/>
          <w:szCs w:val="20"/>
          <w:color w:val="auto"/>
        </w:rPr>
      </w:pPr>
    </w:p>
    <w:p>
      <w:pPr>
        <w:jc w:val="both"/>
        <w:ind w:left="1380" w:right="299" w:firstLine="360"/>
        <w:spacing w:after="0" w:line="271" w:lineRule="auto"/>
        <w:rPr>
          <w:sz w:val="20"/>
          <w:szCs w:val="20"/>
          <w:color w:val="auto"/>
        </w:rPr>
      </w:pPr>
      <w:r>
        <w:rPr>
          <w:rFonts w:ascii="Times New Roman" w:cs="Times New Roman" w:eastAsia="Times New Roman" w:hAnsi="Times New Roman"/>
          <w:sz w:val="17"/>
          <w:szCs w:val="17"/>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65"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86"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8" w:name="page79"/>
    <w:bookmarkEnd w:id="78"/>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72" w:lineRule="exact"/>
        <w:rPr>
          <w:sz w:val="20"/>
          <w:szCs w:val="20"/>
          <w:color w:val="auto"/>
        </w:rPr>
      </w:pPr>
    </w:p>
    <w:p>
      <w:pPr>
        <w:jc w:val="both"/>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64"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4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(a) any registered holder of a share of the Delaware Corporation’s Class B Common Stock immediately after the IPO Date; (b) the initial registered holder of any shares of the Delaware Corporation’s Class B Common Stock that were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were outstanding as of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9" w:name="page80"/>
    <w:bookmarkEnd w:id="79"/>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68"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(d)  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72"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(e)  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81"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(f)  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(g)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(h)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64"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capital stock or other security, the power (whether exclusive or shared) to vote or direct the voting of such security, including by proxy, voting agreement or otherwise.</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means the total number of authorized directors whether or not there exist any vacancies or unfilled seats in previously authorized directorships.</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xml:space="preserve">. Except as otherwise provided in these Articles or required by applicable law, shares of Common Stock shall have the same rights and powers, rank equally (including as to dividends and distributions, and any liquidation, dissolution or winding up of the corporation but excluding voting and other matters as described in </w:t>
      </w:r>
      <w:r>
        <w:rPr>
          <w:rFonts w:ascii="Times New Roman" w:cs="Times New Roman" w:eastAsia="Times New Roman" w:hAnsi="Times New Roman"/>
          <w:sz w:val="18"/>
          <w:szCs w:val="18"/>
          <w:u w:val="single" w:color="auto"/>
          <w:color w:val="auto"/>
        </w:rPr>
        <w:t>Section V.3</w:t>
      </w:r>
      <w:r>
        <w:rPr>
          <w:rFonts w:ascii="Times New Roman" w:cs="Times New Roman" w:eastAsia="Times New Roman" w:hAnsi="Times New Roman"/>
          <w:sz w:val="18"/>
          <w:szCs w:val="18"/>
          <w:color w:val="auto"/>
        </w:rPr>
        <w:t xml:space="preserve"> below), share ratably and be identical in all respects as to all matters, including:</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2.1  Subject to the prior rights of holders of all classes and series of stock at the time outstanding having prior rights as to dividends or distributions, the holders of the Common Stock shall be entitled to receive, when, as and if declared by the Board, out of any assets of the Corporation legally available therefor, such dividends or distributions as may be declared from time to time by the Board. Any dividends or distributions paid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0" w:name="page81"/>
    <w:bookmarkEnd w:id="80"/>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holders of shares of Common Stock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7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96"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Each holder of shares of Class A Common Stock will be entitled to one (1) vote for each share thereof held at the record date for the determination of the stockholders entitled to vote on such matters.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Each holder of shares of Class B Common Stock will be entitled to ten</w:t>
      </w:r>
    </w:p>
    <w:p>
      <w:pPr>
        <w:spacing w:after="0" w:line="27" w:lineRule="exact"/>
        <w:rPr>
          <w:sz w:val="20"/>
          <w:szCs w:val="20"/>
          <w:color w:val="auto"/>
        </w:rPr>
      </w:pPr>
    </w:p>
    <w:p>
      <w:pPr>
        <w:ind w:left="1020" w:right="299" w:hanging="8"/>
        <w:spacing w:after="0" w:line="260" w:lineRule="auto"/>
        <w:tabs>
          <w:tab w:leader="none" w:pos="13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for each share thereof held at the record date for the determination of the stockholders entitled to vote on such matters.</w:t>
      </w:r>
    </w:p>
    <w:p>
      <w:pPr>
        <w:spacing w:after="0" w:line="73"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Except as required by law, the Class C Common Stock will have no voting rights and no holder thereof shall be entitled to vote on any matter. For the avoidance of doubt, any right of the Class C Common Stock, or any holder thereof, to vote pursuant to NRS 78.2055(3) or 78.207(3) is hereby specifically denied.</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Times New Roman" w:cs="Times New Roman" w:eastAsia="Times New Roman" w:hAnsi="Times New Roman"/>
          <w:sz w:val="18"/>
          <w:szCs w:val="18"/>
          <w:u w:val="single" w:color="auto"/>
          <w:color w:val="auto"/>
        </w:rPr>
        <w:t>Section V.9</w:t>
      </w:r>
      <w:r>
        <w:rPr>
          <w:rFonts w:ascii="Times New Roman" w:cs="Times New Roman" w:eastAsia="Times New Roman" w:hAnsi="Times New Roman"/>
          <w:sz w:val="18"/>
          <w:szCs w:val="18"/>
          <w:color w:val="auto"/>
        </w:rPr>
        <w:t>) by the affirmative vote of the holders of a majority of the voting power of the Class A Common Stock and Class B Common Stock, voting together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1" w:name="page82"/>
    <w:bookmarkEnd w:id="81"/>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as a single class, irrespective of any applicable provisions of NRS 78.390(2); provided, that the number of authorized shares of Class B Common Stock shall not be increased without the affirmative vote of the holders of a majority of the outstanding shares of Class B Common Stock, voting as a separate class.</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Times New Roman" w:cs="Times New Roman" w:eastAsia="Times New Roman" w:hAnsi="Times New Roman"/>
          <w:sz w:val="18"/>
          <w:szCs w:val="18"/>
          <w:u w:val="single" w:color="auto"/>
          <w:color w:val="auto"/>
        </w:rPr>
        <w:t>Section V.4</w:t>
      </w:r>
      <w:r>
        <w:rPr>
          <w:rFonts w:ascii="Times New Roman" w:cs="Times New Roman" w:eastAsia="Times New Roman" w:hAnsi="Times New Roman"/>
          <w:sz w:val="18"/>
          <w:szCs w:val="18"/>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w:t>
      </w:r>
    </w:p>
    <w:p>
      <w:pPr>
        <w:spacing w:after="0" w:line="2" w:lineRule="exact"/>
        <w:rPr>
          <w:sz w:val="20"/>
          <w:szCs w:val="20"/>
          <w:color w:val="auto"/>
        </w:rPr>
      </w:pPr>
    </w:p>
    <w:p>
      <w:pPr>
        <w:ind w:left="300" w:right="319" w:hanging="8"/>
        <w:spacing w:after="0" w:line="260" w:lineRule="auto"/>
        <w:tabs>
          <w:tab w:leader="none" w:pos="6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the voting power of any securities distributed to the holder of a share of Class A Common Stock and that any securities distributed to the holder of a share of Class C Common Stock have no voting rights or power.</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Conversion of the Class B Common Stock</w:t>
      </w:r>
      <w:r>
        <w:rPr>
          <w:rFonts w:ascii="Times New Roman" w:cs="Times New Roman" w:eastAsia="Times New Roman" w:hAnsi="Times New Roman"/>
          <w:sz w:val="18"/>
          <w:szCs w:val="18"/>
          <w:color w:val="auto"/>
        </w:rPr>
        <w:t>. The Class B Common Stock will be convertible into Class A Common Stock as follows: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5.1  Each share of Class B Common Stock will automatically convert into one fully paid and nonassessable share of Class A Common Stock on the Final Conversion Date.</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68" w:lineRule="exact"/>
        <w:rPr>
          <w:sz w:val="20"/>
          <w:szCs w:val="20"/>
          <w:color w:val="auto"/>
        </w:rPr>
      </w:pPr>
    </w:p>
    <w:p>
      <w:pPr>
        <w:jc w:val="both"/>
        <w:ind w:left="1020" w:right="319" w:firstLine="360"/>
        <w:spacing w:after="0" w:line="289" w:lineRule="auto"/>
        <w:rPr>
          <w:sz w:val="20"/>
          <w:szCs w:val="20"/>
          <w:color w:val="auto"/>
        </w:rPr>
      </w:pPr>
      <w:r>
        <w:rPr>
          <w:rFonts w:ascii="Times New Roman" w:cs="Times New Roman" w:eastAsia="Times New Roman" w:hAnsi="Times New Roman"/>
          <w:sz w:val="17"/>
          <w:szCs w:val="17"/>
          <w:color w:val="auto"/>
        </w:rPr>
        <w:t>(a)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50"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(b)  on the occurrence of a Transfer of such share of Class B Common Stock, other than a Permitted Transfer; or</w:t>
      </w:r>
    </w:p>
    <w:p>
      <w:pPr>
        <w:spacing w:after="0" w:line="54"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Times New Roman" w:cs="Times New Roman" w:eastAsia="Times New Roman" w:hAnsi="Times New Roman"/>
          <w:sz w:val="18"/>
          <w:szCs w:val="18"/>
          <w:u w:val="single" w:color="auto"/>
          <w:color w:val="auto"/>
        </w:rPr>
        <w:t>Section V.1.18</w:t>
      </w:r>
      <w:r>
        <w:rPr>
          <w:rFonts w:ascii="Times New Roman" w:cs="Times New Roman" w:eastAsia="Times New Roman" w:hAnsi="Times New Roman"/>
          <w:sz w:val="18"/>
          <w:szCs w:val="18"/>
          <w:color w:val="auto"/>
        </w:rPr>
        <w:t xml:space="preserve"> of these Articles or, if no such proxy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2" w:name="page83"/>
    <w:bookmarkEnd w:id="82"/>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 xml:space="preserve">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Times New Roman" w:cs="Times New Roman" w:eastAsia="Times New Roman" w:hAnsi="Times New Roman"/>
          <w:sz w:val="18"/>
          <w:szCs w:val="18"/>
          <w:u w:val="single" w:color="auto"/>
          <w:color w:val="auto"/>
        </w:rPr>
        <w:t>Section V.5.2(c)</w:t>
      </w:r>
      <w:r>
        <w:rPr>
          <w:rFonts w:ascii="Times New Roman" w:cs="Times New Roman" w:eastAsia="Times New Roman" w:hAnsi="Times New Roman"/>
          <w:sz w:val="18"/>
          <w:szCs w:val="18"/>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w:t>
      </w:r>
    </w:p>
    <w:p>
      <w:pPr>
        <w:spacing w:after="0" w:line="12" w:lineRule="exact"/>
        <w:rPr>
          <w:sz w:val="20"/>
          <w:szCs w:val="20"/>
          <w:color w:val="auto"/>
        </w:rPr>
      </w:pPr>
    </w:p>
    <w:p>
      <w:pPr>
        <w:ind w:left="1020" w:right="299" w:hanging="8"/>
        <w:spacing w:after="0" w:line="260" w:lineRule="auto"/>
        <w:tabs>
          <w:tab w:leader="none" w:pos="14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last applicable death or Disability as may be approved by a majority of the Independent Directors then in office.</w:t>
      </w:r>
    </w:p>
    <w:p>
      <w:pPr>
        <w:spacing w:after="0" w:line="73"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Conversion of the Class C Common Stock</w:t>
      </w:r>
      <w:r>
        <w:rPr>
          <w:rFonts w:ascii="Times New Roman" w:cs="Times New Roman" w:eastAsia="Times New Roman" w:hAnsi="Times New Roman"/>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8"/>
          <w:szCs w:val="18"/>
          <w:b w:val="1"/>
          <w:bCs w:val="1"/>
          <w:i w:val="1"/>
          <w:iCs w:val="1"/>
          <w:color w:val="auto"/>
        </w:rPr>
        <w:t>Class C Conversion Date</w:t>
      </w:r>
      <w:r>
        <w:rPr>
          <w:rFonts w:ascii="Times New Roman" w:cs="Times New Roman" w:eastAsia="Times New Roman" w:hAnsi="Times New Roman"/>
          <w:sz w:val="18"/>
          <w:szCs w:val="18"/>
          <w:color w:val="auto"/>
        </w:rPr>
        <w:t>”), each outstanding share of Class C Capital Stock shall automatically, without further action by the Corporation or the holders thereof, convert into one (1) fully paid and nonassessable share of Class A Common Stock.</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Immediate Effect</w:t>
      </w:r>
      <w:r>
        <w:rPr>
          <w:rFonts w:ascii="Times New Roman" w:cs="Times New Roman" w:eastAsia="Times New Roman" w:hAnsi="Times New Roman"/>
          <w:sz w:val="18"/>
          <w:szCs w:val="18"/>
          <w:color w:val="auto"/>
        </w:rPr>
        <w:t xml:space="preserve">. In the event of and upon a conversion of shares of Class B Common Stock to shares of Class A Common Stock pursuant to </w:t>
      </w:r>
      <w:r>
        <w:rPr>
          <w:rFonts w:ascii="Times New Roman" w:cs="Times New Roman" w:eastAsia="Times New Roman" w:hAnsi="Times New Roman"/>
          <w:sz w:val="18"/>
          <w:szCs w:val="18"/>
          <w:u w:val="single" w:color="auto"/>
          <w:color w:val="auto"/>
        </w:rPr>
        <w:t>Section V.5</w:t>
      </w:r>
      <w:r>
        <w:rPr>
          <w:rFonts w:ascii="Times New Roman" w:cs="Times New Roman" w:eastAsia="Times New Roman" w:hAnsi="Times New Roman"/>
          <w:sz w:val="18"/>
          <w:szCs w:val="18"/>
          <w:color w:val="auto"/>
        </w:rPr>
        <w:t xml:space="preserve"> or Class C Common Stock to Class A Common Stock pursuant to </w:t>
      </w:r>
      <w:r>
        <w:rPr>
          <w:rFonts w:ascii="Times New Roman" w:cs="Times New Roman" w:eastAsia="Times New Roman" w:hAnsi="Times New Roman"/>
          <w:sz w:val="18"/>
          <w:szCs w:val="18"/>
          <w:u w:val="single" w:color="auto"/>
          <w:color w:val="auto"/>
        </w:rPr>
        <w:t>Section V.6</w:t>
      </w:r>
      <w:r>
        <w:rPr>
          <w:rFonts w:ascii="Times New Roman" w:cs="Times New Roman" w:eastAsia="Times New Roman" w:hAnsi="Times New Roman"/>
          <w:sz w:val="18"/>
          <w:szCs w:val="18"/>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3" w:name="page84"/>
    <w:bookmarkEnd w:id="83"/>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12.4  authorize, or issue any shares of, any class or series of capital stock of the Corporation having the right to more than (1) vote for each share thereof; 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12.5   consummate a Liquidation Event.</w:t>
      </w:r>
    </w:p>
    <w:p>
      <w:pPr>
        <w:spacing w:after="0" w:line="3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Rights of Preferred Stock</w:t>
      </w:r>
      <w:r>
        <w:rPr>
          <w:rFonts w:ascii="Times New Roman" w:cs="Times New Roman" w:eastAsia="Times New Roman" w:hAnsi="Times New Roman"/>
          <w:sz w:val="18"/>
          <w:szCs w:val="18"/>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Vote to Increase or Decrease Authorized Shares</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78.390(2).</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Structure</w:t>
      </w:r>
      <w:r>
        <w:rPr>
          <w:rFonts w:ascii="Times New Roman" w:cs="Times New Roman" w:eastAsia="Times New Roman" w:hAnsi="Times New Roman"/>
          <w:sz w:val="18"/>
          <w:szCs w:val="18"/>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4" w:name="page85"/>
    <w:bookmarkEnd w:id="84"/>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8"/>
          <w:szCs w:val="18"/>
          <w:b w:val="1"/>
          <w:bCs w:val="1"/>
          <w:i w:val="1"/>
          <w:iCs w:val="1"/>
          <w:color w:val="auto"/>
        </w:rPr>
        <w:t>Classified Board Effective Date</w:t>
      </w:r>
      <w:r>
        <w:rPr>
          <w:rFonts w:ascii="Times New Roman" w:cs="Times New Roman" w:eastAsia="Times New Roman" w:hAnsi="Times New Roman"/>
          <w:sz w:val="18"/>
          <w:szCs w:val="18"/>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Times New Roman" w:cs="Times New Roman" w:eastAsia="Times New Roman" w:hAnsi="Times New Roman"/>
          <w:sz w:val="18"/>
          <w:szCs w:val="18"/>
          <w:u w:val="single" w:color="auto"/>
          <w:color w:val="auto"/>
        </w:rPr>
        <w:t>Section VII.2</w:t>
      </w:r>
      <w:r>
        <w:rPr>
          <w:rFonts w:ascii="Times New Roman" w:cs="Times New Roman" w:eastAsia="Times New Roman" w:hAnsi="Times New Roman"/>
          <w:sz w:val="18"/>
          <w:szCs w:val="18"/>
          <w:color w:val="auto"/>
        </w:rPr>
        <w:t xml:space="preserve"> in the event a Classified Board Effective Date occurs) and until his or her successor shall have been duly elected and qualified. Notwithstanding the foregoing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BUSINESS AND CONDUCT OF AFFAIRS</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1. 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Board Power</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by statute or by these Articles or the Bylaws of the Corporation, the Board is hereby empowered to exercise all such powers and do all such acts and things as may be exercised or done by the Corporation.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the NRS, the Board is expressly authorized to adopt, amend or repeal the Bylaws of the Corporation.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Availability of Stockholder Action by Written Consent</w:t>
      </w:r>
      <w:r>
        <w:rPr>
          <w:rFonts w:ascii="Times New Roman" w:cs="Times New Roman" w:eastAsia="Times New Roman" w:hAnsi="Times New Roman"/>
          <w:sz w:val="18"/>
          <w:szCs w:val="18"/>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5" w:name="page86"/>
    <w:bookmarkEnd w:id="85"/>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nor the adoption of any provision of these Articles inconsistent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shall eliminate, reduce or otherwise adversely affect any limitation on the personal liability of a director or officer of the Corporation existing at the time of such amendment, repeal or adoption of such an inconsistent provision.</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SEVERABILITY AND AMENDMENT</w:t>
      </w:r>
    </w:p>
    <w:p>
      <w:pPr>
        <w:spacing w:after="0" w:line="99"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1.  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Except as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clause (i)(b)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6" w:name="page87"/>
    <w:bookmarkEnd w:id="8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F</w:t>
      </w:r>
    </w:p>
    <w:p>
      <w:pPr>
        <w:spacing w:after="0" w:line="3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5"/>
          <w:szCs w:val="25"/>
          <w:b w:val="1"/>
          <w:bCs w:val="1"/>
          <w:color w:val="auto"/>
        </w:rPr>
        <w:t>BYLAWS OF</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Dropbox, Inc.</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(effective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107315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-29210</wp:posOffset>
            </wp:positionV>
            <wp:extent cx="685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01"/>
        </w:trPr>
        <w:tc>
          <w:tcPr>
            <w:tcW w:w="282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w w:val="98"/>
              </w:rPr>
              <w:t>ARTICLE I - CORPORATE OFFICES</w:t>
            </w:r>
          </w:p>
        </w:tc>
        <w:tc>
          <w:tcPr>
            <w:tcW w:w="5160" w:type="dxa"/>
            <w:vAlign w:val="bottom"/>
            <w:gridSpan w:val="28"/>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2820" w:type="dxa"/>
            <w:vAlign w:val="bottom"/>
            <w:tcBorders>
              <w:top w:val="single" w:sz="8" w:color="0000EE"/>
            </w:tcBorders>
            <w:gridSpan w:val="25"/>
            <w:shd w:val="clear" w:color="auto" w:fill="CCEEFF"/>
          </w:tcPr>
          <w:p>
            <w:pPr>
              <w:spacing w:after="0"/>
              <w:rPr>
                <w:sz w:val="2"/>
                <w:szCs w:val="2"/>
                <w:color w:val="auto"/>
              </w:rPr>
            </w:pPr>
          </w:p>
        </w:tc>
        <w:tc>
          <w:tcPr>
            <w:tcW w:w="5280" w:type="dxa"/>
            <w:vAlign w:val="bottom"/>
            <w:tcBorders>
              <w:top w:val="single" w:sz="8" w:color="CCEEFF"/>
            </w:tcBorders>
            <w:gridSpan w:val="3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206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REGISTERED OFFICE</w:t>
            </w:r>
          </w:p>
        </w:tc>
        <w:tc>
          <w:tcPr>
            <w:tcW w:w="5160" w:type="dxa"/>
            <w:vAlign w:val="bottom"/>
            <w:gridSpan w:val="28"/>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1760" w:type="dxa"/>
            <w:vAlign w:val="bottom"/>
            <w:tcBorders>
              <w:top w:val="single" w:sz="8" w:color="0000EE"/>
            </w:tcBorders>
            <w:gridSpan w:val="16"/>
          </w:tcPr>
          <w:p>
            <w:pPr>
              <w:spacing w:after="0"/>
              <w:rPr>
                <w:sz w:val="2"/>
                <w:szCs w:val="2"/>
                <w:color w:val="auto"/>
              </w:rPr>
            </w:pPr>
          </w:p>
        </w:tc>
        <w:tc>
          <w:tcPr>
            <w:tcW w:w="5520" w:type="dxa"/>
            <w:vAlign w:val="bottom"/>
            <w:gridSpan w:val="34"/>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OFFICES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360" w:type="dxa"/>
            <w:vAlign w:val="bottom"/>
            <w:tcBorders>
              <w:top w:val="single" w:sz="8" w:color="0000EE"/>
            </w:tcBorders>
            <w:gridSpan w:val="10"/>
            <w:shd w:val="clear" w:color="auto" w:fill="CCEEFF"/>
          </w:tcPr>
          <w:p>
            <w:pPr>
              <w:spacing w:after="0"/>
              <w:rPr>
                <w:sz w:val="2"/>
                <w:szCs w:val="2"/>
                <w:color w:val="auto"/>
              </w:rPr>
            </w:pPr>
          </w:p>
        </w:tc>
        <w:tc>
          <w:tcPr>
            <w:tcW w:w="5920" w:type="dxa"/>
            <w:vAlign w:val="bottom"/>
            <w:tcBorders>
              <w:top w:val="single" w:sz="8" w:color="CCEEFF"/>
            </w:tcBorders>
            <w:gridSpan w:val="4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II - MEETINGS OF STOCKHOLDERS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700" w:type="dxa"/>
            <w:vAlign w:val="bottom"/>
            <w:tcBorders>
              <w:top w:val="single" w:sz="8" w:color="0000EE"/>
            </w:tcBorders>
            <w:gridSpan w:val="38"/>
          </w:tcPr>
          <w:p>
            <w:pPr>
              <w:spacing w:after="0"/>
              <w:rPr>
                <w:sz w:val="2"/>
                <w:szCs w:val="2"/>
                <w:color w:val="auto"/>
              </w:rPr>
            </w:pPr>
          </w:p>
        </w:tc>
        <w:tc>
          <w:tcPr>
            <w:tcW w:w="4400" w:type="dxa"/>
            <w:vAlign w:val="bottom"/>
            <w:gridSpan w:val="17"/>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PLACE OF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00" w:type="dxa"/>
            <w:vAlign w:val="bottom"/>
            <w:tcBorders>
              <w:top w:val="single" w:sz="8" w:color="0000EE"/>
            </w:tcBorders>
            <w:gridSpan w:val="17"/>
            <w:shd w:val="clear" w:color="auto" w:fill="CCEEFF"/>
          </w:tcPr>
          <w:p>
            <w:pPr>
              <w:spacing w:after="0"/>
              <w:rPr>
                <w:sz w:val="2"/>
                <w:szCs w:val="2"/>
                <w:color w:val="auto"/>
              </w:rPr>
            </w:pPr>
          </w:p>
        </w:tc>
        <w:tc>
          <w:tcPr>
            <w:tcW w:w="5480" w:type="dxa"/>
            <w:vAlign w:val="bottom"/>
            <w:tcBorders>
              <w:top w:val="single" w:sz="8" w:color="CCEEFF"/>
            </w:tcBorders>
            <w:gridSpan w:val="33"/>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ANNUAL MEETING</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1600" w:type="dxa"/>
            <w:vAlign w:val="bottom"/>
            <w:tcBorders>
              <w:top w:val="single" w:sz="8" w:color="0000EE"/>
            </w:tcBorders>
            <w:gridSpan w:val="14"/>
          </w:tcPr>
          <w:p>
            <w:pPr>
              <w:spacing w:after="0"/>
              <w:rPr>
                <w:sz w:val="2"/>
                <w:szCs w:val="2"/>
                <w:color w:val="auto"/>
              </w:rPr>
            </w:pPr>
          </w:p>
        </w:tc>
        <w:tc>
          <w:tcPr>
            <w:tcW w:w="5680" w:type="dxa"/>
            <w:vAlign w:val="bottom"/>
            <w:gridSpan w:val="3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MEETING</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80" w:type="dxa"/>
            <w:vAlign w:val="bottom"/>
            <w:tcBorders>
              <w:top w:val="single" w:sz="8" w:color="0000EE"/>
            </w:tcBorders>
            <w:gridSpan w:val="13"/>
            <w:shd w:val="clear" w:color="auto" w:fill="CCEEFF"/>
          </w:tcPr>
          <w:p>
            <w:pPr>
              <w:spacing w:after="0"/>
              <w:rPr>
                <w:sz w:val="2"/>
                <w:szCs w:val="2"/>
                <w:color w:val="auto"/>
              </w:rPr>
            </w:pPr>
          </w:p>
        </w:tc>
        <w:tc>
          <w:tcPr>
            <w:tcW w:w="5700" w:type="dxa"/>
            <w:vAlign w:val="bottom"/>
            <w:tcBorders>
              <w:top w:val="single" w:sz="8" w:color="CCEEFF"/>
            </w:tcBorders>
            <w:gridSpan w:val="37"/>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ADVANCE NOTICE PROCEDURES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780" w:type="dxa"/>
            <w:vAlign w:val="bottom"/>
            <w:tcBorders>
              <w:top w:val="single" w:sz="8" w:color="0000EE"/>
            </w:tcBorders>
            <w:gridSpan w:val="31"/>
          </w:tcPr>
          <w:p>
            <w:pPr>
              <w:spacing w:after="0"/>
              <w:rPr>
                <w:sz w:val="2"/>
                <w:szCs w:val="2"/>
                <w:color w:val="auto"/>
              </w:rPr>
            </w:pPr>
          </w:p>
        </w:tc>
        <w:tc>
          <w:tcPr>
            <w:tcW w:w="4500" w:type="dxa"/>
            <w:vAlign w:val="bottom"/>
            <w:gridSpan w:val="19"/>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OF STOCKHOLDERS’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400" w:type="dxa"/>
            <w:vAlign w:val="bottom"/>
            <w:tcBorders>
              <w:top w:val="single" w:sz="8" w:color="0000EE"/>
            </w:tcBorders>
            <w:gridSpan w:val="35"/>
            <w:shd w:val="clear" w:color="auto" w:fill="CCEEFF"/>
          </w:tcPr>
          <w:p>
            <w:pPr>
              <w:spacing w:after="0"/>
              <w:rPr>
                <w:sz w:val="2"/>
                <w:szCs w:val="2"/>
                <w:color w:val="auto"/>
              </w:rPr>
            </w:pPr>
          </w:p>
        </w:tc>
        <w:tc>
          <w:tcPr>
            <w:tcW w:w="3880" w:type="dxa"/>
            <w:vAlign w:val="bottom"/>
            <w:tcBorders>
              <w:top w:val="single" w:sz="8" w:color="CCEEFF"/>
            </w:tcBorders>
            <w:gridSpan w:val="15"/>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QUORUM</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800" w:type="dxa"/>
            <w:vAlign w:val="bottom"/>
            <w:tcBorders>
              <w:top w:val="single" w:sz="8" w:color="0000EE"/>
            </w:tcBorders>
            <w:gridSpan w:val="4"/>
          </w:tcPr>
          <w:p>
            <w:pPr>
              <w:spacing w:after="0"/>
              <w:rPr>
                <w:sz w:val="2"/>
                <w:szCs w:val="2"/>
                <w:color w:val="auto"/>
              </w:rPr>
            </w:pPr>
          </w:p>
        </w:tc>
        <w:tc>
          <w:tcPr>
            <w:tcW w:w="6480" w:type="dxa"/>
            <w:vAlign w:val="bottom"/>
            <w:gridSpan w:val="4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ADJOURNED MEETING; NOTICE</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680" w:type="dxa"/>
            <w:vAlign w:val="bottom"/>
            <w:tcBorders>
              <w:top w:val="single" w:sz="8" w:color="0000EE"/>
            </w:tcBorders>
            <w:gridSpan w:val="30"/>
            <w:shd w:val="clear" w:color="auto" w:fill="CCEEFF"/>
          </w:tcPr>
          <w:p>
            <w:pPr>
              <w:spacing w:after="0"/>
              <w:rPr>
                <w:sz w:val="2"/>
                <w:szCs w:val="2"/>
                <w:color w:val="auto"/>
              </w:rPr>
            </w:pPr>
          </w:p>
        </w:tc>
        <w:tc>
          <w:tcPr>
            <w:tcW w:w="4600" w:type="dxa"/>
            <w:vAlign w:val="bottom"/>
            <w:tcBorders>
              <w:top w:val="single" w:sz="8" w:color="CCEEFF"/>
            </w:tcBorders>
            <w:gridSpan w:val="2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CONDUCT OF BUSINESS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040" w:type="dxa"/>
            <w:vAlign w:val="bottom"/>
            <w:tcBorders>
              <w:top w:val="single" w:sz="8" w:color="0000EE"/>
            </w:tcBorders>
            <w:gridSpan w:val="21"/>
          </w:tcPr>
          <w:p>
            <w:pPr>
              <w:spacing w:after="0"/>
              <w:rPr>
                <w:sz w:val="2"/>
                <w:szCs w:val="2"/>
                <w:color w:val="auto"/>
              </w:rPr>
            </w:pPr>
          </w:p>
        </w:tc>
        <w:tc>
          <w:tcPr>
            <w:tcW w:w="5240" w:type="dxa"/>
            <w:vAlign w:val="bottom"/>
            <w:gridSpan w:val="29"/>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VOTING</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600" w:type="dxa"/>
            <w:vAlign w:val="bottom"/>
            <w:tcBorders>
              <w:top w:val="single" w:sz="8" w:color="CCEEFF"/>
            </w:tcBorders>
            <w:gridSpan w:val="49"/>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STOCKHOLDER ACTION BY CONSENT WITHOUT A MEETING</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120" w:type="dxa"/>
            <w:vAlign w:val="bottom"/>
            <w:tcBorders>
              <w:top w:val="single" w:sz="8" w:color="0000EE"/>
            </w:tcBorders>
            <w:gridSpan w:val="44"/>
          </w:tcPr>
          <w:p>
            <w:pPr>
              <w:spacing w:after="0"/>
              <w:rPr>
                <w:sz w:val="2"/>
                <w:szCs w:val="2"/>
                <w:color w:val="auto"/>
              </w:rPr>
            </w:pPr>
          </w:p>
        </w:tc>
        <w:tc>
          <w:tcPr>
            <w:tcW w:w="2160" w:type="dxa"/>
            <w:vAlign w:val="bottom"/>
            <w:gridSpan w:val="6"/>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11</w:t>
            </w: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RECORD DATES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1340" w:type="dxa"/>
            <w:vAlign w:val="bottom"/>
            <w:tcBorders>
              <w:top w:val="single" w:sz="8" w:color="0000EE"/>
            </w:tcBorders>
            <w:gridSpan w:val="9"/>
            <w:shd w:val="clear" w:color="auto" w:fill="CCEEFF"/>
          </w:tcPr>
          <w:p>
            <w:pPr>
              <w:spacing w:after="0"/>
              <w:rPr>
                <w:sz w:val="2"/>
                <w:szCs w:val="2"/>
                <w:color w:val="auto"/>
              </w:rPr>
            </w:pPr>
          </w:p>
        </w:tc>
        <w:tc>
          <w:tcPr>
            <w:tcW w:w="5940" w:type="dxa"/>
            <w:vAlign w:val="bottom"/>
            <w:tcBorders>
              <w:top w:val="single" w:sz="8" w:color="CCEEFF"/>
            </w:tcBorders>
            <w:gridSpan w:val="41"/>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PROXIES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top w:val="single" w:sz="8" w:color="0000EE"/>
            </w:tcBorders>
            <w:gridSpan w:val="3"/>
          </w:tcPr>
          <w:p>
            <w:pPr>
              <w:spacing w:after="0"/>
              <w:rPr>
                <w:sz w:val="2"/>
                <w:szCs w:val="2"/>
                <w:color w:val="auto"/>
              </w:rPr>
            </w:pPr>
          </w:p>
        </w:tc>
        <w:tc>
          <w:tcPr>
            <w:tcW w:w="6540" w:type="dxa"/>
            <w:vAlign w:val="bottom"/>
            <w:gridSpan w:val="47"/>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13</w:t>
            </w: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LIST OF STOCKHOLDERS ENTITLED TO VOTE</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3840" w:type="dxa"/>
            <w:vAlign w:val="bottom"/>
            <w:tcBorders>
              <w:top w:val="single" w:sz="8" w:color="0000EE"/>
            </w:tcBorders>
            <w:gridSpan w:val="42"/>
            <w:shd w:val="clear" w:color="auto" w:fill="CCEEFF"/>
          </w:tcPr>
          <w:p>
            <w:pPr>
              <w:spacing w:after="0"/>
              <w:rPr>
                <w:sz w:val="2"/>
                <w:szCs w:val="2"/>
                <w:color w:val="auto"/>
              </w:rPr>
            </w:pPr>
          </w:p>
        </w:tc>
        <w:tc>
          <w:tcPr>
            <w:tcW w:w="3440" w:type="dxa"/>
            <w:vAlign w:val="bottom"/>
            <w:tcBorders>
              <w:top w:val="single" w:sz="8" w:color="CCEEFF"/>
            </w:tcBorders>
            <w:gridSpan w:val="8"/>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14</w:t>
            </w: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INSPECTORS OF ELECTION</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280" w:type="dxa"/>
            <w:vAlign w:val="bottom"/>
            <w:tcBorders>
              <w:top w:val="single" w:sz="8" w:color="0000EE"/>
            </w:tcBorders>
            <w:gridSpan w:val="25"/>
          </w:tcPr>
          <w:p>
            <w:pPr>
              <w:spacing w:after="0"/>
              <w:rPr>
                <w:sz w:val="2"/>
                <w:szCs w:val="2"/>
                <w:color w:val="auto"/>
              </w:rPr>
            </w:pPr>
          </w:p>
        </w:tc>
        <w:tc>
          <w:tcPr>
            <w:tcW w:w="5000" w:type="dxa"/>
            <w:vAlign w:val="bottom"/>
            <w:gridSpan w:val="25"/>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2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 III - DIRECTORS</w:t>
            </w:r>
          </w:p>
        </w:tc>
        <w:tc>
          <w:tcPr>
            <w:tcW w:w="5860" w:type="dxa"/>
            <w:vAlign w:val="bottom"/>
            <w:gridSpan w:val="40"/>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2120" w:type="dxa"/>
            <w:vAlign w:val="bottom"/>
            <w:tcBorders>
              <w:top w:val="single" w:sz="8" w:color="0000EE"/>
            </w:tcBorders>
            <w:gridSpan w:val="13"/>
            <w:shd w:val="clear" w:color="auto" w:fill="CCEEFF"/>
          </w:tcPr>
          <w:p>
            <w:pPr>
              <w:spacing w:after="0"/>
              <w:rPr>
                <w:sz w:val="2"/>
                <w:szCs w:val="2"/>
                <w:color w:val="auto"/>
              </w:rPr>
            </w:pPr>
          </w:p>
        </w:tc>
        <w:tc>
          <w:tcPr>
            <w:tcW w:w="5980" w:type="dxa"/>
            <w:vAlign w:val="bottom"/>
            <w:tcBorders>
              <w:top w:val="single" w:sz="8" w:color="CCEEFF"/>
            </w:tcBorders>
            <w:gridSpan w:val="42"/>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1360" w:type="dxa"/>
            <w:vAlign w:val="bottom"/>
            <w:gridSpan w:val="9"/>
          </w:tcPr>
          <w:p>
            <w:pPr>
              <w:ind w:left="60"/>
              <w:spacing w:after="0" w:line="176" w:lineRule="exact"/>
              <w:rPr>
                <w:sz w:val="20"/>
                <w:szCs w:val="20"/>
                <w:color w:val="auto"/>
              </w:rPr>
            </w:pPr>
            <w:r>
              <w:rPr>
                <w:rFonts w:ascii="Times New Roman" w:cs="Times New Roman" w:eastAsia="Times New Roman" w:hAnsi="Times New Roman"/>
                <w:sz w:val="18"/>
                <w:szCs w:val="18"/>
                <w:color w:val="0000EE"/>
              </w:rPr>
              <w:t>POWERS</w:t>
            </w:r>
          </w:p>
        </w:tc>
        <w:tc>
          <w:tcPr>
            <w:tcW w:w="5860" w:type="dxa"/>
            <w:vAlign w:val="bottom"/>
            <w:gridSpan w:val="40"/>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720" w:type="dxa"/>
            <w:vAlign w:val="bottom"/>
            <w:tcBorders>
              <w:top w:val="single" w:sz="8" w:color="0000EE"/>
            </w:tcBorders>
            <w:gridSpan w:val="2"/>
          </w:tcPr>
          <w:p>
            <w:pPr>
              <w:spacing w:after="0"/>
              <w:rPr>
                <w:sz w:val="2"/>
                <w:szCs w:val="2"/>
                <w:color w:val="auto"/>
              </w:rPr>
            </w:pPr>
          </w:p>
        </w:tc>
        <w:tc>
          <w:tcPr>
            <w:tcW w:w="6560" w:type="dxa"/>
            <w:vAlign w:val="bottom"/>
            <w:gridSpan w:val="48"/>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NUMBER OF DIRECTORS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F-8</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080" w:type="dxa"/>
            <w:vAlign w:val="bottom"/>
            <w:tcBorders>
              <w:top w:val="single" w:sz="8" w:color="0000EE"/>
            </w:tcBorders>
            <w:gridSpan w:val="22"/>
            <w:shd w:val="clear" w:color="auto" w:fill="CCEEFF"/>
          </w:tcPr>
          <w:p>
            <w:pPr>
              <w:spacing w:after="0"/>
              <w:rPr>
                <w:sz w:val="2"/>
                <w:szCs w:val="2"/>
                <w:color w:val="auto"/>
              </w:rPr>
            </w:pPr>
          </w:p>
        </w:tc>
        <w:tc>
          <w:tcPr>
            <w:tcW w:w="5200" w:type="dxa"/>
            <w:vAlign w:val="bottom"/>
            <w:tcBorders>
              <w:top w:val="single" w:sz="8" w:color="CCEEFF"/>
            </w:tcBorders>
            <w:gridSpan w:val="28"/>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ELECTION, QUALIFICATION AND TERM OF OFFICE OF DIRECTORS</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580" w:type="dxa"/>
            <w:vAlign w:val="bottom"/>
            <w:tcBorders>
              <w:top w:val="single" w:sz="8" w:color="0000EE"/>
            </w:tcBorders>
            <w:gridSpan w:val="47"/>
          </w:tcPr>
          <w:p>
            <w:pPr>
              <w:spacing w:after="0"/>
              <w:rPr>
                <w:sz w:val="2"/>
                <w:szCs w:val="2"/>
                <w:color w:val="auto"/>
              </w:rPr>
            </w:pPr>
          </w:p>
        </w:tc>
        <w:tc>
          <w:tcPr>
            <w:tcW w:w="1700" w:type="dxa"/>
            <w:vAlign w:val="bottom"/>
            <w:gridSpan w:val="3"/>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RESIGNATION AND VACANCIES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680" w:type="dxa"/>
            <w:vAlign w:val="bottom"/>
            <w:tcBorders>
              <w:top w:val="single" w:sz="8" w:color="0000EE"/>
            </w:tcBorders>
            <w:gridSpan w:val="30"/>
            <w:shd w:val="clear" w:color="auto" w:fill="CCEEFF"/>
          </w:tcPr>
          <w:p>
            <w:pPr>
              <w:spacing w:after="0"/>
              <w:rPr>
                <w:sz w:val="2"/>
                <w:szCs w:val="2"/>
                <w:color w:val="auto"/>
              </w:rPr>
            </w:pPr>
          </w:p>
        </w:tc>
        <w:tc>
          <w:tcPr>
            <w:tcW w:w="4600" w:type="dxa"/>
            <w:vAlign w:val="bottom"/>
            <w:tcBorders>
              <w:top w:val="single" w:sz="8" w:color="CCEEFF"/>
            </w:tcBorders>
            <w:gridSpan w:val="20"/>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PLACE OF MEETINGS; MEETINGS BY REMOTE COMMUNICATION</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480" w:type="dxa"/>
            <w:vAlign w:val="bottom"/>
            <w:tcBorders>
              <w:top w:val="single" w:sz="8" w:color="0000EE"/>
            </w:tcBorders>
            <w:gridSpan w:val="46"/>
          </w:tcPr>
          <w:p>
            <w:pPr>
              <w:spacing w:after="0"/>
              <w:rPr>
                <w:sz w:val="2"/>
                <w:szCs w:val="2"/>
                <w:color w:val="auto"/>
              </w:rPr>
            </w:pPr>
          </w:p>
        </w:tc>
        <w:tc>
          <w:tcPr>
            <w:tcW w:w="1800" w:type="dxa"/>
            <w:vAlign w:val="bottom"/>
            <w:gridSpan w:val="4"/>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REGULAR MEETINGS</w:t>
            </w:r>
          </w:p>
        </w:tc>
        <w:tc>
          <w:tcPr>
            <w:tcW w:w="4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00" w:type="dxa"/>
            <w:vAlign w:val="bottom"/>
            <w:tcBorders>
              <w:top w:val="single" w:sz="8" w:color="0000EE"/>
            </w:tcBorders>
            <w:gridSpan w:val="17"/>
            <w:shd w:val="clear" w:color="auto" w:fill="CCEEFF"/>
          </w:tcPr>
          <w:p>
            <w:pPr>
              <w:spacing w:after="0"/>
              <w:rPr>
                <w:sz w:val="2"/>
                <w:szCs w:val="2"/>
                <w:color w:val="auto"/>
              </w:rPr>
            </w:pPr>
          </w:p>
        </w:tc>
        <w:tc>
          <w:tcPr>
            <w:tcW w:w="5480" w:type="dxa"/>
            <w:vAlign w:val="bottom"/>
            <w:tcBorders>
              <w:top w:val="single" w:sz="8" w:color="CCEEFF"/>
            </w:tcBorders>
            <w:gridSpan w:val="33"/>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MEETINGS; NOTICE</w:t>
            </w:r>
          </w:p>
        </w:tc>
        <w:tc>
          <w:tcPr>
            <w:tcW w:w="40" w:type="dxa"/>
            <w:vAlign w:val="bottom"/>
          </w:tcPr>
          <w:p>
            <w:pPr>
              <w:spacing w:after="0"/>
              <w:rPr>
                <w:sz w:val="15"/>
                <w:szCs w:val="15"/>
                <w:color w:val="auto"/>
              </w:rPr>
            </w:pPr>
          </w:p>
        </w:tc>
        <w:tc>
          <w:tcPr>
            <w:tcW w:w="400" w:type="dxa"/>
            <w:vAlign w:val="bottom"/>
            <w:gridSpan w:val="4"/>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F-9</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40" w:type="dxa"/>
            <w:vAlign w:val="bottom"/>
            <w:tcBorders>
              <w:top w:val="single" w:sz="8" w:color="0000EE"/>
            </w:tcBorders>
            <w:gridSpan w:val="27"/>
          </w:tcPr>
          <w:p>
            <w:pPr>
              <w:spacing w:after="0"/>
              <w:rPr>
                <w:sz w:val="2"/>
                <w:szCs w:val="2"/>
                <w:color w:val="auto"/>
              </w:rPr>
            </w:pPr>
          </w:p>
        </w:tc>
        <w:tc>
          <w:tcPr>
            <w:tcW w:w="4840" w:type="dxa"/>
            <w:vAlign w:val="bottom"/>
            <w:gridSpan w:val="23"/>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QUORUM; VOTING</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80" w:type="dxa"/>
            <w:vAlign w:val="bottom"/>
            <w:tcBorders>
              <w:top w:val="single" w:sz="8" w:color="0000EE"/>
            </w:tcBorders>
            <w:gridSpan w:val="13"/>
            <w:shd w:val="clear" w:color="auto" w:fill="CCEEFF"/>
          </w:tcPr>
          <w:p>
            <w:pPr>
              <w:spacing w:after="0"/>
              <w:rPr>
                <w:sz w:val="2"/>
                <w:szCs w:val="2"/>
                <w:color w:val="auto"/>
              </w:rPr>
            </w:pPr>
          </w:p>
        </w:tc>
        <w:tc>
          <w:tcPr>
            <w:tcW w:w="5620" w:type="dxa"/>
            <w:vAlign w:val="bottom"/>
            <w:tcBorders>
              <w:top w:val="single" w:sz="8" w:color="CCEEFF"/>
            </w:tcBorders>
            <w:gridSpan w:val="36"/>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BOARD ACTION BY WRITTEN CONSENT WITHOUT A MEETING</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5280" w:type="dxa"/>
            <w:vAlign w:val="bottom"/>
            <w:tcBorders>
              <w:top w:val="single" w:sz="8" w:color="0000EE"/>
            </w:tcBorders>
            <w:gridSpan w:val="45"/>
          </w:tcPr>
          <w:p>
            <w:pPr>
              <w:spacing w:after="0"/>
              <w:rPr>
                <w:sz w:val="2"/>
                <w:szCs w:val="2"/>
                <w:color w:val="auto"/>
              </w:rPr>
            </w:pPr>
          </w:p>
        </w:tc>
        <w:tc>
          <w:tcPr>
            <w:tcW w:w="1920" w:type="dxa"/>
            <w:vAlign w:val="bottom"/>
            <w:gridSpan w:val="4"/>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FEES AND COMPENSATION OF DIRECTORS</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120" w:type="dxa"/>
            <w:vAlign w:val="bottom"/>
            <w:tcBorders>
              <w:top w:val="single" w:sz="8" w:color="CCEEFF"/>
            </w:tcBorders>
            <w:gridSpan w:val="2"/>
            <w:shd w:val="clear" w:color="auto" w:fill="CCEEFF"/>
          </w:tcPr>
          <w:p>
            <w:pPr>
              <w:spacing w:after="0"/>
              <w:rPr>
                <w:sz w:val="2"/>
                <w:szCs w:val="2"/>
                <w:color w:val="auto"/>
              </w:rPr>
            </w:pPr>
          </w:p>
        </w:tc>
        <w:tc>
          <w:tcPr>
            <w:tcW w:w="3600" w:type="dxa"/>
            <w:vAlign w:val="bottom"/>
            <w:tcBorders>
              <w:top w:val="single" w:sz="8" w:color="0000EE"/>
            </w:tcBorders>
            <w:gridSpan w:val="39"/>
            <w:shd w:val="clear" w:color="auto" w:fill="CCEEFF"/>
          </w:tcPr>
          <w:p>
            <w:pPr>
              <w:spacing w:after="0"/>
              <w:rPr>
                <w:sz w:val="2"/>
                <w:szCs w:val="2"/>
                <w:color w:val="auto"/>
              </w:rPr>
            </w:pPr>
          </w:p>
        </w:tc>
        <w:tc>
          <w:tcPr>
            <w:tcW w:w="3600" w:type="dxa"/>
            <w:vAlign w:val="bottom"/>
            <w:tcBorders>
              <w:top w:val="single" w:sz="8" w:color="CCEEFF"/>
            </w:tcBorders>
            <w:gridSpan w:val="10"/>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11</w:t>
            </w: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REMOVAL OF DIRECTORS</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180" w:type="dxa"/>
            <w:vAlign w:val="bottom"/>
            <w:tcBorders>
              <w:top w:val="single" w:sz="8" w:color="0000EE"/>
            </w:tcBorders>
            <w:gridSpan w:val="24"/>
          </w:tcPr>
          <w:p>
            <w:pPr>
              <w:spacing w:after="0"/>
              <w:rPr>
                <w:sz w:val="2"/>
                <w:szCs w:val="2"/>
                <w:color w:val="auto"/>
              </w:rPr>
            </w:pPr>
          </w:p>
        </w:tc>
        <w:tc>
          <w:tcPr>
            <w:tcW w:w="5020" w:type="dxa"/>
            <w:vAlign w:val="bottom"/>
            <w:gridSpan w:val="25"/>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23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 IV - COMMITTEES</w:t>
            </w:r>
          </w:p>
        </w:tc>
        <w:tc>
          <w:tcPr>
            <w:tcW w:w="5680" w:type="dxa"/>
            <w:vAlign w:val="bottom"/>
            <w:gridSpan w:val="37"/>
            <w:shd w:val="clear" w:color="auto" w:fill="CCEEFF"/>
          </w:tcPr>
          <w:p>
            <w:pPr>
              <w:spacing w:after="0"/>
              <w:rPr>
                <w:sz w:val="15"/>
                <w:szCs w:val="15"/>
                <w:color w:val="auto"/>
              </w:rPr>
            </w:pP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2300" w:type="dxa"/>
            <w:vAlign w:val="bottom"/>
            <w:tcBorders>
              <w:top w:val="single" w:sz="8" w:color="0000EE"/>
            </w:tcBorders>
            <w:gridSpan w:val="16"/>
            <w:shd w:val="clear" w:color="auto" w:fill="CCEEFF"/>
          </w:tcPr>
          <w:p>
            <w:pPr>
              <w:spacing w:after="0"/>
              <w:rPr>
                <w:sz w:val="2"/>
                <w:szCs w:val="2"/>
                <w:color w:val="auto"/>
              </w:rPr>
            </w:pPr>
          </w:p>
        </w:tc>
        <w:tc>
          <w:tcPr>
            <w:tcW w:w="5720" w:type="dxa"/>
            <w:vAlign w:val="bottom"/>
            <w:tcBorders>
              <w:top w:val="single" w:sz="8" w:color="CCEEFF"/>
            </w:tcBorders>
            <w:gridSpan w:val="38"/>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COMMITTEES OF DIRECTORS</w:t>
            </w:r>
          </w:p>
        </w:tc>
        <w:tc>
          <w:tcPr>
            <w:tcW w:w="440" w:type="dxa"/>
            <w:vAlign w:val="bottom"/>
            <w:gridSpan w:val="5"/>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80" w:type="dxa"/>
            <w:vAlign w:val="bottom"/>
            <w:tcBorders>
              <w:top w:val="single" w:sz="8" w:color="0000EE"/>
            </w:tcBorders>
            <w:gridSpan w:val="28"/>
          </w:tcPr>
          <w:p>
            <w:pPr>
              <w:spacing w:after="0"/>
              <w:rPr>
                <w:sz w:val="2"/>
                <w:szCs w:val="2"/>
                <w:color w:val="auto"/>
              </w:rPr>
            </w:pPr>
          </w:p>
        </w:tc>
        <w:tc>
          <w:tcPr>
            <w:tcW w:w="4720" w:type="dxa"/>
            <w:vAlign w:val="bottom"/>
            <w:gridSpan w:val="21"/>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COMMITTEE MINUTES</w:t>
            </w:r>
          </w:p>
        </w:tc>
        <w:tc>
          <w:tcPr>
            <w:tcW w:w="44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F-10</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900" w:type="dxa"/>
            <w:vAlign w:val="bottom"/>
            <w:tcBorders>
              <w:top w:val="single" w:sz="8" w:color="0000EE"/>
            </w:tcBorders>
            <w:gridSpan w:val="19"/>
            <w:shd w:val="clear" w:color="auto" w:fill="CCEEFF"/>
          </w:tcPr>
          <w:p>
            <w:pPr>
              <w:spacing w:after="0"/>
              <w:rPr>
                <w:sz w:val="2"/>
                <w:szCs w:val="2"/>
                <w:color w:val="auto"/>
              </w:rPr>
            </w:pPr>
          </w:p>
        </w:tc>
        <w:tc>
          <w:tcPr>
            <w:tcW w:w="5300" w:type="dxa"/>
            <w:vAlign w:val="bottom"/>
            <w:tcBorders>
              <w:top w:val="single" w:sz="8" w:color="CCEEFF"/>
            </w:tcBorders>
            <w:gridSpan w:val="30"/>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MEETINGS AND ACTION OF COMMITTEES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560" w:type="dxa"/>
            <w:vAlign w:val="bottom"/>
            <w:tcBorders>
              <w:top w:val="single" w:sz="8" w:color="0000EE"/>
            </w:tcBorders>
            <w:gridSpan w:val="38"/>
          </w:tcPr>
          <w:p>
            <w:pPr>
              <w:spacing w:after="0"/>
              <w:rPr>
                <w:sz w:val="2"/>
                <w:szCs w:val="2"/>
                <w:color w:val="auto"/>
              </w:rPr>
            </w:pPr>
          </w:p>
        </w:tc>
        <w:tc>
          <w:tcPr>
            <w:tcW w:w="3640" w:type="dxa"/>
            <w:vAlign w:val="bottom"/>
            <w:gridSpan w:val="11"/>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SUBCOMMITTEES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520" w:type="dxa"/>
            <w:vAlign w:val="bottom"/>
            <w:tcBorders>
              <w:top w:val="single" w:sz="8" w:color="0000EE"/>
            </w:tcBorders>
            <w:gridSpan w:val="12"/>
            <w:shd w:val="clear" w:color="auto" w:fill="CCEEFF"/>
          </w:tcPr>
          <w:p>
            <w:pPr>
              <w:spacing w:after="0"/>
              <w:rPr>
                <w:sz w:val="2"/>
                <w:szCs w:val="2"/>
                <w:color w:val="auto"/>
              </w:rPr>
            </w:pPr>
          </w:p>
        </w:tc>
        <w:tc>
          <w:tcPr>
            <w:tcW w:w="5680" w:type="dxa"/>
            <w:vAlign w:val="bottom"/>
            <w:tcBorders>
              <w:top w:val="single" w:sz="8" w:color="CCEEFF"/>
            </w:tcBorders>
            <w:gridSpan w:val="37"/>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V -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1900" w:type="dxa"/>
            <w:vAlign w:val="bottom"/>
            <w:tcBorders>
              <w:top w:val="single" w:sz="8" w:color="0000EE"/>
            </w:tcBorders>
            <w:gridSpan w:val="12"/>
          </w:tcPr>
          <w:p>
            <w:pPr>
              <w:spacing w:after="0"/>
              <w:rPr>
                <w:sz w:val="2"/>
                <w:szCs w:val="2"/>
                <w:color w:val="auto"/>
              </w:rPr>
            </w:pPr>
          </w:p>
        </w:tc>
        <w:tc>
          <w:tcPr>
            <w:tcW w:w="6120" w:type="dxa"/>
            <w:vAlign w:val="bottom"/>
            <w:gridSpan w:val="42"/>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OFFICERS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840" w:type="dxa"/>
            <w:vAlign w:val="bottom"/>
            <w:tcBorders>
              <w:top w:val="single" w:sz="8" w:color="0000EE"/>
            </w:tcBorders>
            <w:gridSpan w:val="5"/>
            <w:shd w:val="clear" w:color="auto" w:fill="CCEEFF"/>
          </w:tcPr>
          <w:p>
            <w:pPr>
              <w:spacing w:after="0"/>
              <w:rPr>
                <w:sz w:val="2"/>
                <w:szCs w:val="2"/>
                <w:color w:val="auto"/>
              </w:rPr>
            </w:pPr>
          </w:p>
        </w:tc>
        <w:tc>
          <w:tcPr>
            <w:tcW w:w="6360" w:type="dxa"/>
            <w:vAlign w:val="bottom"/>
            <w:tcBorders>
              <w:top w:val="single" w:sz="8" w:color="CCEEFF"/>
            </w:tcBorders>
            <w:gridSpan w:val="44"/>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APPOINTMENT OF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420" w:type="dxa"/>
            <w:vAlign w:val="bottom"/>
            <w:tcBorders>
              <w:top w:val="single" w:sz="8" w:color="0000EE"/>
            </w:tcBorders>
            <w:gridSpan w:val="26"/>
          </w:tcPr>
          <w:p>
            <w:pPr>
              <w:spacing w:after="0"/>
              <w:rPr>
                <w:sz w:val="2"/>
                <w:szCs w:val="2"/>
                <w:color w:val="auto"/>
              </w:rPr>
            </w:pPr>
          </w:p>
        </w:tc>
        <w:tc>
          <w:tcPr>
            <w:tcW w:w="4780" w:type="dxa"/>
            <w:vAlign w:val="bottom"/>
            <w:gridSpan w:val="23"/>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SUBORDINATE OFFICERS</w:t>
            </w:r>
          </w:p>
        </w:tc>
        <w:tc>
          <w:tcPr>
            <w:tcW w:w="4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120" w:type="dxa"/>
            <w:vAlign w:val="bottom"/>
            <w:tcBorders>
              <w:top w:val="single" w:sz="8" w:color="0000EE"/>
            </w:tcBorders>
            <w:gridSpan w:val="23"/>
            <w:shd w:val="clear" w:color="auto" w:fill="CCEEFF"/>
          </w:tcPr>
          <w:p>
            <w:pPr>
              <w:spacing w:after="0"/>
              <w:rPr>
                <w:sz w:val="2"/>
                <w:szCs w:val="2"/>
                <w:color w:val="auto"/>
              </w:rPr>
            </w:pPr>
          </w:p>
        </w:tc>
        <w:tc>
          <w:tcPr>
            <w:tcW w:w="5080" w:type="dxa"/>
            <w:vAlign w:val="bottom"/>
            <w:tcBorders>
              <w:top w:val="single" w:sz="8" w:color="CCEEFF"/>
            </w:tcBorders>
            <w:gridSpan w:val="26"/>
            <w:shd w:val="clear" w:color="auto" w:fill="CCEEFF"/>
          </w:tcPr>
          <w:p>
            <w:pPr>
              <w:spacing w:after="0"/>
              <w:rPr>
                <w:sz w:val="2"/>
                <w:szCs w:val="2"/>
                <w:color w:val="auto"/>
              </w:rPr>
            </w:pPr>
          </w:p>
        </w:tc>
        <w:tc>
          <w:tcPr>
            <w:tcW w:w="320" w:type="dxa"/>
            <w:vAlign w:val="bottom"/>
            <w:tcBorders>
              <w:top w:val="single" w:sz="8" w:color="0000EE"/>
            </w:tcBorders>
            <w:gridSpan w:val="2"/>
            <w:shd w:val="clear" w:color="auto" w:fill="CCEEFF"/>
          </w:tcPr>
          <w:p>
            <w:pPr>
              <w:spacing w:after="0"/>
              <w:rPr>
                <w:sz w:val="2"/>
                <w:szCs w:val="2"/>
                <w:color w:val="auto"/>
              </w:rPr>
            </w:pPr>
          </w:p>
        </w:tc>
        <w:tc>
          <w:tcPr>
            <w:tcW w:w="80" w:type="dxa"/>
            <w:vAlign w:val="bottom"/>
            <w:tcBorders>
              <w:top w:val="single" w:sz="8" w:color="CCEEFF"/>
            </w:tcBorders>
            <w:gridSpan w:val="2"/>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4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w w:val="99"/>
              </w:rPr>
              <w:t>F-11</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700" w:type="dxa"/>
            <w:vAlign w:val="bottom"/>
            <w:tcBorders>
              <w:top w:val="single" w:sz="8" w:color="0000EE"/>
            </w:tcBorders>
            <w:gridSpan w:val="40"/>
          </w:tcPr>
          <w:p>
            <w:pPr>
              <w:spacing w:after="0"/>
              <w:rPr>
                <w:sz w:val="2"/>
                <w:szCs w:val="2"/>
                <w:color w:val="auto"/>
              </w:rPr>
            </w:pPr>
          </w:p>
        </w:tc>
        <w:tc>
          <w:tcPr>
            <w:tcW w:w="3500" w:type="dxa"/>
            <w:vAlign w:val="bottom"/>
            <w:gridSpan w:val="9"/>
          </w:tcPr>
          <w:p>
            <w:pPr>
              <w:spacing w:after="0"/>
              <w:rPr>
                <w:sz w:val="2"/>
                <w:szCs w:val="2"/>
                <w:color w:val="auto"/>
              </w:rPr>
            </w:pPr>
          </w:p>
        </w:tc>
        <w:tc>
          <w:tcPr>
            <w:tcW w:w="320" w:type="dxa"/>
            <w:vAlign w:val="bottom"/>
            <w:tcBorders>
              <w:top w:val="single" w:sz="8" w:color="0000EE"/>
            </w:tcBorders>
            <w:gridSpan w:val="2"/>
          </w:tcPr>
          <w:p>
            <w:pPr>
              <w:spacing w:after="0"/>
              <w:rPr>
                <w:sz w:val="2"/>
                <w:szCs w:val="2"/>
                <w:color w:val="auto"/>
              </w:rPr>
            </w:pPr>
          </w:p>
        </w:tc>
        <w:tc>
          <w:tcPr>
            <w:tcW w:w="80" w:type="dxa"/>
            <w:vAlign w:val="bottom"/>
            <w:gridSpan w:val="2"/>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VACANCIES IN OFFICES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2000" w:type="dxa"/>
            <w:vAlign w:val="bottom"/>
            <w:tcBorders>
              <w:top w:val="single" w:sz="8" w:color="0000EE"/>
            </w:tcBorders>
            <w:gridSpan w:val="20"/>
            <w:shd w:val="clear" w:color="auto" w:fill="CCEEFF"/>
          </w:tcPr>
          <w:p>
            <w:pPr>
              <w:spacing w:after="0"/>
              <w:rPr>
                <w:sz w:val="2"/>
                <w:szCs w:val="2"/>
                <w:color w:val="auto"/>
              </w:rPr>
            </w:pPr>
          </w:p>
        </w:tc>
        <w:tc>
          <w:tcPr>
            <w:tcW w:w="5200" w:type="dxa"/>
            <w:vAlign w:val="bottom"/>
            <w:tcBorders>
              <w:top w:val="single" w:sz="8" w:color="CCEEFF"/>
            </w:tcBorders>
            <w:gridSpan w:val="29"/>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REPRESENTATION OF SECURITIES OF OTHER ENTITIES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4620" w:type="dxa"/>
            <w:vAlign w:val="bottom"/>
            <w:tcBorders>
              <w:top w:val="single" w:sz="8" w:color="0000EE"/>
            </w:tcBorders>
            <w:gridSpan w:val="43"/>
          </w:tcPr>
          <w:p>
            <w:pPr>
              <w:spacing w:after="0"/>
              <w:rPr>
                <w:sz w:val="2"/>
                <w:szCs w:val="2"/>
                <w:color w:val="auto"/>
              </w:rPr>
            </w:pPr>
          </w:p>
        </w:tc>
        <w:tc>
          <w:tcPr>
            <w:tcW w:w="2580" w:type="dxa"/>
            <w:vAlign w:val="bottom"/>
            <w:gridSpan w:val="6"/>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320" w:type="dxa"/>
            <w:vAlign w:val="bottom"/>
            <w:tcBorders>
              <w:top w:val="single" w:sz="8" w:color="0000EE"/>
            </w:tcBorders>
            <w:gridSpan w:val="34"/>
            <w:shd w:val="clear" w:color="auto" w:fill="CCEEFF"/>
          </w:tcPr>
          <w:p>
            <w:pPr>
              <w:spacing w:after="0"/>
              <w:rPr>
                <w:sz w:val="2"/>
                <w:szCs w:val="2"/>
                <w:color w:val="auto"/>
              </w:rPr>
            </w:pPr>
          </w:p>
        </w:tc>
        <w:tc>
          <w:tcPr>
            <w:tcW w:w="3880" w:type="dxa"/>
            <w:vAlign w:val="bottom"/>
            <w:tcBorders>
              <w:top w:val="single" w:sz="8" w:color="CCEEFF"/>
            </w:tcBorders>
            <w:gridSpan w:val="15"/>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7980" w:type="dxa"/>
            <w:vAlign w:val="bottom"/>
            <w:gridSpan w:val="53"/>
          </w:tcPr>
          <w:p>
            <w:pPr>
              <w:spacing w:after="0" w:line="176" w:lineRule="exact"/>
              <w:rPr>
                <w:sz w:val="20"/>
                <w:szCs w:val="20"/>
                <w:color w:val="auto"/>
              </w:rPr>
            </w:pPr>
            <w:r>
              <w:rPr>
                <w:rFonts w:ascii="Times New Roman" w:cs="Times New Roman" w:eastAsia="Times New Roman" w:hAnsi="Times New Roman"/>
                <w:sz w:val="18"/>
                <w:szCs w:val="18"/>
                <w:color w:val="0000EE"/>
              </w:rPr>
              <w:t>ARTICLE VI - STOCK</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1720" w:type="dxa"/>
            <w:vAlign w:val="bottom"/>
            <w:tcBorders>
              <w:top w:val="single" w:sz="8" w:color="0000EE"/>
            </w:tcBorders>
            <w:gridSpan w:val="11"/>
          </w:tcPr>
          <w:p>
            <w:pPr>
              <w:spacing w:after="0"/>
              <w:rPr>
                <w:sz w:val="2"/>
                <w:szCs w:val="2"/>
                <w:color w:val="auto"/>
              </w:rPr>
            </w:pPr>
          </w:p>
        </w:tc>
        <w:tc>
          <w:tcPr>
            <w:tcW w:w="6300" w:type="dxa"/>
            <w:vAlign w:val="bottom"/>
            <w:gridSpan w:val="43"/>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 CERTIFICATES; PARTLY PAID SHARES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3780" w:type="dxa"/>
            <w:vAlign w:val="bottom"/>
            <w:tcBorders>
              <w:top w:val="single" w:sz="8" w:color="0000EE"/>
            </w:tcBorders>
            <w:gridSpan w:val="41"/>
            <w:shd w:val="clear" w:color="auto" w:fill="CCEEFF"/>
          </w:tcPr>
          <w:p>
            <w:pPr>
              <w:spacing w:after="0"/>
              <w:rPr>
                <w:sz w:val="2"/>
                <w:szCs w:val="2"/>
                <w:color w:val="auto"/>
              </w:rPr>
            </w:pPr>
          </w:p>
        </w:tc>
        <w:tc>
          <w:tcPr>
            <w:tcW w:w="3420" w:type="dxa"/>
            <w:vAlign w:val="bottom"/>
            <w:tcBorders>
              <w:top w:val="single" w:sz="8" w:color="CCEEFF"/>
            </w:tcBorders>
            <w:gridSpan w:val="8"/>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SPECIAL DESIGNATION ON CERTIFICATES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F-12</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540" w:type="dxa"/>
            <w:vAlign w:val="bottom"/>
            <w:tcBorders>
              <w:top w:val="single" w:sz="8" w:color="0000EE"/>
            </w:tcBorders>
            <w:gridSpan w:val="37"/>
          </w:tcPr>
          <w:p>
            <w:pPr>
              <w:spacing w:after="0"/>
              <w:rPr>
                <w:sz w:val="2"/>
                <w:szCs w:val="2"/>
                <w:color w:val="auto"/>
              </w:rPr>
            </w:pPr>
          </w:p>
        </w:tc>
        <w:tc>
          <w:tcPr>
            <w:tcW w:w="3660" w:type="dxa"/>
            <w:vAlign w:val="bottom"/>
            <w:gridSpan w:val="12"/>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LOST CERTIFICATES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700" w:type="dxa"/>
            <w:vAlign w:val="bottom"/>
            <w:tcBorders>
              <w:top w:val="single" w:sz="8" w:color="0000EE"/>
            </w:tcBorders>
            <w:gridSpan w:val="15"/>
            <w:shd w:val="clear" w:color="auto" w:fill="CCEEFF"/>
          </w:tcPr>
          <w:p>
            <w:pPr>
              <w:spacing w:after="0"/>
              <w:rPr>
                <w:sz w:val="2"/>
                <w:szCs w:val="2"/>
                <w:color w:val="auto"/>
              </w:rPr>
            </w:pPr>
          </w:p>
        </w:tc>
        <w:tc>
          <w:tcPr>
            <w:tcW w:w="5500" w:type="dxa"/>
            <w:vAlign w:val="bottom"/>
            <w:tcBorders>
              <w:top w:val="single" w:sz="8" w:color="CCEEFF"/>
            </w:tcBorders>
            <w:gridSpan w:val="34"/>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DIVIDENDS AND OTHER DISTRIBUTIONS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3460" w:type="dxa"/>
            <w:vAlign w:val="bottom"/>
            <w:tcBorders>
              <w:top w:val="single" w:sz="8" w:color="0000EE"/>
            </w:tcBorders>
            <w:gridSpan w:val="36"/>
          </w:tcPr>
          <w:p>
            <w:pPr>
              <w:spacing w:after="0"/>
              <w:rPr>
                <w:sz w:val="2"/>
                <w:szCs w:val="2"/>
                <w:color w:val="auto"/>
              </w:rPr>
            </w:pPr>
          </w:p>
        </w:tc>
        <w:tc>
          <w:tcPr>
            <w:tcW w:w="3740" w:type="dxa"/>
            <w:vAlign w:val="bottom"/>
            <w:gridSpan w:val="13"/>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TRANSFER OF STOCK</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gridSpan w:val="3"/>
            <w:shd w:val="clear" w:color="auto" w:fill="CCEEFF"/>
          </w:tcPr>
          <w:p>
            <w:pPr>
              <w:spacing w:after="0"/>
              <w:rPr>
                <w:sz w:val="2"/>
                <w:szCs w:val="2"/>
                <w:color w:val="auto"/>
              </w:rPr>
            </w:pPr>
          </w:p>
        </w:tc>
        <w:tc>
          <w:tcPr>
            <w:tcW w:w="1820" w:type="dxa"/>
            <w:vAlign w:val="bottom"/>
            <w:tcBorders>
              <w:top w:val="single" w:sz="8" w:color="0000EE"/>
            </w:tcBorders>
            <w:gridSpan w:val="18"/>
            <w:shd w:val="clear" w:color="auto" w:fill="CCEEFF"/>
          </w:tcPr>
          <w:p>
            <w:pPr>
              <w:spacing w:after="0"/>
              <w:rPr>
                <w:sz w:val="2"/>
                <w:szCs w:val="2"/>
                <w:color w:val="auto"/>
              </w:rPr>
            </w:pPr>
          </w:p>
        </w:tc>
        <w:tc>
          <w:tcPr>
            <w:tcW w:w="5380" w:type="dxa"/>
            <w:vAlign w:val="bottom"/>
            <w:tcBorders>
              <w:top w:val="single" w:sz="8" w:color="CCEEFF"/>
            </w:tcBorders>
            <w:gridSpan w:val="31"/>
            <w:shd w:val="clear" w:color="auto" w:fill="CCEEFF"/>
          </w:tcPr>
          <w:p>
            <w:pPr>
              <w:spacing w:after="0"/>
              <w:rPr>
                <w:sz w:val="2"/>
                <w:szCs w:val="2"/>
                <w:color w:val="auto"/>
              </w:rPr>
            </w:pPr>
          </w:p>
        </w:tc>
        <w:tc>
          <w:tcPr>
            <w:tcW w:w="340" w:type="dxa"/>
            <w:vAlign w:val="bottom"/>
            <w:tcBorders>
              <w:top w:val="single" w:sz="8" w:color="0000EE"/>
            </w:tcBorders>
            <w:gridSpan w:val="3"/>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49"/>
          </w:tcPr>
          <w:p>
            <w:pPr>
              <w:ind w:left="60"/>
              <w:spacing w:after="0" w:line="176" w:lineRule="exact"/>
              <w:rPr>
                <w:sz w:val="20"/>
                <w:szCs w:val="20"/>
                <w:color w:val="auto"/>
              </w:rPr>
            </w:pPr>
            <w:r>
              <w:rPr>
                <w:rFonts w:ascii="Times New Roman" w:cs="Times New Roman" w:eastAsia="Times New Roman" w:hAnsi="Times New Roman"/>
                <w:sz w:val="18"/>
                <w:szCs w:val="18"/>
                <w:color w:val="0000EE"/>
              </w:rPr>
              <w:t>STOCK TRANSFER AGREEMENTS</w:t>
            </w:r>
          </w:p>
        </w:tc>
        <w:tc>
          <w:tcPr>
            <w:tcW w:w="44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gridSpan w:val="3"/>
          </w:tcPr>
          <w:p>
            <w:pPr>
              <w:spacing w:after="0"/>
              <w:rPr>
                <w:sz w:val="2"/>
                <w:szCs w:val="2"/>
                <w:color w:val="auto"/>
              </w:rPr>
            </w:pPr>
          </w:p>
        </w:tc>
        <w:tc>
          <w:tcPr>
            <w:tcW w:w="2800" w:type="dxa"/>
            <w:vAlign w:val="bottom"/>
            <w:tcBorders>
              <w:top w:val="single" w:sz="8" w:color="0000EE"/>
            </w:tcBorders>
            <w:gridSpan w:val="32"/>
          </w:tcPr>
          <w:p>
            <w:pPr>
              <w:spacing w:after="0"/>
              <w:rPr>
                <w:sz w:val="2"/>
                <w:szCs w:val="2"/>
                <w:color w:val="auto"/>
              </w:rPr>
            </w:pPr>
          </w:p>
        </w:tc>
        <w:tc>
          <w:tcPr>
            <w:tcW w:w="4400" w:type="dxa"/>
            <w:vAlign w:val="bottom"/>
            <w:gridSpan w:val="17"/>
          </w:tcPr>
          <w:p>
            <w:pPr>
              <w:spacing w:after="0"/>
              <w:rPr>
                <w:sz w:val="2"/>
                <w:szCs w:val="2"/>
                <w:color w:val="auto"/>
              </w:rPr>
            </w:pPr>
          </w:p>
        </w:tc>
        <w:tc>
          <w:tcPr>
            <w:tcW w:w="340" w:type="dxa"/>
            <w:vAlign w:val="bottom"/>
            <w:tcBorders>
              <w:top w:val="single" w:sz="8" w:color="0000EE"/>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00" w:type="dxa"/>
            <w:vAlign w:val="bottom"/>
            <w:gridSpan w:val="3"/>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60" w:type="dxa"/>
            <w:vAlign w:val="bottom"/>
            <w:shd w:val="clear" w:color="auto" w:fill="CCEEFF"/>
          </w:tcPr>
          <w:p>
            <w:pPr>
              <w:spacing w:after="0"/>
              <w:rPr>
                <w:sz w:val="15"/>
                <w:szCs w:val="15"/>
                <w:color w:val="auto"/>
              </w:rPr>
            </w:pPr>
          </w:p>
        </w:tc>
        <w:tc>
          <w:tcPr>
            <w:tcW w:w="7220" w:type="dxa"/>
            <w:vAlign w:val="bottom"/>
            <w:gridSpan w:val="49"/>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REGISTERED STOCKHOLDERS</w:t>
            </w:r>
          </w:p>
        </w:tc>
        <w:tc>
          <w:tcPr>
            <w:tcW w:w="440" w:type="dxa"/>
            <w:vAlign w:val="bottom"/>
            <w:gridSpan w:val="5"/>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75"/>
        </w:trPr>
        <w:tc>
          <w:tcPr>
            <w:tcW w:w="3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gridSpan w:val="3"/>
            <w:shd w:val="clear" w:color="auto" w:fill="CCEEFF"/>
          </w:tcPr>
          <w:p>
            <w:pPr>
              <w:spacing w:after="0"/>
              <w:rPr>
                <w:sz w:val="6"/>
                <w:szCs w:val="6"/>
                <w:color w:val="auto"/>
              </w:rPr>
            </w:pPr>
          </w:p>
        </w:tc>
        <w:tc>
          <w:tcPr>
            <w:tcW w:w="2560" w:type="dxa"/>
            <w:vAlign w:val="bottom"/>
            <w:tcBorders>
              <w:top w:val="single" w:sz="8" w:color="0000EE"/>
            </w:tcBorders>
            <w:gridSpan w:val="29"/>
            <w:shd w:val="clear" w:color="auto" w:fill="CCEEFF"/>
          </w:tcPr>
          <w:p>
            <w:pPr>
              <w:spacing w:after="0"/>
              <w:rPr>
                <w:sz w:val="6"/>
                <w:szCs w:val="6"/>
                <w:color w:val="auto"/>
              </w:rPr>
            </w:pPr>
          </w:p>
        </w:tc>
        <w:tc>
          <w:tcPr>
            <w:tcW w:w="4640" w:type="dxa"/>
            <w:vAlign w:val="bottom"/>
            <w:tcBorders>
              <w:top w:val="single" w:sz="8" w:color="CCEEFF"/>
            </w:tcBorders>
            <w:gridSpan w:val="20"/>
            <w:shd w:val="clear" w:color="auto" w:fill="CCEEFF"/>
          </w:tcPr>
          <w:p>
            <w:pPr>
              <w:spacing w:after="0"/>
              <w:rPr>
                <w:sz w:val="6"/>
                <w:szCs w:val="6"/>
                <w:color w:val="auto"/>
              </w:rPr>
            </w:pPr>
          </w:p>
        </w:tc>
        <w:tc>
          <w:tcPr>
            <w:tcW w:w="340" w:type="dxa"/>
            <w:vAlign w:val="bottom"/>
            <w:tcBorders>
              <w:top w:val="single" w:sz="8" w:color="0000EE"/>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8" w:name="page89"/>
    <w:bookmarkEnd w:id="88"/>
    <w:tbl>
      <w:tblPr>
        <w:tblLayout w:type="fixed"/>
        <w:tblInd w:w="30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01"/>
        </w:trPr>
        <w:tc>
          <w:tcPr>
            <w:tcW w:w="7980" w:type="dxa"/>
            <w:vAlign w:val="bottom"/>
            <w:gridSpan w:val="3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ARTICLE VII - MANNER OF GIVING NOTICE AND WAIVER</w:t>
            </w:r>
          </w:p>
        </w:tc>
        <w:tc>
          <w:tcPr>
            <w:tcW w:w="44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4040" w:type="dxa"/>
            <w:vAlign w:val="bottom"/>
            <w:gridSpan w:val="21"/>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STOCKHOLDERS</w:t>
            </w:r>
          </w:p>
        </w:tc>
        <w:tc>
          <w:tcPr>
            <w:tcW w:w="3180" w:type="dxa"/>
            <w:vAlign w:val="bottom"/>
            <w:gridSpan w:val="7"/>
          </w:tcPr>
          <w:p>
            <w:pPr>
              <w:spacing w:after="0"/>
              <w:rPr>
                <w:sz w:val="15"/>
                <w:szCs w:val="15"/>
                <w:color w:val="auto"/>
              </w:rPr>
            </w:pP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F-13</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STOCKHOLDERS SHARING AN ADDRESS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NOTICE TO PERSON WITH WHOM COMMUNICATION IS UNLAWFUL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WAIVER OF NOTICE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VIII - INDEMNIFICATION</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DIRECTORS AND OFFICERS IN THIRD PARTY PROCEEDINGS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DIRECTORS AND OFFICERS IN ACTIONS BY OR IN THE</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28"/>
          </w:tcPr>
          <w:p>
            <w:pPr>
              <w:ind w:left="60"/>
              <w:spacing w:after="0" w:line="196" w:lineRule="exact"/>
              <w:rPr>
                <w:sz w:val="20"/>
                <w:szCs w:val="20"/>
                <w:color w:val="auto"/>
              </w:rPr>
            </w:pPr>
            <w:r>
              <w:rPr>
                <w:rFonts w:ascii="Times New Roman" w:cs="Times New Roman" w:eastAsia="Times New Roman" w:hAnsi="Times New Roman"/>
                <w:sz w:val="18"/>
                <w:szCs w:val="18"/>
                <w:color w:val="0000EE"/>
              </w:rPr>
              <w:t>RIGHT OF THE CORPORATION</w:t>
            </w:r>
          </w:p>
        </w:tc>
        <w:tc>
          <w:tcPr>
            <w:tcW w:w="4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EE"/>
              </w:rPr>
              <w:t>F-14</w:t>
            </w:r>
          </w:p>
        </w:tc>
      </w:tr>
      <w:tr>
        <w:trPr>
          <w:trHeight w:val="34"/>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SUCCESSFUL DEFENSE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INDEMNIFICATION OF OTHERS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ADVANCE PAYMENT OF EXPENSES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LIMITATION ON INDEMNIFICATION</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F-15</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DETERMINATION; CLAIM</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NON-EXCLUSIVITY OF RIGHTS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INSURANCE</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SURVIVAL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3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8.</w:t>
            </w:r>
            <w:r>
              <w:rPr>
                <w:rFonts w:ascii="Times New Roman" w:cs="Times New Roman" w:eastAsia="Times New Roman" w:hAnsi="Times New Roman"/>
                <w:sz w:val="18"/>
                <w:szCs w:val="18"/>
                <w:u w:val="single" w:color="auto"/>
                <w:color w:val="0000EE"/>
                <w:w w:val="95"/>
              </w:rPr>
              <w:t>11</w:t>
            </w: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EFFECT OF REPEAL OR MODIFICATION</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F-16</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CERTAIN DEFINITIONS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9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 IX - GENERAL MATTERS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00" w:type="dxa"/>
            <w:vAlign w:val="bottom"/>
            <w:gridSpan w:val="3"/>
          </w:tcPr>
          <w:p>
            <w:pPr>
              <w:ind w:left="380"/>
              <w:spacing w:after="0" w:line="17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FISCAL YEAR</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38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20" w:type="dxa"/>
            <w:vAlign w:val="bottom"/>
            <w:gridSpan w:val="28"/>
          </w:tcPr>
          <w:p>
            <w:pPr>
              <w:ind w:left="60"/>
              <w:spacing w:after="0" w:line="176" w:lineRule="exact"/>
              <w:rPr>
                <w:sz w:val="20"/>
                <w:szCs w:val="20"/>
                <w:color w:val="auto"/>
              </w:rPr>
            </w:pPr>
            <w:r>
              <w:rPr>
                <w:rFonts w:ascii="Times New Roman" w:cs="Times New Roman" w:eastAsia="Times New Roman" w:hAnsi="Times New Roman"/>
                <w:sz w:val="18"/>
                <w:szCs w:val="18"/>
                <w:color w:val="0000EE"/>
              </w:rPr>
              <w:t>SEAL</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20" w:type="dxa"/>
            <w:vAlign w:val="bottom"/>
            <w:gridSpan w:val="2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CONSTRUCTION; DEFINITIONS</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F-17</w:t>
            </w:r>
          </w:p>
        </w:tc>
      </w:tr>
      <w:tr>
        <w:trPr>
          <w:trHeight w:val="34"/>
        </w:trPr>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X - AMENDMENTS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34"/>
        </w:trPr>
        <w:tc>
          <w:tcPr>
            <w:tcW w:w="3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79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 XI - EXCLUSIVE FORUM</w:t>
            </w:r>
          </w:p>
        </w:tc>
        <w:tc>
          <w:tcPr>
            <w:tcW w:w="44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34"/>
        </w:trPr>
        <w:tc>
          <w:tcPr>
            <w:tcW w:w="3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79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ARTICLE XII - ACQUISITION OF CONTROLLING INTEREST STATUTES</w:t>
            </w:r>
          </w:p>
        </w:tc>
        <w:tc>
          <w:tcPr>
            <w:tcW w:w="4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0000EE"/>
              </w:rPr>
              <w:t>F-18</w:t>
            </w:r>
          </w:p>
        </w:tc>
      </w:tr>
      <w:tr>
        <w:trPr>
          <w:trHeight w:val="20"/>
        </w:trPr>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F-ii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BYLAWS OF 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The registered office of Dropbox,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the street address of the corporation’s registered agent in the State of Nevada, as determined by the corporation’s board of directors (the “</w:t>
      </w:r>
      <w:r>
        <w:rPr>
          <w:rFonts w:ascii="Times New Roman" w:cs="Times New Roman" w:eastAsia="Times New Roman" w:hAnsi="Times New Roman"/>
          <w:sz w:val="18"/>
          <w:szCs w:val="18"/>
          <w:b w:val="1"/>
          <w:b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from time to time in accordance with the corporation’s articles of incorporation,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and the corporation’s bylaws, as the same may be amended from time to time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corporation may at any time establish other offices at any place or places either within or outside the State of Nevada.</w:t>
      </w:r>
    </w:p>
    <w:p>
      <w:pPr>
        <w:spacing w:after="0" w:line="279" w:lineRule="exact"/>
        <w:rPr>
          <w:sz w:val="20"/>
          <w:szCs w:val="20"/>
          <w:color w:val="auto"/>
        </w:rPr>
      </w:pPr>
    </w:p>
    <w:p>
      <w:pPr>
        <w:ind w:left="660" w:right="2539" w:firstLine="1870"/>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II - MEETINGS OF STOCKHOLDERS </w:t>
      </w:r>
      <w:r>
        <w:rPr>
          <w:rFonts w:ascii="Times New Roman" w:cs="Times New Roman" w:eastAsia="Times New Roman" w:hAnsi="Times New Roman"/>
          <w:sz w:val="18"/>
          <w:szCs w:val="18"/>
          <w:color w:val="auto"/>
        </w:rPr>
        <w:t>2.1  PLACE OF MEETINGS</w:t>
      </w:r>
    </w:p>
    <w:p>
      <w:pPr>
        <w:spacing w:after="0" w:line="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Nevada, designated by the board of directors. The board of directors may, in its sole discretion, determine that a meeting of stockholders shall not be held at any place, but may instead be held solely by means of remote communication as authorized by Section 78.320(4) of the Nevada Revised Statutes (as amended from time to time,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The annual meeting of stockholders shall be held each year. The board of directors shall designate the date and time of the annual meeting. At the annual meeting, directors shall be elected and any other proper business, brought in accordance with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of these bylaws, may be transacted. The board of directors, acting pursuant to a resolution adopted by a majority of the Whole Board (as defined below), may cancel, postpone or reschedule any previously scheduled annual meeting of stockholders at any time, before or after the notice for such meeting has been sent to the stockholders. For purposes of these bylaws, the term “</w:t>
      </w:r>
      <w:r>
        <w:rPr>
          <w:rFonts w:ascii="Times New Roman" w:cs="Times New Roman" w:eastAsia="Times New Roman" w:hAnsi="Times New Roman"/>
          <w:sz w:val="17"/>
          <w:szCs w:val="17"/>
          <w:b w:val="1"/>
          <w:bCs w:val="1"/>
          <w:color w:val="auto"/>
        </w:rPr>
        <w:t>Whole Board</w:t>
      </w:r>
      <w:r>
        <w:rPr>
          <w:rFonts w:ascii="Times New Roman" w:cs="Times New Roman" w:eastAsia="Times New Roman" w:hAnsi="Times New Roman"/>
          <w:sz w:val="17"/>
          <w:szCs w:val="17"/>
          <w:color w:val="auto"/>
        </w:rPr>
        <w:t>” shall mean the total number of authorized directors whether or not there exist any vacancies or unfilled seats in previously authorized directorships.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A special meeting of the stockholders, other than as may be required by the NRS,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articles of incorporation), by written request of the holders of at least 30% of the voting power of the corporation’s Class A Common Stock and Class B Common Stock, voting together as a single class, provided that such written request is in compliance with the requirements of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 xml:space="preserve"> 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be in writing;</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specify the general nature of the business proposed to be transacted, subject to any additional applicable requirements as are set forth in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2.4(i)(b)</w:t>
      </w:r>
      <w:r>
        <w:rPr>
          <w:rFonts w:ascii="Times New Roman" w:cs="Times New Roman" w:eastAsia="Times New Roman" w:hAnsi="Times New Roman"/>
          <w:sz w:val="18"/>
          <w:szCs w:val="18"/>
          <w:color w:val="auto"/>
        </w:rPr>
        <w:t xml:space="preserve"> (for the proposal of business other than nominations); and</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0" w:name="page91"/>
    <w:bookmarkEnd w:id="90"/>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(iii)  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 xml:space="preserve"> above. Nothing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2.3(ii)</w:t>
      </w:r>
      <w:r>
        <w:rPr>
          <w:rFonts w:ascii="Times New Roman" w:cs="Times New Roman" w:eastAsia="Times New Roman" w:hAnsi="Times New Roman"/>
          <w:sz w:val="18"/>
          <w:szCs w:val="18"/>
          <w:color w:val="auto"/>
        </w:rPr>
        <w:t xml:space="preserve"> shall be construed as limiting, fixing or affecting the time when a meeting of stockholders called by action of the board of directors may be held.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11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Advance Notice of Stockholder Business.</w:t>
      </w:r>
      <w:r>
        <w:rPr>
          <w:rFonts w:ascii="Times New Roman" w:cs="Times New Roman" w:eastAsia="Times New Roman" w:hAnsi="Times New Roman"/>
          <w:sz w:val="18"/>
          <w:szCs w:val="18"/>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notice of annual meeting (or any supplement thereto), (B) by or at the direction of the board of directors, or (C) by a stockholder of the 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on the record date for the determination of stockholders entitled to notice of, and to vote at, the annual meeting and (2) has timely complied in proper written form with the notice procedures set forth in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and the rules and regulations thereunder, as amended and inclusive of such rules and regulations and any successor thereto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before an annual meeting of stockholders.</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To comply with clause (C) of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above, a stockholder’s notice must set forth all information required under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provided, however,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w:t>
      </w:r>
      <w:r>
        <w:rPr>
          <w:rFonts w:ascii="Times New Roman" w:cs="Times New Roman" w:eastAsia="Times New Roman" w:hAnsi="Times New Roman"/>
          <w:sz w:val="18"/>
          <w:szCs w:val="18"/>
          <w:u w:val="single" w:color="auto"/>
          <w:color w:val="auto"/>
        </w:rPr>
        <w:t>Section 2.4(i)(a)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1" w:name="page92"/>
    <w:bookmarkEnd w:id="91"/>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xml:space="preserve">”). In addition, to be in proper written form, a stockholder’s notice to the secretary must be supplemented not later than ten days following the record date for the determination of stockholders entitled to notice of, and to vote at, the meeting to disclose the information contained in clauses (3) and (4) above as of such record date.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Associated Person</w:t>
      </w:r>
      <w:r>
        <w:rPr>
          <w:rFonts w:ascii="Times New Roman" w:cs="Times New Roman" w:eastAsia="Times New Roman" w:hAnsi="Times New Roman"/>
          <w:sz w:val="18"/>
          <w:szCs w:val="18"/>
          <w:color w:val="auto"/>
        </w:rPr>
        <w:t>” of any stockholder shall mean (i) any person controlling, directly or indirectly,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Without exception, no business shall be conducted at any annual meeting except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the chairperson should so determine, the chairperson shall so declare at the annual meeting that any such business not properly brought before the annual meeting shall not be conducted.</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on the record date for the determination of stockholders entitled to notice of the annual meeting and on the record date for the determination of stockholders entitled to vote at the annual meeting and (2) has complied with the notice procedures set forth in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In addition to any other applicable requirements, for a nomination to be made by a stockholder, the stockholder must have given timely notice thereof in proper written form to the secretary of the corporation.</w:t>
      </w:r>
    </w:p>
    <w:p>
      <w:pPr>
        <w:spacing w:after="0" w:line="86"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To comply with clause (B) of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above, a nomination to be made by a stockholder must set forth all information required under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and must be received by the secretary of the corporation at the principal executive offices of the corporation at the time set forth in, and in accordance with, the final three sentences of </w:t>
      </w:r>
      <w:r>
        <w:rPr>
          <w:rFonts w:ascii="Times New Roman" w:cs="Times New Roman" w:eastAsia="Times New Roman" w:hAnsi="Times New Roman"/>
          <w:sz w:val="18"/>
          <w:szCs w:val="18"/>
          <w:u w:val="single" w:color="auto"/>
          <w:color w:val="auto"/>
        </w:rPr>
        <w:t>Section 2.4(i)(a)</w:t>
      </w:r>
      <w:r>
        <w:rPr>
          <w:rFonts w:ascii="Times New Roman" w:cs="Times New Roman" w:eastAsia="Times New Roman" w:hAnsi="Times New Roman"/>
          <w:sz w:val="18"/>
          <w:szCs w:val="18"/>
          <w:color w:val="auto"/>
        </w:rPr>
        <w:t xml:space="preserve">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2" w:name="page93"/>
    <w:bookmarkEnd w:id="92"/>
    <w:p>
      <w:pPr>
        <w:ind w:left="138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113" w:lineRule="exact"/>
        <w:rPr>
          <w:sz w:val="20"/>
          <w:szCs w:val="20"/>
          <w:color w:val="auto"/>
        </w:rPr>
      </w:pPr>
    </w:p>
    <w:p>
      <w:pPr>
        <w:jc w:val="both"/>
        <w:ind w:left="1380" w:right="299" w:firstLine="360"/>
        <w:spacing w:after="0" w:line="263" w:lineRule="auto"/>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 director: (A) the name, age, business address and residence address of the nominee,</w:t>
      </w:r>
    </w:p>
    <w:p>
      <w:pPr>
        <w:spacing w:after="0" w:line="1" w:lineRule="exact"/>
        <w:rPr>
          <w:sz w:val="20"/>
          <w:szCs w:val="20"/>
          <w:color w:val="auto"/>
        </w:rPr>
      </w:pPr>
    </w:p>
    <w:p>
      <w:pPr>
        <w:jc w:val="both"/>
        <w:ind w:left="1380" w:right="299" w:hanging="8"/>
        <w:spacing w:after="0" w:line="250" w:lineRule="auto"/>
        <w:tabs>
          <w:tab w:leader="none" w:pos="1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(such agreement, arrangement or understanding, a “</w:t>
      </w:r>
      <w:r>
        <w:rPr>
          <w:rFonts w:ascii="Times New Roman" w:cs="Times New Roman" w:eastAsia="Times New Roman" w:hAnsi="Times New Roman"/>
          <w:sz w:val="18"/>
          <w:szCs w:val="18"/>
          <w:b w:val="1"/>
          <w:bCs w:val="1"/>
          <w:color w:val="auto"/>
        </w:rPr>
        <w:t>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Arrangement</w:t>
      </w:r>
      <w:r>
        <w:rPr>
          <w:rFonts w:ascii="Times New Roman" w:cs="Times New Roman" w:eastAsia="Times New Roman" w:hAnsi="Times New Roman"/>
          <w:sz w:val="18"/>
          <w:szCs w:val="18"/>
          <w:color w:val="auto"/>
        </w:rPr>
        <w:t>”), (F) a written statement executed by the nominee consenting to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named as a nominee of such stockholder, (y) serving as a director of the corporation if elected and (z) being named in the corporation’s form of proxy pursuant to Rule 14a-19 under the 1934 Act (“</w:t>
      </w:r>
      <w:r>
        <w:rPr>
          <w:rFonts w:ascii="Times New Roman" w:cs="Times New Roman" w:eastAsia="Times New Roman" w:hAnsi="Times New Roman"/>
          <w:sz w:val="18"/>
          <w:szCs w:val="18"/>
          <w:b w:val="1"/>
          <w:bCs w:val="1"/>
          <w:color w:val="auto"/>
        </w:rPr>
        <w:t>Rule 14a-19</w:t>
      </w:r>
      <w:r>
        <w:rPr>
          <w:rFonts w:ascii="Times New Roman" w:cs="Times New Roman" w:eastAsia="Times New Roman" w:hAnsi="Times New Roman"/>
          <w:sz w:val="18"/>
          <w:szCs w:val="18"/>
          <w:color w:val="auto"/>
        </w:rPr>
        <w:t>”) , and (H) any other information relating to the nominee that would be required to be disclosed about such nominee if proxies were being solicited for the election or re-election of the nominee as a director, or that is otherwise required, in each case pursuant to Section 14 of the 1934 Act; and</w:t>
      </w:r>
    </w:p>
    <w:p>
      <w:pPr>
        <w:spacing w:after="0" w:line="98" w:lineRule="exact"/>
        <w:rPr>
          <w:sz w:val="20"/>
          <w:szCs w:val="20"/>
          <w:color w:val="auto"/>
        </w:rPr>
      </w:pPr>
    </w:p>
    <w:p>
      <w:pPr>
        <w:jc w:val="both"/>
        <w:ind w:left="138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(2)  as to such stockholder giving notice, (A) the information required to be provided pursuant to clauses (2) through (5) of </w:t>
      </w:r>
      <w:r>
        <w:rPr>
          <w:rFonts w:ascii="Times New Roman" w:cs="Times New Roman" w:eastAsia="Times New Roman" w:hAnsi="Times New Roman"/>
          <w:sz w:val="17"/>
          <w:szCs w:val="17"/>
          <w:u w:val="single" w:color="auto"/>
          <w:color w:val="auto"/>
        </w:rPr>
        <w:t>Section 2.4(i)(b)</w:t>
      </w:r>
      <w:r>
        <w:rPr>
          <w:rFonts w:ascii="Times New Roman" w:cs="Times New Roman" w:eastAsia="Times New Roman" w:hAnsi="Times New Roman"/>
          <w:sz w:val="17"/>
          <w:szCs w:val="17"/>
          <w:color w:val="auto"/>
        </w:rPr>
        <w:t xml:space="preserve"> above, and the update and supplement referenced in the second sentence of </w:t>
      </w:r>
      <w:r>
        <w:rPr>
          <w:rFonts w:ascii="Times New Roman" w:cs="Times New Roman" w:eastAsia="Times New Roman" w:hAnsi="Times New Roman"/>
          <w:sz w:val="17"/>
          <w:szCs w:val="17"/>
          <w:u w:val="single" w:color="auto"/>
          <w:color w:val="auto"/>
        </w:rPr>
        <w:t>Section 2.4(i)(b)</w:t>
      </w:r>
      <w:r>
        <w:rPr>
          <w:rFonts w:ascii="Times New Roman" w:cs="Times New Roman" w:eastAsia="Times New Roman" w:hAnsi="Times New Roman"/>
          <w:sz w:val="17"/>
          <w:szCs w:val="17"/>
          <w:color w:val="auto"/>
        </w:rPr>
        <w:t xml:space="preserve"> above (except that the references to “business” in such clauses shall instead refer to nominations of directors for purposes of this paragraph), and (B) a representation and undertaking as to whether such stockholder or Stockholder Associated Person or others acting in concert with them intends, or are part of a group that intends, to (x) deliver a proxy statement or form of proxy to or otherwise solicit proxies from holders of at least the percentage of the voting power of the corporation’s then-outstanding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(y) otherwise solicit proxies from stockholders in support of such nomination (such information provided and statements made as required by </w:t>
      </w:r>
      <w:r>
        <w:rPr>
          <w:rFonts w:ascii="Times New Roman" w:cs="Times New Roman" w:eastAsia="Times New Roman" w:hAnsi="Times New Roman"/>
          <w:sz w:val="17"/>
          <w:szCs w:val="17"/>
          <w:u w:val="single" w:color="auto"/>
          <w:color w:val="auto"/>
        </w:rPr>
        <w:t>Section 2.4(ii)(b)</w:t>
      </w:r>
    </w:p>
    <w:p>
      <w:pPr>
        <w:spacing w:after="0" w:line="1" w:lineRule="exact"/>
        <w:rPr>
          <w:sz w:val="20"/>
          <w:szCs w:val="20"/>
          <w:color w:val="auto"/>
        </w:rPr>
      </w:pPr>
    </w:p>
    <w:p>
      <w:pPr>
        <w:ind w:left="1620" w:hanging="248"/>
        <w:spacing w:after="0"/>
        <w:tabs>
          <w:tab w:leader="none" w:pos="1620"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Section 2.4(ii)(b)(2)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Nominee Solicitation Statement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(2) a written representation and undertaking that, unless previously disclosed to the corporation, such nominee is not, and will not become, a party to any Third-Party Compensation Arrangement and (3)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timely furnishing of any such information, if requested, such stockholder’s nomination shall not be considered in proper form and shall be ineligible for consideration at the annual meeting pursuant to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Without exception, no person shall be eligible for election or re-election as a director of the corporation at an annual meeting of stockholders unless nominated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3" w:name="page94"/>
    <w:bookmarkEnd w:id="93"/>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7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(e)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Advance Notice of Director Nominations for Special Meetings.</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For a special meeting of stockholders at which directors are to be elected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nominations of persons for election to the board of directors shall be made only (1) by or at the direction of the board of directors or (2) by any stockholder of the corporation who (A) is a stockholder of record at the time of the giving of the notice required by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on the record date for the determination of stockholders entitled to notice of, and to vote at, the special meeting and (B) delivers a timely written notice of the nomination to the secretary of the corporation that includes the information set forth in </w:t>
      </w:r>
      <w:r>
        <w:rPr>
          <w:rFonts w:ascii="Times New Roman" w:cs="Times New Roman" w:eastAsia="Times New Roman" w:hAnsi="Times New Roman"/>
          <w:sz w:val="18"/>
          <w:szCs w:val="18"/>
          <w:u w:val="single" w:color="auto"/>
          <w:color w:val="auto"/>
        </w:rPr>
        <w:t>Sections 2.4(ii)(b)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2.4(ii)(c)</w:t>
      </w:r>
      <w:r>
        <w:rPr>
          <w:rFonts w:ascii="Times New Roman" w:cs="Times New Roman" w:eastAsia="Times New Roman" w:hAnsi="Times New Roman"/>
          <w:sz w:val="18"/>
          <w:szCs w:val="18"/>
          <w:color w:val="auto"/>
        </w:rPr>
        <w:t xml:space="preserve"> above (with references therein to “annual meeting” deemed to mean “special meeting” for the purposes of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is subject to, and must comply with, the provisions of </w:t>
      </w:r>
      <w:r>
        <w:rPr>
          <w:rFonts w:ascii="Times New Roman" w:cs="Times New Roman" w:eastAsia="Times New Roman" w:hAnsi="Times New Roman"/>
          <w:sz w:val="18"/>
          <w:szCs w:val="18"/>
          <w:u w:val="single" w:color="auto"/>
          <w:color w:val="auto"/>
        </w:rPr>
        <w:t>Section 2.4(ii)(c)</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Other Requirements and Procedures.</w:t>
      </w:r>
    </w:p>
    <w:p>
      <w:pPr>
        <w:spacing w:after="0" w:line="119"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In addition to the foregoing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stockholder must also comply with all applicable requirements of state law and of the 1934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4" w:name="page95"/>
    <w:bookmarkEnd w:id="94"/>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rights of: (1) a stockholder to request the inclusion of proposals in the corporation’s proxy statement pursuant to Rule 14a-8 (or any successor provision) under the 1934 Act or (2) the corporation to omit a proposal from the corporation’s proxy statement pursuant to Rule 14a-8 (or any successor provision) under the 1934 Act.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NRS 78.370 (and shall contain or be accompanied by such additional information as may be required by, the NRS, including, without limitation, NRS 78.379, 92A.120 or 92A.410), and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and, in the case of a special meeting, the purpose or purposes for which the meeting is called, provided, however, that (i) if a proposed plan of merger, conversion or exchange is to be submitted to a vote at the meeting,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at the meeting, the notice of the meeting must state that the stockholders are or may be entitled to assert dissenter’s rights under NRS 92A.300 to 92A.500, inclusive, and be accompanied by a copy of those statutory provisions. Except as otherwise provided in the NRS, the articles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and to vote at, the meeting.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articles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articles of incorporation, these bylaws or the rules of any applicable stock exchange on which the corporation’s securities are listed.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subject to NRS 78.350(5).</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the applicable provisions of NRS 78.370. At the adjourned meeting, the corporation may transact any business which might have been transacted at the original meeting. If the adjournment is for more than 60 days after the meeting date set for the original meeting, a new record date for the adjourned meeting must be set and notice of the adjourned meeting shall be given to each stockholder of record entitled to vote at the adjourned meeting. If after the adjournment a new record date for stockholders entitled to vote is fixed for the adjourned meeting,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5" w:name="page96"/>
    <w:bookmarkEnd w:id="95"/>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of directors shall fix a new record date for notice of such adjourned meeting in accordance with the applicable provisions of NRS 78.350 and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stockholders entitled to vote at any meeting of stockholders shall be determined in accordance with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subject to NRS 78.352 (relating to voting rights of fiduciaries, pledgors and joint owners of stock) and NRS 78.365 (relating to voting trusts and other voting agreements). Except as otherwise provided by law, the articles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articles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articles of incorporation, these bylaws or the rules of any applicable stock exchange.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STOCKHOLDER ACTION BY CONSENT WITHOUT A MEETING</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provided in the articles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(i) shall be delivered to the corporation at the principal place of business of the corporation by hand or by certified or registered mail, return receipt requested and (ii)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NRS 78.355. Prompt notice of the taking of the corporate action without a meeting by less than unanimous consent shall be provided to stockholders if and to the extent required by law. No consent shall be effective to take the corporate action referred to therein unless consents signed by a sufficient number of stockholders to take such action are delivered to the corporation in the manner prescribed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applicable law within sixty (60) days of the first date on which a consent is so delivered to the corporation.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6" w:name="page97"/>
    <w:bookmarkEnd w:id="9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NRS 78.350 and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 document or by a transmission permitted by law submitted in accordance with the procedure established for the meeting, but no such proxy shall be voted or acted upon after six (6) months from its date, unless the proxy provides for a longer period, subject to applicable limitations under NRS 78.355. The authorization of a person to act as a proxy may be documented, signed and delivered in accordance with applicable law;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applicable provisions of NRS 78.355.</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NRS or the articles of incorporation.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individuals, each of whom shall be a natural person. Unless the articles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articles of incorporation or these bylaws. The articles of incorporation or these bylaws may prescribe other qualifications for directors. If so provided in the articles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articles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Unless otherwise provided in the articles of incorporation or these bylaws or permitted in the specific case by resolution of the board of directors, and subject to the rights of holders of Preferred Stock, vacancies occurring on the board of directors for any reason and newly created directorships resulting from any increase in the authorized number of directors may be filled only by a vote of a majority of the remaining members of the board of directors, although less than a quorum, or by a sole remaining director, at any meeting of the board of directors, and not by stockholders. If the directors are divided into classes as provided by the articles of incorporation, a person so chosen to fill a vacancy or newly created directorship shall hold office until the next election of the class for which such director shall have been chosen and until such director’s successor shall have been duly elected and qualified.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PLACE OF MEETINGS; MEETINGS BY REMOTE COMMUNICATION</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Nevada. Unless otherwise restricted by the articles of incorporation or these bylaws, members of the board of directors may participate in a meeting of the board of directors by electronic communications, videoconferencing, teleconferencing or other available technology satisfying the applicable requirements of NRS 78.315(3), and such participation in a meeting shall constitute presence in person at the meeting.</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 Notice of the time and place of special meetings of the board of directors shall be: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delivered personally by hand or by courier;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sent by United States first-class mail, postage prepaid;</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sent by facsimile;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sent by electronic mail;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otherwise given by electronic transmission (as defined in NRS Chapter 75),</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facsimile number, electronic mail address or other contact for notice by electronic transmission, as the case may be, as shown on the corporation’s records. If the notice 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8" w:name="page99"/>
    <w:bookmarkEnd w:id="98"/>
    <w:p>
      <w:pPr>
        <w:jc w:val="both"/>
        <w:ind w:left="300" w:right="299" w:hanging="8"/>
        <w:spacing w:after="0" w:line="254" w:lineRule="auto"/>
        <w:tabs>
          <w:tab w:leader="none" w:pos="5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or by courier,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oral notice is given in person or by telephone at least 24 hours before the time of the holding of the special meeting. The notice need not specify the place of the meeting (if the meeting is to be held at the corporation’s principal executive office) nor the purpose of the meeting, unless required by statute.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The affirmative vote of a majority of the directors present at any meeting at which a quorum is present shall be the act of the board of directors, except as may be otherwise specifically provided by statute, the articles of incorporation or these bylaws.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restricted by the articles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the applicable provisions of NRS 78.315.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(i) revocable prior to its becoming effective and (ii) deemed to have been given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at such effective time so long as such person is then a director and did not revoke the consent prior to such time. After an action is taken, the consent or consents relating thereto shall be filed with the minutes of the proceedings of the board of directors in the same paper or electronic form as the minutes are maintained.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or these bylaws, the board of directors shall have the authority to fix the compensation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in accordance with NRS 78.335. No reduction of the authorized number of directors shall have the effect of removing any director prior to the expiration of such director’s term of office.</w:t>
      </w:r>
    </w:p>
    <w:p>
      <w:pPr>
        <w:spacing w:after="0" w:line="3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may, by resolution adopted by the affirmative vote of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shall be governed by, and held and taken in accordance with, the provisions of: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and meetings by telephone);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and notice);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(quorum; voting);</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(action without a meeting); and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(waiver of notice)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of directors and its members, provided, however, that unless and to the extent provided in the resolutions of the board of directors designating a committee:</w:t>
      </w:r>
    </w:p>
    <w:p>
      <w:pPr>
        <w:spacing w:after="0" w:line="68"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the time and place of regular meetings of such committee may be determined either by resolution of the board of directors or by resolution of such committee;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special meetings of such committee may also be called by resolution of the board of directors; and</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(iii)  notice of special meetings of such committee shall also be given to any and all alternate members of such committee, who shall have the right to attend all meetings of the committee.</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board of directors may adopt rules for the government of any committee not inconsistent with the provisions of these bylaws.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articles of incorporation, these bylaws or the resolutions of the board of directors designating the committee, a committee may create one or more subcommittees, each subcommittee to consist of at least one member of the committee, and delegate to a subcommittee any or all of the powers and authority of the committee.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officers of the corporation shall be a president, a treasurer and a secretary, or the equivalents of such offices. The corporation may also have, at the discretion of the board of directors, a chairperson of the board of directors, a vice chairperson of the board of directors, a chief executive officer, a chief financial officer, one or more vice presidents, one or more assistant vice presidents, one or more assistant treasurers, one or more assistant secretaries, and any such other officers with such other titles as may be appointed from time to time in accordance with the provisions of these bylaws. Any number of offices may be held by the same person.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 subject to the rights, if any, of an officer under any contract of employment.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of directors or, except in the case of an officer chosen by the board of directors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0" w:name="page101"/>
    <w:bookmarkEnd w:id="100"/>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as otherwise provided by resolution of the board of directors, by any officer upon whom such power of removal may be conferred by the board of directors.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of directors or as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chief financial officer or treasurer, the secretary or assistant secretary of the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this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21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may be otherwise provided in NRS 78.235,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1" w:name="page102"/>
    <w:bookmarkEnd w:id="101"/>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the applicable provisions of the NRS, including NRS 78.235 and 78.242, or with respect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DIVIDENDS AND OTHER DISTRIBUTIONS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articles of incorporation or applicable law, may declare and pay dividends or other distributions upon the shares of the corporation’s capital stock. Dividends and distributions may be paid in cash, in property, or in shares of the corporation’s capital stock, subject to the provisions of the articles of incorporation and the NRS. The board of directors may set apart out of any of the funds of the corporation available for dividends a reserve or reserves for any proper purpose and may abolish any such reserve.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Transfers of record of shares of stock of the corporation shall be made only upon its books by the holders thereof, in person or by an attorney duly authorized, and, 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these bylaws, if such stock is certificated, upon the surrender of a certificate or certificates for a like number of shares, properly endorsed or accompanied by proper evidence of succession, assignation or authority to transfer.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NRS.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shall be entitled to recognize the exclusive right of a person registered on its books as the owner of shares to receive dividends and notices and to vote as such owner; and</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(ii)  shall not be bound to recognize any equitable or other claim to or interest in such share or shares on the part of another person, whether or not it shall have express or other notice thereof, except as otherwise provided by the laws of Nevada.</w:t>
      </w:r>
    </w:p>
    <w:p>
      <w:pPr>
        <w:spacing w:after="0" w:line="320" w:lineRule="exact"/>
        <w:rPr>
          <w:sz w:val="20"/>
          <w:szCs w:val="20"/>
          <w:color w:val="auto"/>
        </w:rPr>
      </w:pPr>
    </w:p>
    <w:p>
      <w:pPr>
        <w:ind w:left="660" w:right="1979" w:firstLine="1311"/>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ARTICLE VII - MANNER OF GIVING NOTICE AND WAIVER </w:t>
      </w:r>
      <w:r>
        <w:rPr>
          <w:rFonts w:ascii="Times New Roman" w:cs="Times New Roman" w:eastAsia="Times New Roman" w:hAnsi="Times New Roman"/>
          <w:sz w:val="18"/>
          <w:szCs w:val="18"/>
          <w:color w:val="auto"/>
        </w:rPr>
        <w:t>7.1  NOTICE TO STOCKHOLDERS</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Any notice to stockholders given by the corporation under any provision of the NRS, the articles of incorporation or these bylaws may be given in the manner set forth in NRS 78.370 and in accordance with the applicable provisions of NRS Chapter 75.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prohibited under the NRS, without limiting the manner by which notice otherwise may be given effectively to stockholders, any notice to stockholders given by the corporation under the provisions of the NRS, the articles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notices given pursuant to Sections 78.220 or 78.685, or Chapter 104, of the NRS.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the NRS, the articles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NRS, the certificate shall state, if such is the fact and if notice is required, that notice was given to all persons entitled to receive notice except such persons with whom communication is unlawful.</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NRS, the articles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articles of incorporation or these bylaws.</w:t>
      </w:r>
    </w:p>
    <w:p>
      <w:pPr>
        <w:spacing w:after="0" w:line="33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8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Proceeding by or in the right of the corporation to procure a judgment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3" w:name="page104"/>
    <w:bookmarkEnd w:id="103"/>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competent jurisdiction in which such Proceeding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To the extent that a present or former director or officer of the corporation has been successful on the merits or otherwise in defense of any 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these bylaws or in defense of any claim, issue or matter therein.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have power to advance expenses to and indemnify its employees and agents, or any other persons, to the extent not prohibited by the NRS or other applicable law. The board of directors shall have the power to delegate to any person or persons identified in subsections (3)(a) through 3(c) of NRS 78.7502 the determination of whether employees or agents shall be indemnified or receive an advancement of expenses.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NRS.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Times New Roman" w:cs="Times New Roman" w:eastAsia="Times New Roman" w:hAnsi="Times New Roman"/>
          <w:sz w:val="18"/>
          <w:szCs w:val="18"/>
          <w:u w:val="single" w:color="auto"/>
          <w:color w:val="auto"/>
        </w:rPr>
        <w:t>Section 8.6(ii)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8.6(iii)</w:t>
      </w:r>
      <w:r>
        <w:rPr>
          <w:rFonts w:ascii="Times New Roman" w:cs="Times New Roman" w:eastAsia="Times New Roman" w:hAnsi="Times New Roman"/>
          <w:sz w:val="18"/>
          <w:szCs w:val="18"/>
          <w:color w:val="auto"/>
        </w:rPr>
        <w:t xml:space="preserve"> prior to a determination that the person is not entitled to be indemnified by the corporation.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requirements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the NRS, the corporation shall not be obligated to indemnify any person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connection with any Proceeding (or any part of any Proceeding):</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  for which payment has actually been made to or on behalf of such person under any statute, insurance policy, indemnity provision, vote or otherwise, except with respect to any excess beyond the amount paid;</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4" w:name="page105"/>
    <w:bookmarkEnd w:id="104"/>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72"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color w:val="auto"/>
        </w:rPr>
        <w:t>(iv)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w:t>
      </w:r>
    </w:p>
    <w:p>
      <w:pPr>
        <w:spacing w:after="0" w:line="1" w:lineRule="exact"/>
        <w:rPr>
          <w:sz w:val="20"/>
          <w:szCs w:val="20"/>
          <w:color w:val="auto"/>
        </w:rPr>
      </w:pPr>
    </w:p>
    <w:p>
      <w:pPr>
        <w:jc w:val="both"/>
        <w:ind w:left="660" w:right="299" w:hanging="8"/>
        <w:spacing w:after="0" w:line="255" w:lineRule="auto"/>
        <w:tabs>
          <w:tab w:leader="none" w:pos="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provides the indemnification, in its sole discretion, pursuant to the powers vested in the corporation under applicable law, (c) otherwise required to be made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(d) otherwise required by applicable law; or</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a claim for indemnification or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paid in full within ninety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deemed exclusive of any other rights to which those seeking indemnification or advancement of expenses may be entitled under the articles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NRS or other applicable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8.9   INSURANCE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corporation may purchase and maintain insurance to the fullest extent permitted by the NRS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NRS.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SURVIVAL</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rights to indemnification and advancement of expenses conferred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as to a person who has ceased to be a director, officer, employee or agent and shall inure to the benefit of the heirs, executors and administrators of such a person.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articles of incorporation or a bylaw shall not be eliminated or impaired by an amendment to or repeal or elimination of the articles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11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resulting or surviving entity as such person would have with respect to such constituent entity if its separate existence had continued.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of the corporation</w:t>
      </w:r>
      <w:r>
        <w:rPr>
          <w:rFonts w:ascii="Times New Roman" w:cs="Times New Roman" w:eastAsia="Times New Roman" w:hAnsi="Times New Roman"/>
          <w:sz w:val="18"/>
          <w:szCs w:val="18"/>
          <w:color w:val="auto"/>
        </w:rPr>
        <w:t>” shall include any service as a director, officer, employee or agent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 corporation</w:t>
      </w:r>
      <w:r>
        <w:rPr>
          <w:rFonts w:ascii="Times New Roman" w:cs="Times New Roman" w:eastAsia="Times New Roman" w:hAnsi="Times New Roman"/>
          <w:sz w:val="18"/>
          <w:szCs w:val="18"/>
          <w:color w:val="auto"/>
        </w:rPr>
        <w:t xml:space="preserve">” as referred to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34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articles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NRS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corporation, partnership, limited liability company, joint venture, trust or other enterprise and a natural person. Any reference in these bylaws to a section of the NRS shall be deemed to refer to such section as amended from time to time and any successor provisions thereto. 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 bylaws containing any such provision held to be invalid, illegal or unenforceable that is not itself held to be invalid, illegal or unenforceable) shall not in any way be affected or impaired thereby; and (ii) to the fullest extent possible, the provisions of the bylaws (including, without limitation, each such portion of any paragraph of the bylaws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articles of incorporation, confer the power to adopt, amend or repeal bylaws upon the directors. The fact that such power has been so conferred upon the directors shall not divest the stockholders of the power, nor limit their power to adopt, amend or repeal bylaws. A bylaw amendment adopted by stockholders which specifies the votes that shall be necessary for the election of directors shall not be further amended or repealed by the board of directors.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the corporation expressly consents in writing to the selection of an alternative forum, the Eighth Judicial District Court of the State of Nevada, Clark County, Nevada shall, to the fullest extent permitted by law, be the sole and exclusive forum for (i) 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NRS or the articles of incorporation or these bylaws (as either may be amended from time to time), including any internal action (as defined in NRS 78.046),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 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Any person or entity purchasing or otherwise acquiring or holding any interest in any security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This provision shall be enforceable by any party to a claim covered by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ACQUISITION OF CONTROLLING INTEREST STATUTES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the corporation or to any acquisition of shares of the corporation’s capital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F-18</w:t>
      </w:r>
    </w:p>
    <w:sectPr>
      <w:pgSz w:w="11900" w:h="16838" w:orient="portrait"/>
      <w:cols w:equalWidth="0" w:num="1">
        <w:col w:w="9019"/>
      </w:cols>
      <w:pgMar w:left="1440" w:top="2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1)"/>
      <w:numFmt w:val="lowerRoman"/>
      <w:start w:val="4"/>
    </w:lvl>
  </w:abstractNum>
  <w:abstractNum w:abstractNumId="5">
    <w:nsid w:val="257130A3"/>
    <w:multiLevelType w:val="hybridMultilevel"/>
    <w:lvl w:ilvl="0">
      <w:lvlJc w:val="left"/>
      <w:lvlText w:val="(%1)"/>
      <w:numFmt w:val="lowerRoman"/>
      <w:start w:val="3"/>
    </w:lvl>
  </w:abstractNum>
  <w:abstractNum w:abstractNumId="6">
    <w:nsid w:val="62BBD95A"/>
    <w:multiLevelType w:val="hybridMultilevel"/>
    <w:lvl w:ilvl="0">
      <w:lvlJc w:val="left"/>
      <w:lvlText w:val="(%1)"/>
      <w:numFmt w:val="lowerRoman"/>
      <w:start w:val="4"/>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3"/>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Letter"/>
      <w:start w:val="2"/>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upperLetter"/>
      <w:start w:val="2"/>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1)"/>
      <w:numFmt w:val="decimal"/>
      <w:start w:val="18"/>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8"/>
    </w:lvl>
  </w:abstractNum>
  <w:abstractNum w:abstractNumId="29">
    <w:nsid w:val="737B8DDC"/>
    <w:multiLevelType w:val="hybridMultilevel"/>
    <w:lvl w:ilvl="0">
      <w:lvlJc w:val="left"/>
      <w:lvlText w:val="(%1)"/>
      <w:numFmt w:val="upperLetter"/>
      <w:start w:val="2"/>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2025-02-10T08:23:52Z</dcterms:created>
  <dcterms:modified xsi:type="dcterms:W3CDTF">2025-02-10T08:23:52Z</dcterms:modified>
</cp:coreProperties>
</file>