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08/15/2024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11,970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22.46</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338,501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08/16/2024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2,330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22.8592</w:t>
            </w:r>
            <w:r>
              <w:rPr>
                <w:rFonts w:ascii="Times New Roman" w:cs="Times New Roman" w:eastAsia="Times New Roman" w:hAnsi="Times New Roman"/>
                <w:sz w:val="22"/>
                <w:szCs w:val="22"/>
                <w:color w:val="008000"/>
                <w:w w:val="92"/>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336,171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previously reported.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2027. In the event the Reporting Person ceases to be a Service Provider, the unvested restricted stock units will be cancelled by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March 11,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$22.60 to $22.96.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Eric Cox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Eric Cox</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47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2024-08-19T15:27:56Z</dcterms:created>
  <dcterms:modified xsi:type="dcterms:W3CDTF">2024-08-19T15:27:56Z</dcterms:modified>
</cp:coreProperties>
</file>