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t>UNITED STATES</w:t>
      </w:r>
    </w:p>
    <w:p>
      <w:pPr>
        <w:spacing w:after="0" w:line="40"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SECURITIES AND EXCHANGE COMMISSION</w:t>
      </w:r>
    </w:p>
    <w:p>
      <w:pPr>
        <w:spacing w:after="0" w:line="6"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Washington, D.C. 20549</w:t>
      </w:r>
    </w:p>
    <w:p>
      <w:pPr>
        <w:spacing w:after="0" w:line="217" w:lineRule="exact"/>
        <w:rPr>
          <w:sz w:val="24"/>
          <w:szCs w:val="24"/>
          <w:color w:val="auto"/>
        </w:rPr>
      </w:pPr>
    </w:p>
    <w:p>
      <w:pPr>
        <w:jc w:val="center"/>
        <w:ind w:right="80"/>
        <w:spacing w:after="0"/>
        <w:rPr>
          <w:sz w:val="20"/>
          <w:szCs w:val="20"/>
          <w:color w:val="auto"/>
        </w:rPr>
      </w:pPr>
      <w:r>
        <w:rPr>
          <w:rFonts w:ascii="Arial" w:cs="Arial" w:eastAsia="Arial" w:hAnsi="Arial"/>
          <w:sz w:val="35"/>
          <w:szCs w:val="35"/>
          <w:b w:val="1"/>
          <w:bCs w:val="1"/>
          <w:color w:val="auto"/>
        </w:rPr>
        <w:t>Form 8-K</w:t>
      </w:r>
    </w:p>
    <w:p>
      <w:pPr>
        <w:spacing w:after="0" w:line="271"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CURRENT REPORT</w:t>
      </w:r>
    </w:p>
    <w:p>
      <w:pPr>
        <w:spacing w:after="0" w:line="35"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Pursuant to Section 13 or 15(d)</w:t>
      </w:r>
    </w:p>
    <w:p>
      <w:pPr>
        <w:spacing w:after="0" w:line="11"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226"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February 18, 2021</w:t>
      </w:r>
    </w:p>
    <w:p>
      <w:pPr>
        <w:spacing w:after="0" w:line="35"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Date of Report (date of earliest event reported)</w:t>
      </w:r>
    </w:p>
    <w:p>
      <w:pPr>
        <w:spacing w:after="0" w:line="217" w:lineRule="exact"/>
        <w:rPr>
          <w:sz w:val="24"/>
          <w:szCs w:val="24"/>
          <w:color w:val="auto"/>
        </w:rPr>
      </w:pPr>
    </w:p>
    <w:p>
      <w:pPr>
        <w:jc w:val="center"/>
        <w:ind w:right="80"/>
        <w:spacing w:after="0"/>
        <w:rPr>
          <w:sz w:val="20"/>
          <w:szCs w:val="20"/>
          <w:color w:val="auto"/>
        </w:rPr>
      </w:pPr>
      <w:r>
        <w:rPr>
          <w:rFonts w:ascii="Arial" w:cs="Arial" w:eastAsia="Arial" w:hAnsi="Arial"/>
          <w:sz w:val="35"/>
          <w:szCs w:val="35"/>
          <w:b w:val="1"/>
          <w:bCs w:val="1"/>
          <w:color w:val="auto"/>
        </w:rPr>
        <w:t>DROPBOX, INC.</w:t>
      </w:r>
    </w:p>
    <w:p>
      <w:pPr>
        <w:spacing w:after="0" w:line="48"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340"/>
          </w:cols>
          <w:pgMar w:left="320" w:top="975" w:right="239" w:bottom="1440" w:gutter="0" w:footer="0" w:header="0"/>
        </w:sectPr>
      </w:pPr>
    </w:p>
    <w:p>
      <w:pPr>
        <w:spacing w:after="0" w:line="118" w:lineRule="exact"/>
        <w:rPr>
          <w:sz w:val="24"/>
          <w:szCs w:val="24"/>
          <w:color w:val="auto"/>
        </w:rPr>
      </w:pPr>
    </w:p>
    <w:p>
      <w:pPr>
        <w:jc w:val="center"/>
        <w:ind w:left="800"/>
        <w:spacing w:after="0"/>
        <w:rPr>
          <w:sz w:val="20"/>
          <w:szCs w:val="20"/>
          <w:color w:val="auto"/>
        </w:rPr>
      </w:pPr>
      <w:r>
        <w:rPr>
          <w:rFonts w:ascii="Arial" w:cs="Arial" w:eastAsia="Arial" w:hAnsi="Arial"/>
          <w:sz w:val="18"/>
          <w:szCs w:val="18"/>
          <w:b w:val="1"/>
          <w:bCs w:val="1"/>
          <w:color w:val="auto"/>
        </w:rPr>
        <w:t>Delaware</w:t>
      </w:r>
    </w:p>
    <w:p>
      <w:pPr>
        <w:spacing w:after="0" w:line="23" w:lineRule="exact"/>
        <w:rPr>
          <w:sz w:val="24"/>
          <w:szCs w:val="24"/>
          <w:color w:val="auto"/>
        </w:rPr>
      </w:pPr>
    </w:p>
    <w:p>
      <w:pPr>
        <w:jc w:val="center"/>
        <w:ind w:left="800"/>
        <w:spacing w:after="0"/>
        <w:rPr>
          <w:sz w:val="20"/>
          <w:szCs w:val="20"/>
          <w:color w:val="auto"/>
        </w:rPr>
      </w:pPr>
      <w:r>
        <w:rPr>
          <w:rFonts w:ascii="Arial" w:cs="Arial" w:eastAsia="Arial" w:hAnsi="Arial"/>
          <w:sz w:val="15"/>
          <w:szCs w:val="15"/>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001-38434</w:t>
      </w:r>
    </w:p>
    <w:p>
      <w:pPr>
        <w:spacing w:after="0" w:line="23" w:lineRule="exact"/>
        <w:rPr>
          <w:sz w:val="24"/>
          <w:szCs w:val="24"/>
          <w:color w:val="auto"/>
        </w:rPr>
      </w:pPr>
    </w:p>
    <w:p>
      <w:pPr>
        <w:jc w:val="center"/>
        <w:ind w:right="140"/>
        <w:spacing w:after="0"/>
        <w:rPr>
          <w:sz w:val="20"/>
          <w:szCs w:val="20"/>
          <w:color w:val="auto"/>
        </w:rPr>
      </w:pPr>
      <w:r>
        <w:rPr>
          <w:rFonts w:ascii="Arial" w:cs="Arial" w:eastAsia="Arial" w:hAnsi="Arial"/>
          <w:sz w:val="15"/>
          <w:szCs w:val="15"/>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26-0138832</w:t>
      </w:r>
    </w:p>
    <w:p>
      <w:pPr>
        <w:spacing w:after="0" w:line="23" w:lineRule="exact"/>
        <w:rPr>
          <w:sz w:val="24"/>
          <w:szCs w:val="24"/>
          <w:color w:val="auto"/>
        </w:rPr>
      </w:pPr>
    </w:p>
    <w:p>
      <w:pPr>
        <w:jc w:val="center"/>
        <w:ind w:right="1040"/>
        <w:spacing w:after="0"/>
        <w:rPr>
          <w:sz w:val="20"/>
          <w:szCs w:val="20"/>
          <w:color w:val="auto"/>
        </w:rPr>
      </w:pPr>
      <w:r>
        <w:rPr>
          <w:rFonts w:ascii="Arial" w:cs="Arial" w:eastAsia="Arial" w:hAnsi="Arial"/>
          <w:sz w:val="15"/>
          <w:szCs w:val="15"/>
          <w:b w:val="1"/>
          <w:bCs w:val="1"/>
          <w:color w:val="auto"/>
        </w:rPr>
        <w:t>(I. R. S. Employer Identification No.)</w:t>
      </w:r>
    </w:p>
    <w:p>
      <w:pPr>
        <w:spacing w:after="0" w:line="53" w:lineRule="exact"/>
        <w:rPr>
          <w:sz w:val="24"/>
          <w:szCs w:val="24"/>
          <w:color w:val="auto"/>
        </w:rPr>
      </w:pPr>
    </w:p>
    <w:p>
      <w:pPr>
        <w:sectPr>
          <w:pgSz w:w="11900" w:h="16838" w:orient="portrait"/>
          <w:cols w:equalWidth="0" w:num="3">
            <w:col w:w="3860" w:space="720"/>
            <w:col w:w="2200" w:space="720"/>
            <w:col w:w="3840"/>
          </w:cols>
          <w:pgMar w:left="320" w:top="975" w:right="239" w:bottom="1440" w:gutter="0" w:footer="0" w:header="0"/>
          <w:type w:val="continuous"/>
        </w:sectPr>
      </w:pPr>
    </w:p>
    <w:p>
      <w:pPr>
        <w:ind w:left="1780"/>
        <w:spacing w:after="0"/>
        <w:rPr>
          <w:sz w:val="20"/>
          <w:szCs w:val="20"/>
          <w:color w:val="auto"/>
        </w:rPr>
      </w:pPr>
      <w:r>
        <w:rPr>
          <w:rFonts w:ascii="Arial" w:cs="Arial" w:eastAsia="Arial" w:hAnsi="Arial"/>
          <w:sz w:val="15"/>
          <w:szCs w:val="15"/>
          <w:b w:val="1"/>
          <w:bCs w:val="1"/>
          <w:color w:val="auto"/>
        </w:rPr>
        <w:t>incorporation)</w:t>
      </w:r>
    </w:p>
    <w:p>
      <w:pPr>
        <w:sectPr>
          <w:pgSz w:w="11900" w:h="16838" w:orient="portrait"/>
          <w:cols w:equalWidth="0" w:num="1">
            <w:col w:w="11340"/>
          </w:cols>
          <w:pgMar w:left="320" w:top="975" w:right="239" w:bottom="1440" w:gutter="0" w:footer="0" w:header="0"/>
          <w:type w:val="continuous"/>
        </w:sectPr>
      </w:pPr>
    </w:p>
    <w:p>
      <w:pPr>
        <w:spacing w:after="0" w:line="302"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1800 Owens St.</w:t>
      </w:r>
    </w:p>
    <w:p>
      <w:pPr>
        <w:spacing w:after="0" w:line="23"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San Francisco, California 94158</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(415) 857-6800</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N/A</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0" w:lineRule="exact"/>
        <w:rPr>
          <w:sz w:val="24"/>
          <w:szCs w:val="24"/>
          <w:color w:val="auto"/>
        </w:rPr>
      </w:pPr>
    </w:p>
    <w:p>
      <w:pPr>
        <w:spacing w:after="0" w:line="272" w:lineRule="exact"/>
        <w:rPr>
          <w:sz w:val="24"/>
          <w:szCs w:val="24"/>
          <w:color w:val="auto"/>
        </w:rPr>
      </w:pPr>
    </w:p>
    <w:p>
      <w:pPr>
        <w:ind w:right="220"/>
        <w:spacing w:after="0" w:line="26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47" w:lineRule="exact"/>
        <w:rPr>
          <w:sz w:val="24"/>
          <w:szCs w:val="24"/>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Written communications pursuant to Rule 425 under the Securities Act (17 CFR 230.425)</w:t>
      </w:r>
    </w:p>
    <w:p>
      <w:pPr>
        <w:spacing w:after="0" w:line="272"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Soliciting material pursuant to Rule 14a-12 under the Exchange Act (17 CFR 240.14a-12)</w:t>
      </w:r>
    </w:p>
    <w:p>
      <w:pPr>
        <w:spacing w:after="0" w:line="272"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Pre-commencement communications pursuant to Rule 14d-2(b) under the Exchange Act (17 CFR 240.14d-2(b))</w:t>
      </w:r>
    </w:p>
    <w:p>
      <w:pPr>
        <w:spacing w:after="0" w:line="272"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Pre-commencement communications pursuant to Rule 13e-4(c) under the Exchange Act (17 CFR 240.13e-4(c))</w:t>
      </w:r>
    </w:p>
    <w:p>
      <w:pPr>
        <w:spacing w:after="0" w:line="23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408940</wp:posOffset>
            </wp:positionH>
            <wp:positionV relativeFrom="paragraph">
              <wp:posOffset>86995</wp:posOffset>
            </wp:positionV>
            <wp:extent cx="62661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66180" cy="8255"/>
                    </a:xfrm>
                    <a:prstGeom prst="rect">
                      <a:avLst/>
                    </a:prstGeom>
                    <a:noFill/>
                  </pic:spPr>
                </pic:pic>
              </a:graphicData>
            </a:graphic>
          </wp:anchor>
        </w:drawing>
      </w:r>
    </w:p>
    <w:p>
      <w:pPr>
        <w:spacing w:after="0" w:line="156" w:lineRule="exact"/>
        <w:rPr>
          <w:sz w:val="24"/>
          <w:szCs w:val="24"/>
          <w:color w:val="auto"/>
        </w:rPr>
      </w:pPr>
    </w:p>
    <w:tbl>
      <w:tblPr>
        <w:tblLayout w:type="fixed"/>
        <w:tblInd w:w="76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3260" w:type="dxa"/>
            <w:vAlign w:val="bottom"/>
            <w:gridSpan w:val="2"/>
          </w:tcPr>
          <w:p>
            <w:pPr>
              <w:jc w:val="center"/>
              <w:ind w:right="2200"/>
              <w:spacing w:after="0"/>
              <w:rPr>
                <w:sz w:val="20"/>
                <w:szCs w:val="20"/>
                <w:color w:val="auto"/>
              </w:rPr>
            </w:pPr>
            <w:r>
              <w:rPr>
                <w:rFonts w:ascii="Arial" w:cs="Arial" w:eastAsia="Arial" w:hAnsi="Arial"/>
                <w:sz w:val="14"/>
                <w:szCs w:val="14"/>
                <w:b w:val="1"/>
                <w:bCs w:val="1"/>
                <w:color w:val="auto"/>
                <w:w w:val="87"/>
              </w:rPr>
              <w:t>Title of each class</w:t>
            </w:r>
          </w:p>
        </w:tc>
        <w:tc>
          <w:tcPr>
            <w:tcW w:w="2680" w:type="dxa"/>
            <w:vAlign w:val="bottom"/>
            <w:gridSpan w:val="2"/>
          </w:tcPr>
          <w:p>
            <w:pPr>
              <w:jc w:val="center"/>
              <w:ind w:right="1560"/>
              <w:spacing w:after="0"/>
              <w:rPr>
                <w:sz w:val="20"/>
                <w:szCs w:val="20"/>
                <w:color w:val="auto"/>
              </w:rPr>
            </w:pPr>
            <w:r>
              <w:rPr>
                <w:rFonts w:ascii="Arial" w:cs="Arial" w:eastAsia="Arial" w:hAnsi="Arial"/>
                <w:sz w:val="14"/>
                <w:szCs w:val="14"/>
                <w:b w:val="1"/>
                <w:bCs w:val="1"/>
                <w:color w:val="auto"/>
                <w:w w:val="91"/>
              </w:rPr>
              <w:t>Trading Symbol(s)</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exchange on which registered</w:t>
            </w:r>
          </w:p>
        </w:tc>
      </w:tr>
      <w:tr>
        <w:trPr>
          <w:trHeight w:val="20"/>
        </w:trPr>
        <w:tc>
          <w:tcPr>
            <w:tcW w:w="10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r>
      <w:tr>
        <w:trPr>
          <w:trHeight w:val="195"/>
        </w:trPr>
        <w:tc>
          <w:tcPr>
            <w:tcW w:w="4260" w:type="dxa"/>
            <w:vAlign w:val="bottom"/>
            <w:gridSpan w:val="3"/>
          </w:tcPr>
          <w:p>
            <w:pPr>
              <w:jc w:val="center"/>
              <w:ind w:right="1200"/>
              <w:spacing w:after="0"/>
              <w:rPr>
                <w:sz w:val="20"/>
                <w:szCs w:val="20"/>
                <w:color w:val="auto"/>
              </w:rPr>
            </w:pPr>
            <w:r>
              <w:rPr>
                <w:rFonts w:ascii="Arial" w:cs="Arial" w:eastAsia="Arial" w:hAnsi="Arial"/>
                <w:sz w:val="14"/>
                <w:szCs w:val="14"/>
                <w:color w:val="auto"/>
                <w:w w:val="90"/>
              </w:rPr>
              <w:t>Class A Common Stock, par value $0.00001 per share</w:t>
            </w:r>
          </w:p>
        </w:tc>
        <w:tc>
          <w:tcPr>
            <w:tcW w:w="2680" w:type="dxa"/>
            <w:vAlign w:val="bottom"/>
            <w:gridSpan w:val="2"/>
          </w:tcPr>
          <w:p>
            <w:pPr>
              <w:jc w:val="center"/>
              <w:ind w:right="1580"/>
              <w:spacing w:after="0"/>
              <w:rPr>
                <w:sz w:val="20"/>
                <w:szCs w:val="20"/>
                <w:color w:val="auto"/>
              </w:rPr>
            </w:pPr>
            <w:r>
              <w:rPr>
                <w:rFonts w:ascii="Arial" w:cs="Arial" w:eastAsia="Arial" w:hAnsi="Arial"/>
                <w:sz w:val="14"/>
                <w:szCs w:val="14"/>
                <w:color w:val="auto"/>
              </w:rPr>
              <w:t>DBX</w:t>
            </w:r>
          </w:p>
        </w:tc>
        <w:tc>
          <w:tcPr>
            <w:tcW w:w="2320" w:type="dxa"/>
            <w:vAlign w:val="bottom"/>
          </w:tcPr>
          <w:p>
            <w:pPr>
              <w:jc w:val="center"/>
              <w:spacing w:after="0"/>
              <w:rPr>
                <w:sz w:val="20"/>
                <w:szCs w:val="20"/>
                <w:color w:val="auto"/>
              </w:rPr>
            </w:pPr>
            <w:r>
              <w:rPr>
                <w:rFonts w:ascii="Arial" w:cs="Arial" w:eastAsia="Arial" w:hAnsi="Arial"/>
                <w:sz w:val="14"/>
                <w:szCs w:val="14"/>
                <w:color w:val="auto"/>
                <w:w w:val="96"/>
              </w:rPr>
              <w:t>The NASDAQ Stock Market LLC</w:t>
            </w:r>
          </w:p>
        </w:tc>
      </w:tr>
      <w:tr>
        <w:trPr>
          <w:trHeight w:val="186"/>
        </w:trPr>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320" w:type="dxa"/>
            <w:vAlign w:val="bottom"/>
          </w:tcPr>
          <w:p>
            <w:pPr>
              <w:jc w:val="center"/>
              <w:spacing w:after="0"/>
              <w:rPr>
                <w:sz w:val="20"/>
                <w:szCs w:val="20"/>
                <w:color w:val="auto"/>
              </w:rPr>
            </w:pPr>
            <w:r>
              <w:rPr>
                <w:rFonts w:ascii="Arial" w:cs="Arial" w:eastAsia="Arial" w:hAnsi="Arial"/>
                <w:sz w:val="14"/>
                <w:szCs w:val="14"/>
                <w:color w:val="auto"/>
                <w:w w:val="91"/>
              </w:rPr>
              <w:t>(Nasdaq Global Select Market)</w:t>
            </w:r>
          </w:p>
        </w:tc>
      </w:tr>
    </w:tbl>
    <w:p>
      <w:pPr>
        <w:spacing w:after="0" w:line="384" w:lineRule="exact"/>
        <w:rPr>
          <w:sz w:val="24"/>
          <w:szCs w:val="24"/>
          <w:color w:val="auto"/>
        </w:rPr>
      </w:pPr>
    </w:p>
    <w:p>
      <w:pPr>
        <w:spacing w:after="0" w:line="26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1"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pacing w:after="0" w:line="286" w:lineRule="exact"/>
        <w:rPr>
          <w:sz w:val="24"/>
          <w:szCs w:val="24"/>
          <w:color w:val="auto"/>
        </w:rPr>
      </w:pPr>
    </w:p>
    <w:p>
      <w:pPr>
        <w:ind w:right="260"/>
        <w:spacing w:after="0" w:line="255"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680085</wp:posOffset>
            </wp:positionV>
            <wp:extent cx="71348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340"/>
          </w:cols>
          <w:pgMar w:left="320" w:top="975"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25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On February 18, 2021, Dropbox, Inc. (“Dropbox” or the "Company") issued a press release and will hold a conference call announcing its financial results for the quarter and fiscal year ended December 31, 2020. A copy of the press release is attached as Exhibit 99.1 to this current report on Form 8-K and is incorporated by reference herein.</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25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On February 18, 2021, Dropbox posted supplemental investor materials on its investors.dropbox.com website. Dropbox intends to use its investors.dropbox.com website as a means of disclosing material non-public information and for complying with its disclosure obligations under Regulation FD.</w:t>
      </w:r>
    </w:p>
    <w:p>
      <w:pPr>
        <w:spacing w:after="0" w:line="214" w:lineRule="exact"/>
        <w:rPr>
          <w:sz w:val="20"/>
          <w:szCs w:val="20"/>
          <w:color w:val="auto"/>
        </w:rPr>
      </w:pPr>
    </w:p>
    <w:p>
      <w:pPr>
        <w:ind w:right="240"/>
        <w:spacing w:after="0" w:line="331" w:lineRule="auto"/>
        <w:rPr>
          <w:sz w:val="20"/>
          <w:szCs w:val="20"/>
          <w:color w:val="auto"/>
        </w:rPr>
      </w:pPr>
      <w:r>
        <w:rPr>
          <w:rFonts w:ascii="Arial" w:cs="Arial" w:eastAsia="Arial" w:hAnsi="Arial"/>
          <w:sz w:val="15"/>
          <w:szCs w:val="15"/>
          <w:color w:val="auto"/>
        </w:rPr>
        <w:t>The information in this current report on Form 8-K and the exhibits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34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9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86"/>
        </w:trPr>
        <w:tc>
          <w:tcPr>
            <w:tcW w:w="20" w:type="dxa"/>
            <w:vAlign w:val="bottom"/>
          </w:tcPr>
          <w:p>
            <w:pPr>
              <w:spacing w:after="0"/>
              <w:rPr>
                <w:sz w:val="24"/>
                <w:szCs w:val="2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Exhibit No.</w:t>
            </w:r>
          </w:p>
        </w:tc>
        <w:tc>
          <w:tcPr>
            <w:tcW w:w="240" w:type="dxa"/>
            <w:vAlign w:val="bottom"/>
          </w:tcPr>
          <w:p>
            <w:pPr>
              <w:spacing w:after="0"/>
              <w:rPr>
                <w:sz w:val="24"/>
                <w:szCs w:val="24"/>
                <w:color w:val="auto"/>
              </w:rPr>
            </w:pPr>
          </w:p>
        </w:tc>
        <w:tc>
          <w:tcPr>
            <w:tcW w:w="98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Exhibit Description</w:t>
            </w:r>
          </w:p>
        </w:tc>
        <w:tc>
          <w:tcPr>
            <w:tcW w:w="20" w:type="dxa"/>
            <w:vAlign w:val="bottom"/>
          </w:tcPr>
          <w:p>
            <w:pPr>
              <w:spacing w:after="0"/>
              <w:rPr>
                <w:sz w:val="24"/>
                <w:szCs w:val="24"/>
                <w:color w:val="auto"/>
              </w:rPr>
            </w:pPr>
          </w:p>
        </w:tc>
      </w:tr>
      <w:tr>
        <w:trPr>
          <w:trHeight w:val="218"/>
        </w:trPr>
        <w:tc>
          <w:tcPr>
            <w:tcW w:w="1100" w:type="dxa"/>
            <w:vAlign w:val="bottom"/>
            <w:gridSpan w:val="2"/>
          </w:tcPr>
          <w:p>
            <w:pPr>
              <w:jc w:val="right"/>
              <w:ind w:right="291"/>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19"/>
                <w:szCs w:val="19"/>
                <w:color w:val="auto"/>
              </w:rPr>
            </w:pPr>
          </w:p>
        </w:tc>
        <w:tc>
          <w:tcPr>
            <w:tcW w:w="9900" w:type="dxa"/>
            <w:vAlign w:val="bottom"/>
            <w:gridSpan w:val="2"/>
          </w:tcPr>
          <w:p>
            <w:pPr>
              <w:ind w:left="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Press Release entitled “Dropbox Announces Fourth Quarter and Fiscal 2020 Results" dated February 18, 2021</w:t>
              </w:r>
            </w:hyperlink>
          </w:p>
        </w:tc>
      </w:tr>
      <w:tr>
        <w:trPr>
          <w:trHeight w:val="1190"/>
        </w:trPr>
        <w:tc>
          <w:tcPr>
            <w:tcW w:w="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-16510</wp:posOffset>
            </wp:positionV>
            <wp:extent cx="82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51"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18, 2021</w:t>
      </w:r>
    </w:p>
    <w:p>
      <w:pPr>
        <w:spacing w:after="0" w:line="345"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Dropbox, Inc.</w:t>
      </w:r>
    </w:p>
    <w:p>
      <w:pPr>
        <w:spacing w:after="0" w:line="25"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/s/ Timothy J. Regan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2179955</wp:posOffset>
            </wp:positionH>
            <wp:positionV relativeFrom="paragraph">
              <wp:posOffset>11430</wp:posOffset>
            </wp:positionV>
            <wp:extent cx="27832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83205" cy="8255"/>
                    </a:xfrm>
                    <a:prstGeom prst="rect">
                      <a:avLst/>
                    </a:prstGeom>
                    <a:noFill/>
                  </pic:spPr>
                </pic:pic>
              </a:graphicData>
            </a:graphic>
          </wp:anchor>
        </w:drawing>
      </w:r>
    </w:p>
    <w:p>
      <w:pPr>
        <w:spacing w:after="0" w:line="12"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Timothy J. Regan</w:t>
      </w:r>
    </w:p>
    <w:p>
      <w:pPr>
        <w:spacing w:after="0" w:line="1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100"/>
          </w:cols>
          <w:pgMar w:left="320" w:top="878" w:right="479" w:bottom="1440" w:gutter="0" w:footer="0" w:header="0"/>
        </w:sectPr>
      </w:pPr>
    </w:p>
    <w:bookmarkStart w:id="3" w:name="page4"/>
    <w:bookmarkEnd w:id="3"/>
    <w:p>
      <w:pPr>
        <w:ind w:left="3640"/>
        <w:spacing w:after="0"/>
        <w:rPr>
          <w:sz w:val="20"/>
          <w:szCs w:val="20"/>
          <w:color w:val="auto"/>
        </w:rPr>
      </w:pPr>
      <w:r>
        <w:rPr>
          <w:rFonts w:ascii="Arial" w:cs="Arial" w:eastAsia="Arial" w:hAnsi="Arial"/>
          <w:sz w:val="18"/>
          <w:szCs w:val="18"/>
          <w:b w:val="1"/>
          <w:bCs w:val="1"/>
          <w:color w:val="auto"/>
        </w:rPr>
        <w:t>Dropbox Announces Fourth Quarter and Fiscal 2020 Results</w:t>
      </w:r>
    </w:p>
    <w:p>
      <w:pPr>
        <w:spacing w:after="0" w:line="251" w:lineRule="exact"/>
        <w:rPr>
          <w:sz w:val="20"/>
          <w:szCs w:val="20"/>
          <w:color w:val="auto"/>
        </w:rPr>
      </w:pPr>
    </w:p>
    <w:p>
      <w:pPr>
        <w:jc w:val="center"/>
        <w:ind w:left="340" w:right="2060"/>
        <w:spacing w:after="0" w:line="256" w:lineRule="auto"/>
        <w:rPr>
          <w:sz w:val="20"/>
          <w:szCs w:val="20"/>
          <w:color w:val="auto"/>
        </w:rPr>
      </w:pPr>
      <w:r>
        <w:rPr>
          <w:rFonts w:ascii="Arial" w:cs="Arial" w:eastAsia="Arial" w:hAnsi="Arial"/>
          <w:sz w:val="18"/>
          <w:szCs w:val="18"/>
          <w:color w:val="auto"/>
        </w:rPr>
        <w:t>Fourth Quarter Revenue of $504.1 Million, Up 13% Year-over-year Net Cash Provided by Operating Activities of $170.7 Million and Free Cash Flow of $158.4 Million Surpasses $2 Billion in Total Annual Recurring Revenue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Fiscal 2020 Revenue of $1.914 Billion, Up 15% Year-over-year</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Net Cash Provided by Operating Activities of $570.8 Million and Free Cash Flow of $490.7 Million</w:t>
      </w:r>
    </w:p>
    <w:p>
      <w:pPr>
        <w:spacing w:after="0" w:line="227" w:lineRule="exact"/>
        <w:rPr>
          <w:sz w:val="20"/>
          <w:szCs w:val="20"/>
          <w:color w:val="auto"/>
        </w:rPr>
      </w:pPr>
    </w:p>
    <w:p>
      <w:pPr>
        <w:ind w:right="300"/>
        <w:spacing w:after="0" w:line="272" w:lineRule="auto"/>
        <w:rPr>
          <w:sz w:val="20"/>
          <w:szCs w:val="20"/>
          <w:color w:val="auto"/>
        </w:rPr>
      </w:pPr>
      <w:r>
        <w:rPr>
          <w:rFonts w:ascii="Arial" w:cs="Arial" w:eastAsia="Arial" w:hAnsi="Arial"/>
          <w:sz w:val="18"/>
          <w:szCs w:val="18"/>
          <w:b w:val="1"/>
          <w:bCs w:val="1"/>
          <w:color w:val="auto"/>
        </w:rPr>
        <w:t xml:space="preserve">SAN FRANCISCO, Calif. </w:t>
      </w:r>
      <w:r>
        <w:rPr>
          <w:rFonts w:ascii="Arial" w:cs="Arial" w:eastAsia="Arial" w:hAnsi="Arial"/>
          <w:sz w:val="18"/>
          <w:szCs w:val="18"/>
          <w:color w:val="auto"/>
        </w:rPr>
        <w:t>- February 18, 2021 - Dropbox, Inc. (NASDAQ: DBX), today announced financial results for its fourth quarter and fiscal year</w:t>
      </w:r>
      <w:r>
        <w:rPr>
          <w:rFonts w:ascii="Arial" w:cs="Arial" w:eastAsia="Arial" w:hAnsi="Arial"/>
          <w:sz w:val="18"/>
          <w:szCs w:val="18"/>
          <w:b w:val="1"/>
          <w:bCs w:val="1"/>
          <w:color w:val="auto"/>
        </w:rPr>
        <w:t xml:space="preserve"> </w:t>
      </w:r>
      <w:r>
        <w:rPr>
          <w:rFonts w:ascii="Arial" w:cs="Arial" w:eastAsia="Arial" w:hAnsi="Arial"/>
          <w:sz w:val="18"/>
          <w:szCs w:val="18"/>
          <w:color w:val="auto"/>
        </w:rPr>
        <w:t>ended December 31, 2020.</w:t>
      </w:r>
    </w:p>
    <w:p>
      <w:pPr>
        <w:spacing w:after="0" w:line="20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“2020 was a transformational year for Dropbox and I’m proud of the team for their resilience and focus in addressing our customers’ evolving needs,” said Dropbox Co-founder and Chief Executive Officer Drew Houston. “We ended the year with strong margin expansion, free cash flow, and more than $2B in ARR as we continued to make progress toward our long-term financial targets. Going into 2021, we’re focused on executing against our strategy and building essential products for the new era of distributed work.”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Fiscal 2020 Results</w:t>
      </w:r>
    </w:p>
    <w:p>
      <w:pPr>
        <w:spacing w:after="0" w:line="251" w:lineRule="exact"/>
        <w:rPr>
          <w:sz w:val="20"/>
          <w:szCs w:val="20"/>
          <w:color w:val="auto"/>
        </w:rPr>
      </w:pPr>
    </w:p>
    <w:p>
      <w:pPr>
        <w:ind w:left="640" w:right="320" w:hanging="315"/>
        <w:spacing w:after="0" w:line="270"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revenue was $504.1 million, an increase of 13% from the same period last year. On a constant currency basis, year-over-year growth would have been 13%.</w:t>
      </w:r>
      <w:r>
        <w:rPr>
          <w:rFonts w:ascii="Arial" w:cs="Arial" w:eastAsia="Arial" w:hAnsi="Arial"/>
          <w:sz w:val="23"/>
          <w:szCs w:val="23"/>
          <w:color w:val="auto"/>
          <w:vertAlign w:val="superscript"/>
        </w:rPr>
        <w:t>(1)</w:t>
      </w:r>
    </w:p>
    <w:p>
      <w:pPr>
        <w:spacing w:after="0" w:line="133" w:lineRule="exact"/>
        <w:rPr>
          <w:rFonts w:ascii="Arial" w:cs="Arial" w:eastAsia="Arial" w:hAnsi="Arial"/>
          <w:sz w:val="18"/>
          <w:szCs w:val="18"/>
          <w:color w:val="auto"/>
        </w:rPr>
      </w:pPr>
    </w:p>
    <w:p>
      <w:pPr>
        <w:ind w:left="640" w:right="140" w:hanging="315"/>
        <w:spacing w:after="0" w:line="270"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ARR ended at $2.022 billion, an increase of $41.2 million quarter-over-quarter and an increase of 11% year-over-year. On a constant currency basis, year-over-year growth would have been 12%.</w:t>
      </w:r>
      <w:r>
        <w:rPr>
          <w:rFonts w:ascii="Arial" w:cs="Arial" w:eastAsia="Arial" w:hAnsi="Arial"/>
          <w:sz w:val="23"/>
          <w:szCs w:val="23"/>
          <w:color w:val="auto"/>
          <w:vertAlign w:val="superscript"/>
        </w:rPr>
        <w:t>(2)</w:t>
      </w:r>
    </w:p>
    <w:p>
      <w:pPr>
        <w:spacing w:after="0" w:line="133" w:lineRule="exact"/>
        <w:rPr>
          <w:rFonts w:ascii="Arial" w:cs="Arial" w:eastAsia="Arial" w:hAnsi="Arial"/>
          <w:sz w:val="18"/>
          <w:szCs w:val="18"/>
          <w:color w:val="auto"/>
        </w:rPr>
      </w:pPr>
    </w:p>
    <w:p>
      <w:pPr>
        <w:ind w:left="640" w:right="280" w:hanging="315"/>
        <w:spacing w:after="0" w:line="265"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color w:val="auto"/>
        </w:rPr>
        <w:t>Paying users ended at 15.48 million, as compared to 14.31 million for the same period last year. Average revenue per paying user was $130.17, as compared to $125.00 for the same period last year.</w:t>
      </w:r>
    </w:p>
    <w:p>
      <w:pPr>
        <w:spacing w:after="0" w:line="206" w:lineRule="exact"/>
        <w:rPr>
          <w:rFonts w:ascii="Arial" w:cs="Arial" w:eastAsia="Arial" w:hAnsi="Arial"/>
          <w:sz w:val="18"/>
          <w:szCs w:val="18"/>
          <w:color w:val="auto"/>
        </w:rPr>
      </w:pPr>
    </w:p>
    <w:p>
      <w:pPr>
        <w:ind w:left="640" w:right="140" w:hanging="315"/>
        <w:spacing w:after="0" w:line="265"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gross margin was 79.0%, as compared to 76.5% in the same period last year. Non-GAAP gross margin was 80.1%, as compared to 77.6% in the same period last year.</w:t>
      </w:r>
    </w:p>
    <w:p>
      <w:pPr>
        <w:spacing w:after="0" w:line="206" w:lineRule="exact"/>
        <w:rPr>
          <w:rFonts w:ascii="Arial" w:cs="Arial" w:eastAsia="Arial" w:hAnsi="Arial"/>
          <w:sz w:val="18"/>
          <w:szCs w:val="18"/>
          <w:color w:val="auto"/>
        </w:rPr>
      </w:pPr>
    </w:p>
    <w:p>
      <w:pPr>
        <w:ind w:left="640" w:right="380" w:hanging="315"/>
        <w:spacing w:after="0" w:line="295" w:lineRule="auto"/>
        <w:tabs>
          <w:tab w:leader="none" w:pos="635" w:val="left"/>
        </w:tabs>
        <w:numPr>
          <w:ilvl w:val="0"/>
          <w:numId w:val="2"/>
        </w:numPr>
        <w:rPr>
          <w:rFonts w:ascii="Arial" w:cs="Arial" w:eastAsia="Arial" w:hAnsi="Arial"/>
          <w:sz w:val="17"/>
          <w:szCs w:val="17"/>
          <w:color w:val="auto"/>
        </w:rPr>
      </w:pPr>
      <w:r>
        <w:rPr>
          <w:rFonts w:ascii="Arial" w:cs="Arial" w:eastAsia="Arial" w:hAnsi="Arial"/>
          <w:sz w:val="17"/>
          <w:szCs w:val="17"/>
          <w:color w:val="auto"/>
        </w:rPr>
        <w:t>GAAP operating margin was (68.8%), as compared to (1.5%) in the same period last year due to non-recurring impairment charges in the fourth quarter of 2020. Non-GAAP operating margin was 25.3%, as compared to 15.6% in the same period last year.</w:t>
      </w:r>
    </w:p>
    <w:p>
      <w:pPr>
        <w:spacing w:after="0" w:line="183" w:lineRule="exact"/>
        <w:rPr>
          <w:rFonts w:ascii="Arial" w:cs="Arial" w:eastAsia="Arial" w:hAnsi="Arial"/>
          <w:sz w:val="17"/>
          <w:szCs w:val="17"/>
          <w:color w:val="auto"/>
        </w:rPr>
      </w:pPr>
    </w:p>
    <w:p>
      <w:pPr>
        <w:ind w:left="640" w:right="460" w:hanging="315"/>
        <w:spacing w:after="0" w:line="366" w:lineRule="auto"/>
        <w:tabs>
          <w:tab w:leader="none" w:pos="635" w:val="left"/>
        </w:tabs>
        <w:numPr>
          <w:ilvl w:val="0"/>
          <w:numId w:val="2"/>
        </w:numPr>
        <w:rPr>
          <w:rFonts w:ascii="Arial" w:cs="Arial" w:eastAsia="Arial" w:hAnsi="Arial"/>
          <w:sz w:val="15"/>
          <w:szCs w:val="15"/>
          <w:color w:val="auto"/>
        </w:rPr>
      </w:pPr>
      <w:r>
        <w:rPr>
          <w:rFonts w:ascii="Arial" w:cs="Arial" w:eastAsia="Arial" w:hAnsi="Arial"/>
          <w:sz w:val="15"/>
          <w:szCs w:val="15"/>
          <w:color w:val="auto"/>
        </w:rPr>
        <w:t>GAAP net loss was ($345.8) million, as compared to ($6.6) million in the same period last year due to non-recurring impairment charges in the fourth quarter of 2020. Non-GAAP net income was $117.9 million, as compared to $67.4 million in the same period last year.</w:t>
      </w:r>
    </w:p>
    <w:p>
      <w:pPr>
        <w:spacing w:after="0" w:line="137" w:lineRule="exact"/>
        <w:rPr>
          <w:rFonts w:ascii="Arial" w:cs="Arial" w:eastAsia="Arial" w:hAnsi="Arial"/>
          <w:sz w:val="15"/>
          <w:szCs w:val="15"/>
          <w:color w:val="auto"/>
        </w:rPr>
      </w:pPr>
    </w:p>
    <w:p>
      <w:pPr>
        <w:ind w:left="640" w:right="80" w:hanging="315"/>
        <w:spacing w:after="0" w:line="265"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cash provided by operating activities was $170.7 million, as compared to $186.8 million in the same period last year. Free cash flow was $158.4 million, as compared to $161.3 million in the same period last year.</w:t>
      </w:r>
    </w:p>
    <w:p>
      <w:pPr>
        <w:spacing w:after="0" w:line="206" w:lineRule="exact"/>
        <w:rPr>
          <w:rFonts w:ascii="Arial" w:cs="Arial" w:eastAsia="Arial" w:hAnsi="Arial"/>
          <w:sz w:val="18"/>
          <w:szCs w:val="18"/>
          <w:color w:val="auto"/>
        </w:rPr>
      </w:pPr>
    </w:p>
    <w:p>
      <w:pPr>
        <w:ind w:left="640" w:hanging="315"/>
        <w:spacing w:after="0" w:line="260"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basic and diluted net loss per share attributable to common stockholders was ($0.84), as compared to ($0.02) in the same period last year due to non-recurring impairment charges in the fourth quarter of 2020. Non-GAAP diluted net income per share attributable to common stockholders was $0.28, as compared to $0.16 in the same period last year.</w:t>
      </w:r>
      <w:r>
        <w:rPr>
          <w:rFonts w:ascii="Arial" w:cs="Arial" w:eastAsia="Arial" w:hAnsi="Arial"/>
          <w:sz w:val="23"/>
          <w:szCs w:val="23"/>
          <w:color w:val="auto"/>
          <w:vertAlign w:val="superscript"/>
        </w:rPr>
        <w:t>(3)</w:t>
      </w:r>
    </w:p>
    <w:p>
      <w:pPr>
        <w:spacing w:after="0" w:line="141" w:lineRule="exact"/>
        <w:rPr>
          <w:rFonts w:ascii="Arial" w:cs="Arial" w:eastAsia="Arial" w:hAnsi="Arial"/>
          <w:sz w:val="18"/>
          <w:szCs w:val="18"/>
          <w:color w:val="auto"/>
        </w:rPr>
      </w:pPr>
    </w:p>
    <w:p>
      <w:pPr>
        <w:ind w:left="640" w:hanging="315"/>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Cash, cash equivalents and short-term investments ended at $1.121 billion.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Fiscal 2020 Results</w:t>
      </w:r>
    </w:p>
    <w:p>
      <w:pPr>
        <w:spacing w:after="0" w:line="243" w:lineRule="exact"/>
        <w:rPr>
          <w:sz w:val="20"/>
          <w:szCs w:val="20"/>
          <w:color w:val="auto"/>
        </w:rPr>
      </w:pPr>
    </w:p>
    <w:p>
      <w:pPr>
        <w:ind w:left="640" w:hanging="315"/>
        <w:spacing w:after="0"/>
        <w:tabs>
          <w:tab w:leader="none" w:pos="64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Total revenue was $1.914 billion, an increase of 15% year over year. On a constant currency basis, year-over-year growth would have been 16%.</w:t>
      </w:r>
      <w:r>
        <w:rPr>
          <w:rFonts w:ascii="Arial" w:cs="Arial" w:eastAsia="Arial" w:hAnsi="Arial"/>
          <w:sz w:val="21"/>
          <w:szCs w:val="21"/>
          <w:color w:val="auto"/>
          <w:vertAlign w:val="superscript"/>
        </w:rPr>
        <w:t>(1)</w:t>
      </w:r>
    </w:p>
    <w:p>
      <w:pPr>
        <w:spacing w:after="0" w:line="217" w:lineRule="exact"/>
        <w:rPr>
          <w:rFonts w:ascii="Arial" w:cs="Arial" w:eastAsia="Arial" w:hAnsi="Arial"/>
          <w:sz w:val="16"/>
          <w:szCs w:val="16"/>
          <w:b w:val="1"/>
          <w:bCs w:val="1"/>
          <w:color w:val="auto"/>
        </w:rPr>
      </w:pPr>
    </w:p>
    <w:p>
      <w:pPr>
        <w:ind w:left="640" w:hanging="315"/>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Average revenue per paying user was $128.50, as compared to $123.07 in the prior year.</w:t>
      </w:r>
    </w:p>
    <w:p>
      <w:pPr>
        <w:spacing w:after="0" w:line="244" w:lineRule="exact"/>
        <w:rPr>
          <w:rFonts w:ascii="Arial" w:cs="Arial" w:eastAsia="Arial" w:hAnsi="Arial"/>
          <w:sz w:val="18"/>
          <w:szCs w:val="18"/>
          <w:color w:val="auto"/>
        </w:rPr>
      </w:pPr>
    </w:p>
    <w:p>
      <w:pPr>
        <w:ind w:left="640" w:right="300" w:hanging="315"/>
        <w:spacing w:after="0" w:line="26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GAAP gross margin was 78.3%, as compared to 75.3% in the prior year. Non-GAAP gross margin was 79.4%, as compared to 76.4% in the prior year.</w:t>
      </w:r>
    </w:p>
    <w:p>
      <w:pPr>
        <w:sectPr>
          <w:pgSz w:w="11900" w:h="16838" w:orient="portrait"/>
          <w:cols w:equalWidth="0" w:num="1">
            <w:col w:w="11240"/>
          </w:cols>
          <w:pgMar w:left="320" w:top="878" w:right="339" w:bottom="1440" w:gutter="0" w:footer="0" w:header="0"/>
        </w:sectPr>
      </w:pPr>
    </w:p>
    <w:bookmarkStart w:id="4" w:name="page5"/>
    <w:bookmarkEnd w:id="4"/>
    <w:p>
      <w:pPr>
        <w:ind w:left="640" w:hanging="315"/>
        <w:spacing w:after="0" w:line="265"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GAAP operating margin was (14.5%), as compared to (4.8%) in the prior year due to non-recurring impairment charges in the fourth quarter of 2020. Non-GAAP operating margin was 21.4%, as compared to 12.3% in the prior year.</w:t>
      </w:r>
    </w:p>
    <w:p>
      <w:pPr>
        <w:spacing w:after="0" w:line="206" w:lineRule="exact"/>
        <w:rPr>
          <w:rFonts w:ascii="Arial" w:cs="Arial" w:eastAsia="Arial" w:hAnsi="Arial"/>
          <w:sz w:val="18"/>
          <w:szCs w:val="18"/>
          <w:color w:val="auto"/>
        </w:rPr>
      </w:pPr>
    </w:p>
    <w:p>
      <w:pPr>
        <w:ind w:left="640" w:right="40" w:hanging="315"/>
        <w:spacing w:after="0" w:line="265"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GAAP net loss was ($256.3) million, as compared to ($52.70) million in the prior year due to non-recurring impairment charges in the fourth quarter of 2020. Non-GAAP net income was $391.1 million, as compared to $207.0 million in the prior year.</w:t>
      </w:r>
    </w:p>
    <w:p>
      <w:pPr>
        <w:spacing w:after="0" w:line="206" w:lineRule="exact"/>
        <w:rPr>
          <w:rFonts w:ascii="Arial" w:cs="Arial" w:eastAsia="Arial" w:hAnsi="Arial"/>
          <w:sz w:val="18"/>
          <w:szCs w:val="18"/>
          <w:color w:val="auto"/>
        </w:rPr>
      </w:pPr>
    </w:p>
    <w:p>
      <w:pPr>
        <w:ind w:left="640" w:right="120" w:hanging="315"/>
        <w:spacing w:after="0" w:line="265"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cash provided by operating activities was $570.8 million, as compared to $528.5 million in the prior year. Free cash flow was $490.7 million as compared to $392.4 million in the prior year.</w:t>
      </w:r>
    </w:p>
    <w:p>
      <w:pPr>
        <w:spacing w:after="0" w:line="206" w:lineRule="exact"/>
        <w:rPr>
          <w:rFonts w:ascii="Arial" w:cs="Arial" w:eastAsia="Arial" w:hAnsi="Arial"/>
          <w:sz w:val="18"/>
          <w:szCs w:val="18"/>
          <w:color w:val="auto"/>
        </w:rPr>
      </w:pPr>
    </w:p>
    <w:p>
      <w:pPr>
        <w:ind w:left="640" w:hanging="315"/>
        <w:spacing w:after="0" w:line="260"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GAAP basic and diluted net loss per share attributable to common stockholders was ($0.62), as compared to ($0.13) in the prior year due to non-recurring impairment charges in the fourth quarter of 2020. Non-GAAP diluted net income per share attributable to common stockholders was $0.93, as compared to $0.50 in the prior year.</w:t>
      </w:r>
      <w:r>
        <w:rPr>
          <w:rFonts w:ascii="Arial" w:cs="Arial" w:eastAsia="Arial" w:hAnsi="Arial"/>
          <w:sz w:val="23"/>
          <w:szCs w:val="23"/>
          <w:color w:val="auto"/>
          <w:vertAlign w:val="superscript"/>
        </w:rPr>
        <w:t>(4)</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Impairment Charges</w:t>
      </w:r>
    </w:p>
    <w:p>
      <w:pPr>
        <w:spacing w:after="0" w:line="251" w:lineRule="exact"/>
        <w:rPr>
          <w:sz w:val="20"/>
          <w:szCs w:val="20"/>
          <w:color w:val="auto"/>
        </w:rPr>
      </w:pPr>
    </w:p>
    <w:p>
      <w:pPr>
        <w:ind w:left="640" w:hanging="315"/>
        <w:spacing w:after="0" w:line="265" w:lineRule="auto"/>
        <w:tabs>
          <w:tab w:leader="none" w:pos="635" w:val="left"/>
        </w:tabs>
        <w:numPr>
          <w:ilvl w:val="0"/>
          <w:numId w:val="5"/>
        </w:numPr>
        <w:rPr>
          <w:rFonts w:ascii="Arial" w:cs="Arial" w:eastAsia="Arial" w:hAnsi="Arial"/>
          <w:sz w:val="17"/>
          <w:szCs w:val="17"/>
          <w:color w:val="auto"/>
        </w:rPr>
      </w:pPr>
      <w:r>
        <w:rPr>
          <w:rFonts w:ascii="Arial" w:cs="Arial" w:eastAsia="Arial" w:hAnsi="Arial"/>
          <w:sz w:val="17"/>
          <w:szCs w:val="17"/>
          <w:color w:val="auto"/>
        </w:rPr>
        <w:t>In the fourth quarter of 2020, we announced a new Virtual First work model pursuant to which remote work will become the primary experience for all of our employees. As part of the Virtual First strategy, we will retain a portion of our office space to be used for team collaboration and a portion will be marketed for sublease. We reassessed our real estate asset groups and estimated the fair value of the office space to be subleased using current market conditions. Where the carrying value of the individual asset groups exceeded their fair value, an impairment charge was recognized for the difference. As a result, we recorded total impairment charges of $398.2 million in the fourth quarter of 2020 for right-of-use and other lease related assets. We have excluded this impairment charge from non-GAAP operating income and non-GAAP net income. We continue to expect to incur additional charges related to certain European leases over the next twelve months, which could range between $0 and $50 million depending on the then current market and economic conditions.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Authorization</w:t>
      </w:r>
    </w:p>
    <w:p>
      <w:pPr>
        <w:spacing w:after="0" w:line="251" w:lineRule="exact"/>
        <w:rPr>
          <w:sz w:val="20"/>
          <w:szCs w:val="20"/>
          <w:color w:val="auto"/>
        </w:rPr>
      </w:pPr>
    </w:p>
    <w:p>
      <w:pPr>
        <w:ind w:left="640" w:right="240" w:hanging="315"/>
        <w:spacing w:after="0" w:line="256" w:lineRule="auto"/>
        <w:tabs>
          <w:tab w:leader="none" w:pos="635" w:val="left"/>
        </w:tabs>
        <w:numPr>
          <w:ilvl w:val="1"/>
          <w:numId w:val="6"/>
        </w:numPr>
        <w:rPr>
          <w:rFonts w:ascii="Arial" w:cs="Arial" w:eastAsia="Arial" w:hAnsi="Arial"/>
          <w:sz w:val="18"/>
          <w:szCs w:val="18"/>
          <w:color w:val="auto"/>
        </w:rPr>
      </w:pPr>
      <w:r>
        <w:rPr>
          <w:rFonts w:ascii="Arial" w:cs="Arial" w:eastAsia="Arial" w:hAnsi="Arial"/>
          <w:sz w:val="18"/>
          <w:szCs w:val="18"/>
          <w:color w:val="auto"/>
        </w:rPr>
        <w:t>On February 12, 2021, the Board of Directors authorized Dropbox to repurchase an additional $1 billion of its Class A common stock. The repurchase is expected to be executed, subject to general business and market conditions and other investment opportunities, through open market purchases or privately negotiated transactions, including through Rule 10b5-1 plans.</w:t>
      </w:r>
    </w:p>
    <w:p>
      <w:pPr>
        <w:spacing w:after="0" w:line="200" w:lineRule="exact"/>
        <w:rPr>
          <w:rFonts w:ascii="Arial" w:cs="Arial" w:eastAsia="Arial" w:hAnsi="Arial"/>
          <w:sz w:val="18"/>
          <w:szCs w:val="18"/>
          <w:color w:val="auto"/>
        </w:rPr>
      </w:pPr>
    </w:p>
    <w:p>
      <w:pPr>
        <w:spacing w:after="0" w:line="252" w:lineRule="exact"/>
        <w:rPr>
          <w:rFonts w:ascii="Arial" w:cs="Arial" w:eastAsia="Arial" w:hAnsi="Arial"/>
          <w:sz w:val="18"/>
          <w:szCs w:val="18"/>
          <w:color w:val="auto"/>
        </w:rPr>
      </w:pPr>
    </w:p>
    <w:p>
      <w:pPr>
        <w:ind w:left="160" w:hanging="154"/>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We calculate constant currency revenue growth rates by applying the prior period weighted average exchange rates to current period results.</w:t>
      </w:r>
    </w:p>
    <w:p>
      <w:pPr>
        <w:spacing w:after="0" w:line="220" w:lineRule="exact"/>
        <w:rPr>
          <w:rFonts w:ascii="Arial" w:cs="Arial" w:eastAsia="Arial" w:hAnsi="Arial"/>
          <w:sz w:val="18"/>
          <w:szCs w:val="18"/>
          <w:color w:val="auto"/>
          <w:vertAlign w:val="superscript"/>
        </w:rPr>
      </w:pPr>
    </w:p>
    <w:p>
      <w:pPr>
        <w:ind w:right="120" w:firstLine="6"/>
        <w:spacing w:after="0" w:line="296" w:lineRule="auto"/>
        <w:tabs>
          <w:tab w:leader="none" w:pos="147" w:val="left"/>
        </w:tabs>
        <w:numPr>
          <w:ilvl w:val="0"/>
          <w:numId w:val="6"/>
        </w:numPr>
        <w:rPr>
          <w:rFonts w:ascii="Arial" w:cs="Arial" w:eastAsia="Arial" w:hAnsi="Arial"/>
          <w:sz w:val="17"/>
          <w:szCs w:val="17"/>
          <w:color w:val="auto"/>
          <w:vertAlign w:val="superscript"/>
        </w:rPr>
      </w:pPr>
      <w:r>
        <w:rPr>
          <w:rFonts w:ascii="Arial" w:cs="Arial" w:eastAsia="Arial" w:hAnsi="Arial"/>
          <w:sz w:val="13"/>
          <w:szCs w:val="13"/>
          <w:color w:val="auto"/>
        </w:rPr>
        <w:t>We calculate total annual recurring revenue ("Total ARR") as the number of users who have active paid licenses for access to our platform as of the end of the period, multiplied by their annualized subscription price to our platform. We adjust our exchange rates used to calculate Total ARR on an annual basis, at the beginning of each fiscal year. We calculate constant currency Total ARR growth rates by applying the current period rate to prior period results.</w:t>
      </w:r>
    </w:p>
    <w:p>
      <w:pPr>
        <w:spacing w:after="0" w:line="187" w:lineRule="exact"/>
        <w:rPr>
          <w:rFonts w:ascii="Arial" w:cs="Arial" w:eastAsia="Arial" w:hAnsi="Arial"/>
          <w:sz w:val="17"/>
          <w:szCs w:val="17"/>
          <w:color w:val="auto"/>
          <w:vertAlign w:val="superscript"/>
        </w:rPr>
      </w:pPr>
    </w:p>
    <w:p>
      <w:pPr>
        <w:ind w:right="140" w:firstLine="6"/>
        <w:spacing w:after="0" w:line="275" w:lineRule="auto"/>
        <w:tabs>
          <w:tab w:leader="none" w:pos="163" w:val="left"/>
        </w:tabs>
        <w:numPr>
          <w:ilvl w:val="0"/>
          <w:numId w:val="6"/>
        </w:numPr>
        <w:rPr>
          <w:rFonts w:ascii="Arial" w:cs="Arial" w:eastAsia="Arial" w:hAnsi="Arial"/>
          <w:sz w:val="19"/>
          <w:szCs w:val="19"/>
          <w:color w:val="auto"/>
          <w:vertAlign w:val="superscript"/>
        </w:rPr>
      </w:pPr>
      <w:r>
        <w:rPr>
          <w:rFonts w:ascii="Arial" w:cs="Arial" w:eastAsia="Arial" w:hAnsi="Arial"/>
          <w:sz w:val="13"/>
          <w:szCs w:val="13"/>
          <w:color w:val="auto"/>
        </w:rPr>
        <w:t>Non-GAAP diluted net income per share attributable to common stockholders is calculated based upon 416.1 million and 417.9 million diluted weighted-average shares of common stock for the three months ended December 31, 2020 and 2019, respectively.</w:t>
      </w:r>
    </w:p>
    <w:p>
      <w:pPr>
        <w:spacing w:after="0" w:line="189" w:lineRule="exact"/>
        <w:rPr>
          <w:rFonts w:ascii="Arial" w:cs="Arial" w:eastAsia="Arial" w:hAnsi="Arial"/>
          <w:sz w:val="19"/>
          <w:szCs w:val="19"/>
          <w:color w:val="auto"/>
          <w:vertAlign w:val="superscript"/>
        </w:rPr>
      </w:pPr>
    </w:p>
    <w:p>
      <w:pPr>
        <w:ind w:right="140" w:firstLine="6"/>
        <w:spacing w:after="0" w:line="275" w:lineRule="auto"/>
        <w:tabs>
          <w:tab w:leader="none" w:pos="163" w:val="left"/>
        </w:tabs>
        <w:numPr>
          <w:ilvl w:val="0"/>
          <w:numId w:val="6"/>
        </w:numPr>
        <w:rPr>
          <w:rFonts w:ascii="Arial" w:cs="Arial" w:eastAsia="Arial" w:hAnsi="Arial"/>
          <w:sz w:val="19"/>
          <w:szCs w:val="19"/>
          <w:color w:val="auto"/>
          <w:vertAlign w:val="superscript"/>
        </w:rPr>
      </w:pPr>
      <w:r>
        <w:rPr>
          <w:rFonts w:ascii="Arial" w:cs="Arial" w:eastAsia="Arial" w:hAnsi="Arial"/>
          <w:sz w:val="13"/>
          <w:szCs w:val="13"/>
          <w:color w:val="auto"/>
        </w:rPr>
        <w:t>Non-GAAP diluted net income per share attributable to common stockholders is calculated based upon 419.3 million and 416.6 million diluted weighted-average shares of common stock for the fiscal year ended December 31, 2020 and 2019, respectively.</w:t>
      </w:r>
    </w:p>
    <w:p>
      <w:pPr>
        <w:sectPr>
          <w:pgSz w:w="11900" w:h="16838" w:orient="portrait"/>
          <w:cols w:equalWidth="0" w:num="1">
            <w:col w:w="11220"/>
          </w:cols>
          <w:pgMar w:left="320" w:top="1123"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Financial Outlook</w:t>
      </w:r>
    </w:p>
    <w:p>
      <w:pPr>
        <w:spacing w:after="0" w:line="251" w:lineRule="exact"/>
        <w:rPr>
          <w:sz w:val="20"/>
          <w:szCs w:val="20"/>
          <w:color w:val="auto"/>
        </w:rPr>
      </w:pPr>
    </w:p>
    <w:p>
      <w:pPr>
        <w:ind w:right="120"/>
        <w:spacing w:after="0" w:line="265" w:lineRule="auto"/>
        <w:rPr>
          <w:sz w:val="20"/>
          <w:szCs w:val="20"/>
          <w:color w:val="auto"/>
        </w:rPr>
      </w:pPr>
      <w:r>
        <w:rPr>
          <w:rFonts w:ascii="Arial" w:cs="Arial" w:eastAsia="Arial" w:hAnsi="Arial"/>
          <w:sz w:val="18"/>
          <w:szCs w:val="18"/>
          <w:color w:val="auto"/>
        </w:rPr>
        <w:t xml:space="preserve">Dropbox will provide forward-looking guidance in connection with this quarterly earnings announcement on its conference call, webcast, and on its investor relations website at </w:t>
      </w:r>
      <w:r>
        <w:rPr>
          <w:rFonts w:ascii="Arial" w:cs="Arial" w:eastAsia="Arial" w:hAnsi="Arial"/>
          <w:sz w:val="18"/>
          <w:szCs w:val="18"/>
          <w:u w:val="single" w:color="auto"/>
          <w:color w:val="auto"/>
        </w:rPr>
        <w:t>http://investors.dropbox.com</w:t>
      </w:r>
      <w:r>
        <w:rPr>
          <w:rFonts w:ascii="Arial" w:cs="Arial" w:eastAsia="Arial" w:hAnsi="Arial"/>
          <w:sz w:val="18"/>
          <w:szCs w:val="18"/>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51" w:lineRule="exact"/>
        <w:rPr>
          <w:sz w:val="20"/>
          <w:szCs w:val="20"/>
          <w:color w:val="auto"/>
        </w:rPr>
      </w:pPr>
    </w:p>
    <w:p>
      <w:pPr>
        <w:ind w:right="240"/>
        <w:spacing w:after="0" w:line="313" w:lineRule="auto"/>
        <w:rPr>
          <w:sz w:val="20"/>
          <w:szCs w:val="20"/>
          <w:color w:val="auto"/>
        </w:rPr>
      </w:pPr>
      <w:r>
        <w:rPr>
          <w:rFonts w:ascii="Arial" w:cs="Arial" w:eastAsia="Arial" w:hAnsi="Arial"/>
          <w:sz w:val="15"/>
          <w:szCs w:val="15"/>
          <w:color w:val="auto"/>
        </w:rPr>
        <w:t xml:space="preserve">Dropbox plans to host a conference call today to review its fourth quarter and fiscal 2020 financial results and to discuss its financial outlook. This call is scheduled to begin at 2:00 p.m. PT / 5:00 p.m. ET and can be accessed by dialing (877) 300-7844 from the United States or (786) 815-8440 internationally with reference to the company name and conference title, and a live webcast and replay of the conference call can be accessed from the Dropbox investor relations website at </w:t>
      </w:r>
      <w:r>
        <w:rPr>
          <w:rFonts w:ascii="Arial" w:cs="Arial" w:eastAsia="Arial" w:hAnsi="Arial"/>
          <w:sz w:val="15"/>
          <w:szCs w:val="15"/>
          <w:u w:val="single" w:color="auto"/>
          <w:color w:val="auto"/>
        </w:rPr>
        <w:t>http://investors.dropbox.com</w:t>
      </w:r>
      <w:r>
        <w:rPr>
          <w:rFonts w:ascii="Arial" w:cs="Arial" w:eastAsia="Arial" w:hAnsi="Arial"/>
          <w:sz w:val="15"/>
          <w:szCs w:val="15"/>
          <w:color w:val="auto"/>
        </w:rPr>
        <w:t>. Following the completion of the call, a telephonic replay will be available through 11:59 PM ET on February 25, 2021 at (855) 859-2056 from the United States or (404) 537-3406 internationally with recording access code 9929317.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Upcoming Events</w:t>
      </w:r>
    </w:p>
    <w:p>
      <w:pPr>
        <w:spacing w:after="0" w:line="251" w:lineRule="exact"/>
        <w:rPr>
          <w:sz w:val="20"/>
          <w:szCs w:val="20"/>
          <w:color w:val="auto"/>
        </w:rPr>
      </w:pPr>
    </w:p>
    <w:p>
      <w:pPr>
        <w:ind w:left="640" w:hanging="315"/>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 Regan, Chief Financial Officer, will be presenting at The JMP Securities Technology Conference on Tuesday, March 2nd.</w:t>
      </w:r>
    </w:p>
    <w:p>
      <w:pPr>
        <w:spacing w:after="0" w:line="245" w:lineRule="exact"/>
        <w:rPr>
          <w:sz w:val="20"/>
          <w:szCs w:val="20"/>
          <w:color w:val="auto"/>
        </w:rPr>
      </w:pPr>
    </w:p>
    <w:p>
      <w:pPr>
        <w:ind w:right="3860"/>
        <w:spacing w:after="0" w:line="366" w:lineRule="auto"/>
        <w:rPr>
          <w:sz w:val="20"/>
          <w:szCs w:val="20"/>
          <w:color w:val="auto"/>
        </w:rPr>
      </w:pPr>
      <w:r>
        <w:rPr>
          <w:rFonts w:ascii="Arial" w:cs="Arial" w:eastAsia="Arial" w:hAnsi="Arial"/>
          <w:sz w:val="15"/>
          <w:szCs w:val="15"/>
          <w:color w:val="auto"/>
        </w:rPr>
        <w:t xml:space="preserve">During these events, a live webcast will be accessible from the Dropbox investor relations website at </w:t>
      </w:r>
      <w:r>
        <w:rPr>
          <w:rFonts w:ascii="Arial" w:cs="Arial" w:eastAsia="Arial" w:hAnsi="Arial"/>
          <w:sz w:val="15"/>
          <w:szCs w:val="15"/>
          <w:u w:val="single" w:color="auto"/>
          <w:color w:val="auto"/>
        </w:rPr>
        <w:t>http://investors.dropbox.com</w:t>
      </w:r>
      <w:r>
        <w:rPr>
          <w:rFonts w:ascii="Arial" w:cs="Arial" w:eastAsia="Arial" w:hAnsi="Arial"/>
          <w:sz w:val="15"/>
          <w:szCs w:val="15"/>
          <w:color w:val="auto"/>
        </w:rPr>
        <w:t>. Following the event, a replay will be made available at the same location.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Dropbox</w:t>
      </w:r>
    </w:p>
    <w:p>
      <w:pPr>
        <w:spacing w:after="0" w:line="25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Dropbox is the one place to keep life organized and keep work moving. With more than 700 million registered users across 180 countries, we're on a mission to design a more enlightened way of working. Dropbox is headquartered in San Francisco, CA, and has offices around the world. For more information on our mission and products, visit </w:t>
      </w:r>
      <w:r>
        <w:rPr>
          <w:rFonts w:ascii="Arial" w:cs="Arial" w:eastAsia="Arial" w:hAnsi="Arial"/>
          <w:sz w:val="18"/>
          <w:szCs w:val="18"/>
          <w:u w:val="single" w:color="auto"/>
          <w:color w:val="auto"/>
        </w:rPr>
        <w:t>http://dropbox.com</w:t>
      </w:r>
      <w:r>
        <w:rPr>
          <w:rFonts w:ascii="Arial" w:cs="Arial" w:eastAsia="Arial" w:hAnsi="Arial"/>
          <w:sz w:val="18"/>
          <w:szCs w:val="18"/>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51" w:lineRule="exact"/>
        <w:rPr>
          <w:sz w:val="20"/>
          <w:szCs w:val="20"/>
          <w:color w:val="auto"/>
        </w:rPr>
      </w:pPr>
    </w:p>
    <w:p>
      <w:pPr>
        <w:ind w:right="220"/>
        <w:spacing w:after="0" w:line="278" w:lineRule="auto"/>
        <w:rPr>
          <w:sz w:val="20"/>
          <w:szCs w:val="20"/>
          <w:color w:val="auto"/>
        </w:rPr>
      </w:pPr>
      <w:r>
        <w:rPr>
          <w:rFonts w:ascii="Arial" w:cs="Arial" w:eastAsia="Arial" w:hAnsi="Arial"/>
          <w:sz w:val="17"/>
          <w:szCs w:val="17"/>
          <w:color w:val="auto"/>
        </w:rPr>
        <w:t>Reconciliations of non-GAAP financial measures to the most directly comparable financial results as determined in accordance with GAAP are included at the end of this press release following the accompanying financial data. For a description of these non-GAAP financial measures, including the reasons management uses each measure, please see the section of the tables titled "About Non-GAAP Financial Measures."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1"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This press release contains forward-looking statements within the meaning of the Private Securities Litigation Reform Act of 1995 including, among other things, our strategy, our ability to extend our platform by developing and offering new products or features and our expectations regarding future impairment charges. Words such as "believe," "may," "will," "estimate," "continue," "anticipate," "intend," "expect," "plans," and similar expressions are intended to identify forward-looking statements. Dropbox has based these forward-looking statements largely on its current expectations and projections about future events and financial trends that Dropbox believes may affect its business, financial condition, and results of operations. These forward-looking statements speak only as of the date of this press release and are subject to risks, uncertainties, and assumptions including, but not limited to: (i) our ability to realize anticipated benefits to our business from our shift to a Virtual First work model as well as impacts to our financial results and business operations as a result of this shift, (ii) impacts to our financial results, business operations and the business of our customers, suppliers, partners and the economy as a result of the COVID-19 pandemic, and related public health measures, as well as the potential for a more permanent global shift to remote work, (iii) our ability to retain and upgrade paying users, in particular paying users impacted by the COVID-19 pandemic, and increase our recurring revenue; (iv) our ability to attract new users or convert registered users to paying users, in particular prospective paying users financially impacted by the COVID-19 pandemic; (v) our future financial performance, including trends in revenue, costs of revenue, gross profit or gross margin, operating expenses, paying users, and free cash flow; (vi) our history of net losses and our ability to achieve or maintain profitability; (vii) our liability for any unauthorized access to our data or our users’ content, including through privacy and data security breaches; (viii) significant disruption of service on our platform or loss of content, particularly from any potential disruptions in the supply chain for hardware necessary to offer our services that may result from the COVID-19 pandemic; (ix) any decline in demand for our platform or for content collaboration solutions in general; (x) changes in the interoperability of our platform across devices, operating systems, and third-party applications that we do not control; (xi) competition in our markets; (xii) our ability to respond to rapid technological changes,</w:t>
      </w:r>
    </w:p>
    <w:p>
      <w:pPr>
        <w:sectPr>
          <w:pgSz w:w="11900" w:h="16838" w:orient="portrait"/>
          <w:cols w:equalWidth="0" w:num="1">
            <w:col w:w="11220"/>
          </w:cols>
          <w:pgMar w:left="320" w:top="878" w:right="359" w:bottom="1440" w:gutter="0" w:footer="0" w:header="0"/>
        </w:sectPr>
      </w:pPr>
    </w:p>
    <w:bookmarkStart w:id="6" w:name="page7"/>
    <w:bookmarkEnd w:id="6"/>
    <w:p>
      <w:pPr>
        <w:spacing w:after="0" w:line="302" w:lineRule="auto"/>
        <w:rPr>
          <w:sz w:val="20"/>
          <w:szCs w:val="20"/>
          <w:color w:val="auto"/>
        </w:rPr>
      </w:pPr>
      <w:r>
        <w:rPr>
          <w:rFonts w:ascii="Arial" w:cs="Arial" w:eastAsia="Arial" w:hAnsi="Arial"/>
          <w:sz w:val="15"/>
          <w:szCs w:val="15"/>
          <w:color w:val="auto"/>
        </w:rPr>
        <w:t>extend our platform, develop new features or products, or gain market acceptance for such new features or products, particularly in light of potential disruptions to the productivity of our employees that may result from our shift to a Virtual First work model; (xiii) our ability to manage our growth or plan for future growth; (xiv) our acquisition of other businesses and the potential of such acquisitions to require significant management attention, disrupt our business, or dilute stockholder value; (xv) our ability to attract and retain key personnel and highly qualified personnel; (xvi) our capital allocation plans with respect to our stock repurchase program and other investments; and (xvii) the dual class structure of our common stock and its effect of concentrating voting control with certain stockholders who held our capital stock prior to the completion of our initial public offering. Further information on risks that could affect Dropbox’s results is included in our filings with the Securities and Exchange Commission ("SEC"), including our Form 10-Q for the quarter ended September 30, 2020. Additional information will be made available in our annual report on Form 10-K for the year ended December 31, 2020 and other reports that we may file with the SEC from time to time, which could cause actual results to vary from expectations. If the risks materialize or assumptions prove incorrect, actual results could differ materially from the results implied by these forward-looking statements. Dropbox assumes no obligation to, and does not currently intend to, update any such forward-looking statements after the date of this release, except as required by applicable law.</w:t>
      </w:r>
    </w:p>
    <w:p>
      <w:pPr>
        <w:sectPr>
          <w:pgSz w:w="11900" w:h="16838" w:orient="portrait"/>
          <w:cols w:equalWidth="0" w:num="1">
            <w:col w:w="11220"/>
          </w:cols>
          <w:pgMar w:left="320" w:top="884" w:right="359" w:bottom="1440" w:gutter="0" w:footer="0" w:header="0"/>
        </w:sectPr>
      </w:pPr>
    </w:p>
    <w:bookmarkStart w:id="7" w:name="page8"/>
    <w:bookmarkEnd w:id="7"/>
    <w:p>
      <w:pPr>
        <w:jc w:val="center"/>
        <w:ind w:right="-13"/>
        <w:spacing w:after="0"/>
        <w:rPr>
          <w:sz w:val="20"/>
          <w:szCs w:val="20"/>
          <w:color w:val="auto"/>
        </w:rPr>
      </w:pPr>
      <w:r>
        <w:rPr>
          <w:rFonts w:ascii="Arial" w:cs="Arial" w:eastAsia="Arial" w:hAnsi="Arial"/>
          <w:sz w:val="21"/>
          <w:szCs w:val="21"/>
          <w:b w:val="1"/>
          <w:bCs w:val="1"/>
          <w:color w:val="auto"/>
        </w:rPr>
        <w:t>Dropbox, Inc.</w:t>
      </w:r>
    </w:p>
    <w:p>
      <w:pPr>
        <w:spacing w:after="0" w:line="35" w:lineRule="exact"/>
        <w:rPr>
          <w:sz w:val="20"/>
          <w:szCs w:val="20"/>
          <w:color w:val="auto"/>
        </w:rPr>
      </w:pPr>
    </w:p>
    <w:p>
      <w:pPr>
        <w:jc w:val="center"/>
        <w:ind w:right="-13"/>
        <w:spacing w:after="0"/>
        <w:rPr>
          <w:sz w:val="20"/>
          <w:szCs w:val="20"/>
          <w:color w:val="auto"/>
        </w:rPr>
      </w:pPr>
      <w:r>
        <w:rPr>
          <w:rFonts w:ascii="Arial" w:cs="Arial" w:eastAsia="Arial" w:hAnsi="Arial"/>
          <w:sz w:val="21"/>
          <w:szCs w:val="21"/>
          <w:b w:val="1"/>
          <w:bCs w:val="1"/>
          <w:color w:val="auto"/>
        </w:rPr>
        <w:t>Condensed Consolidated Statements of Operations</w:t>
      </w:r>
    </w:p>
    <w:p>
      <w:pPr>
        <w:spacing w:after="0" w:line="3" w:lineRule="exact"/>
        <w:rPr>
          <w:sz w:val="20"/>
          <w:szCs w:val="20"/>
          <w:color w:val="auto"/>
        </w:rPr>
      </w:pPr>
    </w:p>
    <w:p>
      <w:pPr>
        <w:jc w:val="center"/>
        <w:ind w:right="-13"/>
        <w:spacing w:after="0"/>
        <w:rPr>
          <w:sz w:val="20"/>
          <w:szCs w:val="20"/>
          <w:color w:val="auto"/>
        </w:rPr>
      </w:pPr>
      <w:r>
        <w:rPr>
          <w:rFonts w:ascii="Arial" w:cs="Arial" w:eastAsia="Arial" w:hAnsi="Arial"/>
          <w:sz w:val="18"/>
          <w:szCs w:val="18"/>
          <w:i w:val="1"/>
          <w:iCs w:val="1"/>
          <w:color w:val="auto"/>
        </w:rPr>
        <w:t>(In millions, except per share data)</w:t>
      </w:r>
    </w:p>
    <w:p>
      <w:pPr>
        <w:spacing w:after="0" w:line="3" w:lineRule="exact"/>
        <w:rPr>
          <w:sz w:val="20"/>
          <w:szCs w:val="20"/>
          <w:color w:val="auto"/>
        </w:rPr>
      </w:pPr>
    </w:p>
    <w:p>
      <w:pPr>
        <w:jc w:val="center"/>
        <w:ind w:right="-13"/>
        <w:spacing w:after="0"/>
        <w:rPr>
          <w:sz w:val="20"/>
          <w:szCs w:val="20"/>
          <w:color w:val="auto"/>
        </w:rPr>
      </w:pPr>
      <w:r>
        <w:rPr>
          <w:rFonts w:ascii="Arial" w:cs="Arial" w:eastAsia="Arial" w:hAnsi="Arial"/>
          <w:sz w:val="18"/>
          <w:szCs w:val="18"/>
          <w:i w:val="1"/>
          <w:iCs w:val="1"/>
          <w:color w:val="auto"/>
        </w:rPr>
        <w:t>(Unaudited)</w:t>
      </w:r>
    </w:p>
    <w:p>
      <w:pPr>
        <w:spacing w:after="0" w:line="92" w:lineRule="exact"/>
        <w:rPr>
          <w:sz w:val="20"/>
          <w:szCs w:val="20"/>
          <w:color w:val="auto"/>
        </w:rPr>
      </w:pPr>
    </w:p>
    <w:tbl>
      <w:tblPr>
        <w:tblLayout w:type="fixed"/>
        <w:tblInd w:w="34" w:type="dxa"/>
        <w:tblCellMar>
          <w:top w:w="0" w:type="dxa"/>
          <w:left w:w="0" w:type="dxa"/>
          <w:bottom w:w="0" w:type="dxa"/>
          <w:right w:w="0" w:type="dxa"/>
        </w:tblCellMar>
      </w:tblPr>
      <w:tr>
        <w:trPr>
          <w:trHeight w:val="207"/>
        </w:trPr>
        <w:tc>
          <w:tcPr>
            <w:tcW w:w="3720" w:type="dxa"/>
            <w:vAlign w:val="bottom"/>
          </w:tcPr>
          <w:p>
            <w:pPr>
              <w:spacing w:after="0"/>
              <w:rPr>
                <w:sz w:val="17"/>
                <w:szCs w:val="17"/>
                <w:color w:val="auto"/>
              </w:rPr>
            </w:pPr>
          </w:p>
        </w:tc>
        <w:tc>
          <w:tcPr>
            <w:tcW w:w="3080" w:type="dxa"/>
            <w:vAlign w:val="bottom"/>
            <w:gridSpan w:val="4"/>
          </w:tcPr>
          <w:p>
            <w:pPr>
              <w:jc w:val="right"/>
              <w:ind w:right="351"/>
              <w:spacing w:after="0"/>
              <w:rPr>
                <w:sz w:val="20"/>
                <w:szCs w:val="20"/>
                <w:color w:val="auto"/>
              </w:rPr>
            </w:pPr>
            <w:r>
              <w:rPr>
                <w:rFonts w:ascii="Arial" w:cs="Arial" w:eastAsia="Arial" w:hAnsi="Arial"/>
                <w:sz w:val="18"/>
                <w:szCs w:val="18"/>
                <w:b w:val="1"/>
                <w:bCs w:val="1"/>
                <w:color w:val="auto"/>
              </w:rPr>
              <w:t>Three Months Ended</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80" w:type="dxa"/>
            <w:vAlign w:val="bottom"/>
            <w:gridSpan w:val="4"/>
          </w:tcPr>
          <w:p>
            <w:pPr>
              <w:jc w:val="right"/>
              <w:ind w:right="911"/>
              <w:spacing w:after="0"/>
              <w:rPr>
                <w:sz w:val="20"/>
                <w:szCs w:val="20"/>
                <w:color w:val="auto"/>
              </w:rPr>
            </w:pPr>
            <w:r>
              <w:rPr>
                <w:rFonts w:ascii="Arial" w:cs="Arial" w:eastAsia="Arial" w:hAnsi="Arial"/>
                <w:sz w:val="18"/>
                <w:szCs w:val="18"/>
                <w:b w:val="1"/>
                <w:bCs w:val="1"/>
                <w:color w:val="auto"/>
              </w:rPr>
              <w:t>Twelve Months Ended</w:t>
            </w:r>
          </w:p>
        </w:tc>
        <w:tc>
          <w:tcPr>
            <w:tcW w:w="0" w:type="dxa"/>
            <w:vAlign w:val="bottom"/>
          </w:tcPr>
          <w:p>
            <w:pPr>
              <w:spacing w:after="0"/>
              <w:rPr>
                <w:sz w:val="1"/>
                <w:szCs w:val="1"/>
                <w:color w:val="auto"/>
              </w:rPr>
            </w:pPr>
          </w:p>
        </w:tc>
      </w:tr>
      <w:tr>
        <w:trPr>
          <w:trHeight w:val="226"/>
        </w:trPr>
        <w:tc>
          <w:tcPr>
            <w:tcW w:w="37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ind w:right="651"/>
              <w:spacing w:after="0"/>
              <w:rPr>
                <w:sz w:val="20"/>
                <w:szCs w:val="20"/>
                <w:color w:val="auto"/>
              </w:rPr>
            </w:pPr>
            <w:r>
              <w:rPr>
                <w:rFonts w:ascii="Arial" w:cs="Arial" w:eastAsia="Arial" w:hAnsi="Arial"/>
                <w:sz w:val="18"/>
                <w:szCs w:val="18"/>
                <w:b w:val="1"/>
                <w:bCs w:val="1"/>
                <w:color w:val="auto"/>
              </w:rPr>
              <w:t>December 31,</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right"/>
              <w:ind w:right="51"/>
              <w:spacing w:after="0"/>
              <w:rPr>
                <w:sz w:val="20"/>
                <w:szCs w:val="20"/>
                <w:color w:val="auto"/>
              </w:rPr>
            </w:pPr>
            <w:r>
              <w:rPr>
                <w:rFonts w:ascii="Arial" w:cs="Arial" w:eastAsia="Arial" w:hAnsi="Arial"/>
                <w:sz w:val="18"/>
                <w:szCs w:val="18"/>
                <w:b w:val="1"/>
                <w:bCs w:val="1"/>
                <w:color w:val="auto"/>
              </w:rPr>
              <w:t>December 31,</w:t>
            </w: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7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2019</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1"/>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51"/>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Revenue</w:t>
            </w:r>
          </w:p>
        </w:tc>
        <w:tc>
          <w:tcPr>
            <w:tcW w:w="1140" w:type="dxa"/>
            <w:vAlign w:val="bottom"/>
            <w:shd w:val="clear" w:color="auto" w:fill="CCEEFF"/>
          </w:tcPr>
          <w:p>
            <w:pPr>
              <w:jc w:val="right"/>
              <w:ind w:right="951"/>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504.1</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1"/>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1,661.3</w:t>
            </w:r>
          </w:p>
        </w:tc>
        <w:tc>
          <w:tcPr>
            <w:tcW w:w="0" w:type="dxa"/>
            <w:vAlign w:val="bottom"/>
          </w:tcPr>
          <w:p>
            <w:pPr>
              <w:spacing w:after="0"/>
              <w:rPr>
                <w:sz w:val="1"/>
                <w:szCs w:val="1"/>
                <w:color w:val="auto"/>
              </w:rPr>
            </w:pPr>
          </w:p>
        </w:tc>
      </w:tr>
      <w:tr>
        <w:trPr>
          <w:trHeight w:val="226"/>
        </w:trPr>
        <w:tc>
          <w:tcPr>
            <w:tcW w:w="3720" w:type="dxa"/>
            <w:vAlign w:val="bottom"/>
            <w:tcBorders>
              <w:bottom w:val="single" w:sz="8" w:color="CCEEFF"/>
            </w:tcBorders>
          </w:tcPr>
          <w:p>
            <w:pPr>
              <w:ind w:left="260"/>
              <w:spacing w:after="0" w:line="225" w:lineRule="exact"/>
              <w:rPr>
                <w:sz w:val="20"/>
                <w:szCs w:val="20"/>
                <w:color w:val="auto"/>
              </w:rPr>
            </w:pPr>
            <w:r>
              <w:rPr>
                <w:rFonts w:ascii="Arial" w:cs="Arial" w:eastAsia="Arial" w:hAnsi="Arial"/>
                <w:sz w:val="18"/>
                <w:szCs w:val="18"/>
                <w:color w:val="auto"/>
              </w:rPr>
              <w:t>Cost of revenue</w:t>
            </w:r>
            <w:r>
              <w:rPr>
                <w:rFonts w:ascii="Arial" w:cs="Arial" w:eastAsia="Arial" w:hAnsi="Arial"/>
                <w:sz w:val="23"/>
                <w:szCs w:val="23"/>
                <w:color w:val="auto"/>
                <w:vertAlign w:val="superscript"/>
              </w:rPr>
              <w:t>(1)</w:t>
            </w:r>
          </w:p>
        </w:tc>
        <w:tc>
          <w:tcPr>
            <w:tcW w:w="1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414.6</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411.0</w:t>
            </w: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Gross profit</w:t>
            </w: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1,250.3</w:t>
            </w:r>
          </w:p>
        </w:tc>
        <w:tc>
          <w:tcPr>
            <w:tcW w:w="0" w:type="dxa"/>
            <w:vAlign w:val="bottom"/>
          </w:tcPr>
          <w:p>
            <w:pPr>
              <w:spacing w:after="0"/>
              <w:rPr>
                <w:sz w:val="1"/>
                <w:szCs w:val="1"/>
                <w:color w:val="auto"/>
              </w:rPr>
            </w:pPr>
          </w:p>
        </w:tc>
      </w:tr>
      <w:tr>
        <w:trPr>
          <w:trHeight w:val="226"/>
        </w:trPr>
        <w:tc>
          <w:tcPr>
            <w:tcW w:w="3720" w:type="dxa"/>
            <w:vAlign w:val="bottom"/>
          </w:tcPr>
          <w:p>
            <w:pPr>
              <w:ind w:left="20"/>
              <w:spacing w:after="0" w:line="225" w:lineRule="exact"/>
              <w:rPr>
                <w:sz w:val="20"/>
                <w:szCs w:val="20"/>
                <w:color w:val="auto"/>
              </w:rPr>
            </w:pPr>
            <w:r>
              <w:rPr>
                <w:rFonts w:ascii="Arial" w:cs="Arial" w:eastAsia="Arial" w:hAnsi="Arial"/>
                <w:sz w:val="18"/>
                <w:szCs w:val="18"/>
                <w:color w:val="auto"/>
              </w:rPr>
              <w:t>Operating expenses</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662.1</w:t>
            </w:r>
          </w:p>
        </w:tc>
        <w:tc>
          <w:tcPr>
            <w:tcW w:w="0" w:type="dxa"/>
            <w:vAlign w:val="bottom"/>
          </w:tcPr>
          <w:p>
            <w:pPr>
              <w:spacing w:after="0"/>
              <w:rPr>
                <w:sz w:val="1"/>
                <w:szCs w:val="1"/>
                <w:color w:val="auto"/>
              </w:rPr>
            </w:pPr>
          </w:p>
        </w:tc>
      </w:tr>
      <w:tr>
        <w:trPr>
          <w:trHeight w:val="225"/>
        </w:trPr>
        <w:tc>
          <w:tcPr>
            <w:tcW w:w="372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109.9</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422.8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423.3</w:t>
            </w:r>
          </w:p>
        </w:tc>
        <w:tc>
          <w:tcPr>
            <w:tcW w:w="0" w:type="dxa"/>
            <w:vAlign w:val="bottom"/>
          </w:tcPr>
          <w:p>
            <w:pPr>
              <w:spacing w:after="0"/>
              <w:rPr>
                <w:sz w:val="1"/>
                <w:szCs w:val="1"/>
                <w:color w:val="auto"/>
              </w:rPr>
            </w:pPr>
          </w:p>
        </w:tc>
      </w:tr>
      <w:tr>
        <w:trPr>
          <w:trHeight w:val="226"/>
        </w:trPr>
        <w:tc>
          <w:tcPr>
            <w:tcW w:w="3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w:t>
            </w:r>
          </w:p>
        </w:tc>
        <w:tc>
          <w:tcPr>
            <w:tcW w:w="0" w:type="dxa"/>
            <w:vAlign w:val="bottom"/>
          </w:tcPr>
          <w:p>
            <w:pPr>
              <w:spacing w:after="0"/>
              <w:rPr>
                <w:sz w:val="1"/>
                <w:szCs w:val="1"/>
                <w:color w:val="auto"/>
              </w:rPr>
            </w:pPr>
          </w:p>
        </w:tc>
      </w:tr>
      <w:tr>
        <w:trPr>
          <w:trHeight w:val="226"/>
        </w:trPr>
        <w:tc>
          <w:tcPr>
            <w:tcW w:w="3720" w:type="dxa"/>
            <w:vAlign w:val="bottom"/>
          </w:tcPr>
          <w:p>
            <w:pPr>
              <w:ind w:left="260"/>
              <w:spacing w:after="0" w:line="225" w:lineRule="exact"/>
              <w:rPr>
                <w:sz w:val="20"/>
                <w:szCs w:val="20"/>
                <w:color w:val="auto"/>
              </w:rPr>
            </w:pPr>
            <w:r>
              <w:rPr>
                <w:rFonts w:ascii="Arial" w:cs="Arial" w:eastAsia="Arial" w:hAnsi="Arial"/>
                <w:sz w:val="18"/>
                <w:szCs w:val="18"/>
                <w:color w:val="auto"/>
              </w:rPr>
              <w:t>Impairment related to real estate assets</w:t>
            </w:r>
            <w:r>
              <w:rPr>
                <w:rFonts w:ascii="Arial" w:cs="Arial" w:eastAsia="Arial" w:hAnsi="Arial"/>
                <w:sz w:val="23"/>
                <w:szCs w:val="23"/>
                <w:color w:val="auto"/>
                <w:vertAlign w:val="superscript"/>
              </w:rPr>
              <w:t>(2)</w:t>
            </w: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398.2</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398.2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372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Total operating expenses</w:t>
            </w: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744.9</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347.7</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1,776.3</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1,330.8</w:t>
            </w:r>
          </w:p>
        </w:tc>
        <w:tc>
          <w:tcPr>
            <w:tcW w:w="0" w:type="dxa"/>
            <w:vAlign w:val="bottom"/>
          </w:tcPr>
          <w:p>
            <w:pPr>
              <w:spacing w:after="0"/>
              <w:rPr>
                <w:sz w:val="1"/>
                <w:szCs w:val="1"/>
                <w:color w:val="auto"/>
              </w:rPr>
            </w:pPr>
          </w:p>
        </w:tc>
      </w:tr>
      <w:tr>
        <w:trPr>
          <w:trHeight w:val="218"/>
        </w:trPr>
        <w:tc>
          <w:tcPr>
            <w:tcW w:w="3720" w:type="dxa"/>
            <w:vAlign w:val="bottom"/>
          </w:tcPr>
          <w:p>
            <w:pPr>
              <w:ind w:left="20"/>
              <w:spacing w:after="0" w:line="205" w:lineRule="exact"/>
              <w:rPr>
                <w:sz w:val="20"/>
                <w:szCs w:val="20"/>
                <w:color w:val="auto"/>
              </w:rPr>
            </w:pPr>
            <w:r>
              <w:rPr>
                <w:rFonts w:ascii="Arial" w:cs="Arial" w:eastAsia="Arial" w:hAnsi="Arial"/>
                <w:sz w:val="18"/>
                <w:szCs w:val="18"/>
                <w:color w:val="auto"/>
              </w:rPr>
              <w:t>Loss from operations</w:t>
            </w: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(346.6)</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(277.0)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26"/>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5"/>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1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20"/>
        </w:trPr>
        <w:tc>
          <w:tcPr>
            <w:tcW w:w="37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Loss before income taxes</w:t>
            </w: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25"/>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Benefit from (provision for) income taxes</w:t>
            </w:r>
          </w:p>
        </w:tc>
        <w:tc>
          <w:tcPr>
            <w:tcW w:w="1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4"/>
        </w:trPr>
        <w:tc>
          <w:tcPr>
            <w:tcW w:w="3720" w:type="dxa"/>
            <w:vAlign w:val="bottom"/>
            <w:tcBorders>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Net loss</w:t>
            </w:r>
          </w:p>
        </w:tc>
        <w:tc>
          <w:tcPr>
            <w:tcW w:w="1140" w:type="dxa"/>
            <w:vAlign w:val="bottom"/>
            <w:tcBorders>
              <w:bottom w:val="single" w:sz="8" w:color="auto"/>
            </w:tcBorders>
            <w:shd w:val="clear" w:color="auto" w:fill="CCEEFF"/>
          </w:tcPr>
          <w:p>
            <w:pPr>
              <w:jc w:val="right"/>
              <w:ind w:right="951"/>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(345.8)</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991"/>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CCEEFF"/>
            </w:tcBorders>
            <w:vMerge w:val="restart"/>
          </w:tcPr>
          <w:p>
            <w:pPr>
              <w:ind w:left="20"/>
              <w:spacing w:after="0" w:line="161" w:lineRule="exact"/>
              <w:rPr>
                <w:sz w:val="20"/>
                <w:szCs w:val="20"/>
                <w:color w:val="auto"/>
              </w:rPr>
            </w:pPr>
            <w:r>
              <w:rPr>
                <w:rFonts w:ascii="Arial" w:cs="Arial" w:eastAsia="Arial" w:hAnsi="Arial"/>
                <w:sz w:val="18"/>
                <w:szCs w:val="18"/>
                <w:color w:val="auto"/>
              </w:rPr>
              <w:t>Net loss per share attributable to common</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3720" w:type="dxa"/>
            <w:vAlign w:val="bottom"/>
            <w:vMerge w:val="continue"/>
          </w:tcPr>
          <w:p>
            <w:pPr>
              <w:spacing w:after="0"/>
              <w:rPr>
                <w:sz w:val="10"/>
                <w:szCs w:val="10"/>
                <w:color w:val="auto"/>
              </w:rPr>
            </w:pPr>
          </w:p>
        </w:tc>
        <w:tc>
          <w:tcPr>
            <w:tcW w:w="1140" w:type="dxa"/>
            <w:vAlign w:val="bottom"/>
            <w:vMerge w:val="restart"/>
          </w:tcPr>
          <w:p>
            <w:pPr>
              <w:jc w:val="right"/>
              <w:ind w:right="951"/>
              <w:spacing w:after="0"/>
              <w:rPr>
                <w:sz w:val="20"/>
                <w:szCs w:val="20"/>
                <w:color w:val="auto"/>
              </w:rPr>
            </w:pPr>
            <w:r>
              <w:rPr>
                <w:rFonts w:ascii="Arial" w:cs="Arial" w:eastAsia="Arial" w:hAnsi="Arial"/>
                <w:sz w:val="18"/>
                <w:szCs w:val="18"/>
                <w:color w:val="auto"/>
                <w:w w:val="7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(0.84)</w:t>
            </w:r>
          </w:p>
        </w:tc>
        <w:tc>
          <w:tcPr>
            <w:tcW w:w="120" w:type="dxa"/>
            <w:vAlign w:val="bottom"/>
          </w:tcPr>
          <w:p>
            <w:pPr>
              <w:spacing w:after="0"/>
              <w:rPr>
                <w:sz w:val="10"/>
                <w:szCs w:val="10"/>
                <w:color w:val="auto"/>
              </w:rPr>
            </w:pPr>
          </w:p>
        </w:tc>
        <w:tc>
          <w:tcPr>
            <w:tcW w:w="1180" w:type="dxa"/>
            <w:vAlign w:val="bottom"/>
            <w:vMerge w:val="restart"/>
          </w:tcPr>
          <w:p>
            <w:pPr>
              <w:jc w:val="right"/>
              <w:ind w:right="991"/>
              <w:spacing w:after="0"/>
              <w:rPr>
                <w:sz w:val="20"/>
                <w:szCs w:val="20"/>
                <w:color w:val="auto"/>
              </w:rPr>
            </w:pPr>
            <w:r>
              <w:rPr>
                <w:rFonts w:ascii="Arial" w:cs="Arial" w:eastAsia="Arial" w:hAnsi="Arial"/>
                <w:sz w:val="18"/>
                <w:szCs w:val="18"/>
                <w:color w:val="auto"/>
                <w:w w:val="7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0"/>
                <w:szCs w:val="10"/>
                <w:color w:val="auto"/>
              </w:rPr>
            </w:pPr>
          </w:p>
        </w:tc>
        <w:tc>
          <w:tcPr>
            <w:tcW w:w="400" w:type="dxa"/>
            <w:vAlign w:val="bottom"/>
            <w:vMerge w:val="restart"/>
          </w:tcPr>
          <w:p>
            <w:pPr>
              <w:jc w:val="right"/>
              <w:ind w:right="211"/>
              <w:spacing w:after="0"/>
              <w:rPr>
                <w:sz w:val="20"/>
                <w:szCs w:val="20"/>
                <w:color w:val="auto"/>
              </w:rPr>
            </w:pPr>
            <w:r>
              <w:rPr>
                <w:rFonts w:ascii="Arial" w:cs="Arial" w:eastAsia="Arial" w:hAnsi="Arial"/>
                <w:sz w:val="18"/>
                <w:szCs w:val="18"/>
                <w:color w:val="auto"/>
                <w:w w:val="79"/>
              </w:rPr>
              <w:t>$</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10"/>
                <w:szCs w:val="10"/>
                <w:color w:val="auto"/>
              </w:rPr>
            </w:pPr>
          </w:p>
        </w:tc>
        <w:tc>
          <w:tcPr>
            <w:tcW w:w="600" w:type="dxa"/>
            <w:vAlign w:val="bottom"/>
            <w:vMerge w:val="restart"/>
          </w:tcPr>
          <w:p>
            <w:pPr>
              <w:jc w:val="right"/>
              <w:ind w:right="411"/>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3"/>
        </w:trPr>
        <w:tc>
          <w:tcPr>
            <w:tcW w:w="3720" w:type="dxa"/>
            <w:vAlign w:val="bottom"/>
          </w:tcPr>
          <w:p>
            <w:pPr>
              <w:ind w:left="180"/>
              <w:spacing w:after="0" w:line="198" w:lineRule="exact"/>
              <w:rPr>
                <w:sz w:val="20"/>
                <w:szCs w:val="20"/>
                <w:color w:val="auto"/>
              </w:rPr>
            </w:pPr>
            <w:r>
              <w:rPr>
                <w:rFonts w:ascii="Arial" w:cs="Arial" w:eastAsia="Arial" w:hAnsi="Arial"/>
                <w:sz w:val="18"/>
                <w:szCs w:val="18"/>
                <w:color w:val="auto"/>
              </w:rPr>
              <w:t>stockholders</w:t>
            </w:r>
          </w:p>
        </w:tc>
        <w:tc>
          <w:tcPr>
            <w:tcW w:w="114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720" w:type="dxa"/>
            <w:vAlign w:val="bottom"/>
            <w:shd w:val="clear" w:color="auto" w:fill="CCEEFF"/>
          </w:tcPr>
          <w:p>
            <w:pPr>
              <w:ind w:left="20"/>
              <w:spacing w:after="0" w:line="140" w:lineRule="exact"/>
              <w:rPr>
                <w:sz w:val="20"/>
                <w:szCs w:val="20"/>
                <w:color w:val="auto"/>
              </w:rPr>
            </w:pPr>
            <w:r>
              <w:rPr>
                <w:rFonts w:ascii="Arial" w:cs="Arial" w:eastAsia="Arial" w:hAnsi="Arial"/>
                <w:sz w:val="15"/>
                <w:szCs w:val="15"/>
                <w:color w:val="auto"/>
              </w:rPr>
              <w:t>Weighted-average shares used in computing net</w:t>
            </w:r>
          </w:p>
        </w:tc>
        <w:tc>
          <w:tcPr>
            <w:tcW w:w="1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20" w:type="dxa"/>
            <w:vAlign w:val="bottom"/>
            <w:shd w:val="clear" w:color="auto" w:fill="CCEEFF"/>
          </w:tcPr>
          <w:p>
            <w:pPr>
              <w:ind w:left="180"/>
              <w:spacing w:after="0" w:line="173" w:lineRule="exact"/>
              <w:rPr>
                <w:sz w:val="20"/>
                <w:szCs w:val="20"/>
                <w:color w:val="auto"/>
              </w:rPr>
            </w:pPr>
            <w:r>
              <w:rPr>
                <w:rFonts w:ascii="Arial" w:cs="Arial" w:eastAsia="Arial" w:hAnsi="Arial"/>
                <w:sz w:val="18"/>
                <w:szCs w:val="18"/>
                <w:color w:val="auto"/>
              </w:rPr>
              <w:t>loss per share attributable to common</w:t>
            </w:r>
          </w:p>
        </w:tc>
        <w:tc>
          <w:tcPr>
            <w:tcW w:w="11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411.4</w:t>
            </w: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415.4</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414.3</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411.6</w:t>
            </w:r>
          </w:p>
        </w:tc>
        <w:tc>
          <w:tcPr>
            <w:tcW w:w="0" w:type="dxa"/>
            <w:vAlign w:val="bottom"/>
          </w:tcPr>
          <w:p>
            <w:pPr>
              <w:spacing w:after="0"/>
              <w:rPr>
                <w:sz w:val="1"/>
                <w:szCs w:val="1"/>
                <w:color w:val="auto"/>
              </w:rPr>
            </w:pPr>
          </w:p>
        </w:tc>
      </w:tr>
      <w:tr>
        <w:trPr>
          <w:trHeight w:val="218"/>
        </w:trPr>
        <w:tc>
          <w:tcPr>
            <w:tcW w:w="3720" w:type="dxa"/>
            <w:vAlign w:val="bottom"/>
            <w:tcBorders>
              <w:bottom w:val="single" w:sz="8" w:color="CCEEFF"/>
            </w:tcBorders>
            <w:shd w:val="clear" w:color="auto" w:fill="CCEEFF"/>
          </w:tcPr>
          <w:p>
            <w:pPr>
              <w:ind w:left="180"/>
              <w:spacing w:after="0" w:line="198" w:lineRule="exact"/>
              <w:rPr>
                <w:sz w:val="20"/>
                <w:szCs w:val="20"/>
                <w:color w:val="auto"/>
              </w:rPr>
            </w:pPr>
            <w:r>
              <w:rPr>
                <w:rFonts w:ascii="Arial" w:cs="Arial" w:eastAsia="Arial" w:hAnsi="Arial"/>
                <w:sz w:val="18"/>
                <w:szCs w:val="18"/>
                <w:color w:val="auto"/>
              </w:rPr>
              <w:t>stockholders</w:t>
            </w:r>
          </w:p>
        </w:tc>
        <w:tc>
          <w:tcPr>
            <w:tcW w:w="1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ind w:left="174" w:hanging="174"/>
        <w:spacing w:after="0"/>
        <w:tabs>
          <w:tab w:leader="none" w:pos="174" w:val="left"/>
        </w:tabs>
        <w:numPr>
          <w:ilvl w:val="0"/>
          <w:numId w:val="8"/>
        </w:numPr>
        <w:rPr>
          <w:rFonts w:ascii="Arial" w:cs="Arial" w:eastAsia="Arial" w:hAnsi="Arial"/>
          <w:sz w:val="21"/>
          <w:szCs w:val="21"/>
          <w:color w:val="auto"/>
          <w:vertAlign w:val="superscript"/>
        </w:rPr>
      </w:pPr>
      <w:r>
        <w:rPr>
          <w:rFonts w:ascii="Arial" w:cs="Arial" w:eastAsia="Arial" w:hAnsi="Arial"/>
          <w:sz w:val="15"/>
          <w:szCs w:val="15"/>
          <w:color w:val="auto"/>
        </w:rPr>
        <w:t>Includes stock-based compensation expense as follows (in millions):</w:t>
      </w:r>
    </w:p>
    <w:p>
      <w:pPr>
        <w:spacing w:after="0" w:line="90" w:lineRule="exact"/>
        <w:rPr>
          <w:sz w:val="20"/>
          <w:szCs w:val="20"/>
          <w:color w:val="auto"/>
        </w:rPr>
      </w:pPr>
    </w:p>
    <w:tbl>
      <w:tblPr>
        <w:tblLayout w:type="fixed"/>
        <w:tblInd w:w="34" w:type="dxa"/>
        <w:tblCellMar>
          <w:top w:w="0" w:type="dxa"/>
          <w:left w:w="0" w:type="dxa"/>
          <w:bottom w:w="0" w:type="dxa"/>
          <w:right w:w="0" w:type="dxa"/>
        </w:tblCellMar>
      </w:tblPr>
      <w:tr>
        <w:trPr>
          <w:trHeight w:val="207"/>
        </w:trPr>
        <w:tc>
          <w:tcPr>
            <w:tcW w:w="3720" w:type="dxa"/>
            <w:vAlign w:val="bottom"/>
          </w:tcPr>
          <w:p>
            <w:pPr>
              <w:spacing w:after="0"/>
              <w:rPr>
                <w:sz w:val="18"/>
                <w:szCs w:val="18"/>
                <w:color w:val="auto"/>
              </w:rPr>
            </w:pPr>
          </w:p>
        </w:tc>
        <w:tc>
          <w:tcPr>
            <w:tcW w:w="3120" w:type="dxa"/>
            <w:vAlign w:val="bottom"/>
            <w:gridSpan w:val="4"/>
          </w:tcPr>
          <w:p>
            <w:pPr>
              <w:jc w:val="center"/>
              <w:ind w:left="451"/>
              <w:spacing w:after="0"/>
              <w:rPr>
                <w:sz w:val="20"/>
                <w:szCs w:val="20"/>
                <w:color w:val="auto"/>
              </w:rPr>
            </w:pPr>
            <w:r>
              <w:rPr>
                <w:rFonts w:ascii="Arial" w:cs="Arial" w:eastAsia="Arial" w:hAnsi="Arial"/>
                <w:sz w:val="18"/>
                <w:szCs w:val="18"/>
                <w:b w:val="1"/>
                <w:bCs w:val="1"/>
                <w:color w:val="auto"/>
                <w:w w:val="90"/>
              </w:rPr>
              <w:t>Three Months Ended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80" w:type="dxa"/>
            <w:vAlign w:val="bottom"/>
            <w:gridSpan w:val="4"/>
          </w:tcPr>
          <w:p>
            <w:pPr>
              <w:jc w:val="center"/>
              <w:ind w:right="331"/>
              <w:spacing w:after="0"/>
              <w:rPr>
                <w:sz w:val="20"/>
                <w:szCs w:val="20"/>
                <w:color w:val="auto"/>
              </w:rPr>
            </w:pPr>
            <w:r>
              <w:rPr>
                <w:rFonts w:ascii="Arial" w:cs="Arial" w:eastAsia="Arial" w:hAnsi="Arial"/>
                <w:sz w:val="18"/>
                <w:szCs w:val="18"/>
                <w:b w:val="1"/>
                <w:bCs w:val="1"/>
                <w:color w:val="auto"/>
                <w:w w:val="89"/>
              </w:rPr>
              <w:t>Twelve Months Ended</w:t>
            </w:r>
          </w:p>
        </w:tc>
      </w:tr>
      <w:tr>
        <w:trPr>
          <w:trHeight w:val="226"/>
        </w:trPr>
        <w:tc>
          <w:tcPr>
            <w:tcW w:w="372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center"/>
              <w:ind w:right="551"/>
              <w:spacing w:after="0"/>
              <w:rPr>
                <w:sz w:val="20"/>
                <w:szCs w:val="20"/>
                <w:color w:val="auto"/>
              </w:rPr>
            </w:pPr>
            <w:r>
              <w:rPr>
                <w:rFonts w:ascii="Arial" w:cs="Arial" w:eastAsia="Arial" w:hAnsi="Arial"/>
                <w:sz w:val="18"/>
                <w:szCs w:val="18"/>
                <w:b w:val="1"/>
                <w:bCs w:val="1"/>
                <w:color w:val="auto"/>
                <w:w w:val="87"/>
              </w:rPr>
              <w:t>December 31,</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center"/>
              <w:ind w:left="691"/>
              <w:spacing w:after="0"/>
              <w:rPr>
                <w:sz w:val="20"/>
                <w:szCs w:val="20"/>
                <w:color w:val="auto"/>
              </w:rPr>
            </w:pPr>
            <w:r>
              <w:rPr>
                <w:rFonts w:ascii="Arial" w:cs="Arial" w:eastAsia="Arial" w:hAnsi="Arial"/>
                <w:sz w:val="18"/>
                <w:szCs w:val="18"/>
                <w:b w:val="1"/>
                <w:bCs w:val="1"/>
                <w:color w:val="auto"/>
                <w:w w:val="87"/>
              </w:rPr>
              <w:t>December 31,</w:t>
            </w:r>
          </w:p>
        </w:tc>
        <w:tc>
          <w:tcPr>
            <w:tcW w:w="1200" w:type="dxa"/>
            <w:vAlign w:val="bottom"/>
            <w:tcBorders>
              <w:bottom w:val="single" w:sz="8" w:color="auto"/>
            </w:tcBorders>
          </w:tcPr>
          <w:p>
            <w:pPr>
              <w:spacing w:after="0"/>
              <w:rPr>
                <w:sz w:val="19"/>
                <w:szCs w:val="19"/>
                <w:color w:val="auto"/>
              </w:rPr>
            </w:pPr>
          </w:p>
        </w:tc>
      </w:tr>
      <w:tr>
        <w:trPr>
          <w:trHeight w:val="219"/>
        </w:trPr>
        <w:tc>
          <w:tcPr>
            <w:tcW w:w="37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1"/>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51"/>
              <w:spacing w:after="0"/>
              <w:rPr>
                <w:sz w:val="20"/>
                <w:szCs w:val="20"/>
                <w:color w:val="auto"/>
              </w:rPr>
            </w:pPr>
            <w:r>
              <w:rPr>
                <w:rFonts w:ascii="Arial" w:cs="Arial" w:eastAsia="Arial" w:hAnsi="Arial"/>
                <w:sz w:val="18"/>
                <w:szCs w:val="18"/>
                <w:b w:val="1"/>
                <w:bCs w:val="1"/>
                <w:color w:val="auto"/>
              </w:rPr>
              <w:t>2019</w:t>
            </w:r>
          </w:p>
        </w:tc>
      </w:tr>
      <w:tr>
        <w:trPr>
          <w:trHeight w:val="219"/>
        </w:trPr>
        <w:tc>
          <w:tcPr>
            <w:tcW w:w="3720" w:type="dxa"/>
            <w:vAlign w:val="bottom"/>
            <w:shd w:val="clear" w:color="auto" w:fill="CCEEFF"/>
          </w:tcPr>
          <w:p>
            <w:pPr>
              <w:ind w:left="220"/>
              <w:spacing w:after="0" w:line="205" w:lineRule="exact"/>
              <w:rPr>
                <w:sz w:val="20"/>
                <w:szCs w:val="20"/>
                <w:color w:val="auto"/>
              </w:rPr>
            </w:pPr>
            <w:r>
              <w:rPr>
                <w:rFonts w:ascii="Arial" w:cs="Arial" w:eastAsia="Arial" w:hAnsi="Arial"/>
                <w:sz w:val="18"/>
                <w:szCs w:val="18"/>
                <w:color w:val="auto"/>
              </w:rPr>
              <w:t>Cost of revenue</w:t>
            </w:r>
          </w:p>
        </w:tc>
        <w:tc>
          <w:tcPr>
            <w:tcW w:w="1180" w:type="dxa"/>
            <w:vAlign w:val="bottom"/>
            <w:shd w:val="clear" w:color="auto" w:fill="CCEEFF"/>
          </w:tcPr>
          <w:p>
            <w:pPr>
              <w:jc w:val="right"/>
              <w:ind w:right="991"/>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25"/>
        </w:trPr>
        <w:tc>
          <w:tcPr>
            <w:tcW w:w="372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147.6</w:t>
            </w:r>
          </w:p>
        </w:tc>
      </w:tr>
      <w:tr>
        <w:trPr>
          <w:trHeight w:val="226"/>
        </w:trPr>
        <w:tc>
          <w:tcPr>
            <w:tcW w:w="3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300"/>
        </w:trPr>
        <w:tc>
          <w:tcPr>
            <w:tcW w:w="3720" w:type="dxa"/>
            <w:vAlign w:val="bottom"/>
          </w:tcPr>
          <w:p>
            <w:pPr>
              <w:ind w:left="22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(3)</w:t>
            </w:r>
          </w:p>
        </w:tc>
        <w:tc>
          <w:tcPr>
            <w:tcW w:w="1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66.4</w:t>
            </w:r>
          </w:p>
        </w:tc>
      </w:tr>
    </w:tbl>
    <w:p>
      <w:pPr>
        <w:spacing w:after="0" w:line="245" w:lineRule="exact"/>
        <w:rPr>
          <w:sz w:val="20"/>
          <w:szCs w:val="20"/>
          <w:color w:val="auto"/>
        </w:rPr>
      </w:pPr>
    </w:p>
    <w:p>
      <w:pPr>
        <w:ind w:left="154" w:hanging="154"/>
        <w:spacing w:after="0"/>
        <w:tabs>
          <w:tab w:leader="none" w:pos="154" w:val="left"/>
        </w:tabs>
        <w:numPr>
          <w:ilvl w:val="0"/>
          <w:numId w:val="9"/>
        </w:numPr>
        <w:rPr>
          <w:rFonts w:ascii="Arial" w:cs="Arial" w:eastAsia="Arial" w:hAnsi="Arial"/>
          <w:sz w:val="18"/>
          <w:szCs w:val="18"/>
          <w:color w:val="auto"/>
          <w:vertAlign w:val="superscript"/>
        </w:rPr>
      </w:pPr>
      <w:r>
        <w:rPr>
          <w:rFonts w:ascii="Arial" w:cs="Arial" w:eastAsia="Arial" w:hAnsi="Arial"/>
          <w:sz w:val="13"/>
          <w:szCs w:val="13"/>
          <w:color w:val="auto"/>
        </w:rPr>
        <w:t>Includes impairment charges related to certain right-of-use and other lease related assets as a result of our decision to shift to a Virtual First work model.</w:t>
      </w:r>
    </w:p>
    <w:p>
      <w:pPr>
        <w:spacing w:after="0" w:line="220" w:lineRule="exact"/>
        <w:rPr>
          <w:rFonts w:ascii="Arial" w:cs="Arial" w:eastAsia="Arial" w:hAnsi="Arial"/>
          <w:sz w:val="18"/>
          <w:szCs w:val="18"/>
          <w:color w:val="auto"/>
          <w:vertAlign w:val="superscript"/>
        </w:rPr>
      </w:pPr>
    </w:p>
    <w:p>
      <w:pPr>
        <w:ind w:left="-6" w:right="560" w:firstLine="6"/>
        <w:spacing w:after="0" w:line="275" w:lineRule="auto"/>
        <w:tabs>
          <w:tab w:leader="none" w:pos="157" w:val="left"/>
        </w:tabs>
        <w:numPr>
          <w:ilvl w:val="0"/>
          <w:numId w:val="9"/>
        </w:numPr>
        <w:rPr>
          <w:rFonts w:ascii="Arial" w:cs="Arial" w:eastAsia="Arial" w:hAnsi="Arial"/>
          <w:sz w:val="19"/>
          <w:szCs w:val="19"/>
          <w:color w:val="auto"/>
          <w:vertAlign w:val="superscript"/>
        </w:rPr>
      </w:pPr>
      <w:r>
        <w:rPr>
          <w:rFonts w:ascii="Arial" w:cs="Arial" w:eastAsia="Arial" w:hAnsi="Arial"/>
          <w:sz w:val="13"/>
          <w:szCs w:val="13"/>
          <w:color w:val="auto"/>
        </w:rPr>
        <w:t>On March 19, 2020, one of our co-founders resigned as a member of the board and as an officer of Dropbox, resulting in the reversal of $23.8 million in stock-based compensation expense. Of the total amount reversed, $21.5 million related to expense recognized prior to December 31, 2019.</w:t>
      </w:r>
    </w:p>
    <w:p>
      <w:pPr>
        <w:sectPr>
          <w:pgSz w:w="11900" w:h="16838" w:orient="portrait"/>
          <w:cols w:equalWidth="0" w:num="1">
            <w:col w:w="11214"/>
          </w:cols>
          <w:pgMar w:left="326" w:top="882"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21"/>
          <w:szCs w:val="21"/>
          <w:b w:val="1"/>
          <w:bCs w:val="1"/>
          <w:color w:val="auto"/>
        </w:rPr>
        <w:t>Dropbox, Inc.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Condensed Consolidated Balance Sheets</w:t>
      </w:r>
    </w:p>
    <w:p>
      <w:pPr>
        <w:spacing w:after="0" w:line="3" w:lineRule="exact"/>
        <w:rPr>
          <w:sz w:val="20"/>
          <w:szCs w:val="20"/>
          <w:color w:val="auto"/>
        </w:rPr>
      </w:pPr>
    </w:p>
    <w:p>
      <w:pPr>
        <w:ind w:left="5160"/>
        <w:spacing w:after="0"/>
        <w:rPr>
          <w:sz w:val="20"/>
          <w:szCs w:val="20"/>
          <w:color w:val="auto"/>
        </w:rPr>
      </w:pPr>
      <w:r>
        <w:rPr>
          <w:rFonts w:ascii="Arial" w:cs="Arial" w:eastAsia="Arial" w:hAnsi="Arial"/>
          <w:sz w:val="18"/>
          <w:szCs w:val="18"/>
          <w:i w:val="1"/>
          <w:iCs w:val="1"/>
          <w:color w:val="auto"/>
        </w:rPr>
        <w:t>(In millions)</w:t>
      </w:r>
    </w:p>
    <w:p>
      <w:pPr>
        <w:spacing w:after="0" w:line="3" w:lineRule="exact"/>
        <w:rPr>
          <w:sz w:val="20"/>
          <w:szCs w:val="20"/>
          <w:color w:val="auto"/>
        </w:rPr>
      </w:pPr>
    </w:p>
    <w:p>
      <w:pPr>
        <w:ind w:left="5180"/>
        <w:spacing w:after="0"/>
        <w:rPr>
          <w:sz w:val="20"/>
          <w:szCs w:val="20"/>
          <w:color w:val="auto"/>
        </w:rPr>
      </w:pPr>
      <w:r>
        <w:rPr>
          <w:rFonts w:ascii="Arial" w:cs="Arial" w:eastAsia="Arial" w:hAnsi="Arial"/>
          <w:sz w:val="18"/>
          <w:szCs w:val="18"/>
          <w:i w:val="1"/>
          <w:i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8"/>
                <w:szCs w:val="18"/>
                <w:b w:val="1"/>
                <w:bCs w:val="1"/>
                <w:color w:val="auto"/>
              </w:rPr>
              <w:t>As of</w:t>
            </w:r>
          </w:p>
        </w:tc>
        <w:tc>
          <w:tcPr>
            <w:tcW w:w="1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 2020</w:t>
            </w:r>
          </w:p>
        </w:tc>
        <w:tc>
          <w:tcPr>
            <w:tcW w:w="260" w:type="dxa"/>
            <w:vAlign w:val="bottom"/>
          </w:tcPr>
          <w:p>
            <w:pPr>
              <w:spacing w:after="0"/>
              <w:rPr>
                <w:sz w:val="19"/>
                <w:szCs w:val="19"/>
                <w:color w:val="auto"/>
              </w:rPr>
            </w:pPr>
          </w:p>
        </w:tc>
        <w:tc>
          <w:tcPr>
            <w:tcW w:w="1940" w:type="dxa"/>
            <w:vAlign w:val="bottom"/>
          </w:tcPr>
          <w:p>
            <w:pPr>
              <w:jc w:val="right"/>
              <w:ind w:right="291"/>
              <w:spacing w:after="0"/>
              <w:rPr>
                <w:sz w:val="20"/>
                <w:szCs w:val="20"/>
                <w:color w:val="auto"/>
              </w:rPr>
            </w:pPr>
            <w:r>
              <w:rPr>
                <w:rFonts w:ascii="Arial" w:cs="Arial" w:eastAsia="Arial" w:hAnsi="Arial"/>
                <w:sz w:val="18"/>
                <w:szCs w:val="18"/>
                <w:b w:val="1"/>
                <w:bCs w:val="1"/>
                <w:color w:val="auto"/>
                <w:w w:val="94"/>
              </w:rPr>
              <w:t>December 31, 2019</w:t>
            </w:r>
          </w:p>
        </w:tc>
        <w:tc>
          <w:tcPr>
            <w:tcW w:w="0" w:type="dxa"/>
            <w:vAlign w:val="bottom"/>
          </w:tcPr>
          <w:p>
            <w:pPr>
              <w:spacing w:after="0"/>
              <w:rPr>
                <w:sz w:val="1"/>
                <w:szCs w:val="1"/>
                <w:color w:val="auto"/>
              </w:rPr>
            </w:pPr>
          </w:p>
        </w:tc>
      </w:tr>
      <w:tr>
        <w:trPr>
          <w:trHeight w:val="206"/>
        </w:trPr>
        <w:tc>
          <w:tcPr>
            <w:tcW w:w="666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6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551.3</w:t>
            </w:r>
          </w:p>
        </w:tc>
        <w:tc>
          <w:tcPr>
            <w:tcW w:w="0" w:type="dxa"/>
            <w:vAlign w:val="bottom"/>
          </w:tcPr>
          <w:p>
            <w:pPr>
              <w:spacing w:after="0"/>
              <w:rPr>
                <w:sz w:val="1"/>
                <w:szCs w:val="1"/>
                <w:color w:val="auto"/>
              </w:rPr>
            </w:pPr>
          </w:p>
        </w:tc>
      </w:tr>
      <w:tr>
        <w:trPr>
          <w:trHeight w:val="225"/>
        </w:trPr>
        <w:tc>
          <w:tcPr>
            <w:tcW w:w="666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806.4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607.7</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Trade and other receivables, net</w:t>
            </w:r>
          </w:p>
        </w:tc>
        <w:tc>
          <w:tcPr>
            <w:tcW w:w="26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25"/>
        </w:trPr>
        <w:tc>
          <w:tcPr>
            <w:tcW w:w="6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20"/>
        </w:trPr>
        <w:tc>
          <w:tcPr>
            <w:tcW w:w="66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1,243.2</w:t>
            </w:r>
          </w:p>
        </w:tc>
        <w:tc>
          <w:tcPr>
            <w:tcW w:w="0" w:type="dxa"/>
            <w:vAlign w:val="bottom"/>
          </w:tcPr>
          <w:p>
            <w:pPr>
              <w:spacing w:after="0"/>
              <w:rPr>
                <w:sz w:val="1"/>
                <w:szCs w:val="1"/>
                <w:color w:val="auto"/>
              </w:rPr>
            </w:pPr>
          </w:p>
        </w:tc>
      </w:tr>
      <w:tr>
        <w:trPr>
          <w:trHeight w:val="225"/>
        </w:trPr>
        <w:tc>
          <w:tcPr>
            <w:tcW w:w="66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338.7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445.3</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w:t>
            </w:r>
          </w:p>
        </w:tc>
        <w:tc>
          <w:tcPr>
            <w:tcW w:w="26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657.9</w:t>
            </w:r>
          </w:p>
        </w:tc>
        <w:tc>
          <w:tcPr>
            <w:tcW w:w="0" w:type="dxa"/>
            <w:vAlign w:val="bottom"/>
          </w:tcPr>
          <w:p>
            <w:pPr>
              <w:spacing w:after="0"/>
              <w:rPr>
                <w:sz w:val="1"/>
                <w:szCs w:val="1"/>
                <w:color w:val="auto"/>
              </w:rPr>
            </w:pPr>
          </w:p>
        </w:tc>
      </w:tr>
      <w:tr>
        <w:trPr>
          <w:trHeight w:val="225"/>
        </w:trPr>
        <w:tc>
          <w:tcPr>
            <w:tcW w:w="666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0" w:type="dxa"/>
            <w:vAlign w:val="bottom"/>
          </w:tcPr>
          <w:p>
            <w:pPr>
              <w:spacing w:after="0"/>
              <w:rPr>
                <w:sz w:val="1"/>
                <w:szCs w:val="1"/>
                <w:color w:val="auto"/>
              </w:rPr>
            </w:pPr>
          </w:p>
        </w:tc>
      </w:tr>
      <w:tr>
        <w:trPr>
          <w:trHeight w:val="225"/>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44"/>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2,699.2</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6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and other current liabilities</w:t>
            </w:r>
          </w:p>
        </w:tc>
        <w:tc>
          <w:tcPr>
            <w:tcW w:w="26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25"/>
        </w:trPr>
        <w:tc>
          <w:tcPr>
            <w:tcW w:w="6660" w:type="dxa"/>
            <w:vAlign w:val="bottom"/>
          </w:tcPr>
          <w:p>
            <w:pPr>
              <w:ind w:left="220"/>
              <w:spacing w:after="0"/>
              <w:rPr>
                <w:sz w:val="20"/>
                <w:szCs w:val="20"/>
                <w:color w:val="auto"/>
              </w:rPr>
            </w:pPr>
            <w:r>
              <w:rPr>
                <w:rFonts w:ascii="Arial" w:cs="Arial" w:eastAsia="Arial" w:hAnsi="Arial"/>
                <w:sz w:val="18"/>
                <w:szCs w:val="18"/>
                <w:color w:val="auto"/>
              </w:rPr>
              <w:t>Accrued compensation and benefits</w:t>
            </w:r>
          </w:p>
        </w:tc>
        <w:tc>
          <w:tcPr>
            <w:tcW w:w="2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113.6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liability</w:t>
            </w:r>
          </w:p>
        </w:tc>
        <w:tc>
          <w:tcPr>
            <w:tcW w:w="26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25"/>
        </w:trPr>
        <w:tc>
          <w:tcPr>
            <w:tcW w:w="6660" w:type="dxa"/>
            <w:vAlign w:val="bottom"/>
          </w:tcPr>
          <w:p>
            <w:pPr>
              <w:ind w:left="220"/>
              <w:spacing w:after="0"/>
              <w:rPr>
                <w:sz w:val="20"/>
                <w:szCs w:val="20"/>
                <w:color w:val="auto"/>
              </w:rPr>
            </w:pPr>
            <w:r>
              <w:rPr>
                <w:rFonts w:ascii="Arial" w:cs="Arial" w:eastAsia="Arial" w:hAnsi="Arial"/>
                <w:sz w:val="18"/>
                <w:szCs w:val="18"/>
                <w:color w:val="auto"/>
              </w:rPr>
              <w:t>Finance lease obligation</w:t>
            </w:r>
          </w:p>
        </w:tc>
        <w:tc>
          <w:tcPr>
            <w:tcW w:w="2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99.6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554.2</w:t>
            </w:r>
          </w:p>
        </w:tc>
        <w:tc>
          <w:tcPr>
            <w:tcW w:w="0" w:type="dxa"/>
            <w:vAlign w:val="bottom"/>
          </w:tcPr>
          <w:p>
            <w:pPr>
              <w:spacing w:after="0"/>
              <w:rPr>
                <w:sz w:val="1"/>
                <w:szCs w:val="1"/>
                <w:color w:val="auto"/>
              </w:rPr>
            </w:pPr>
          </w:p>
        </w:tc>
      </w:tr>
      <w:tr>
        <w:trPr>
          <w:trHeight w:val="218"/>
        </w:trPr>
        <w:tc>
          <w:tcPr>
            <w:tcW w:w="6660" w:type="dxa"/>
            <w:vAlign w:val="bottom"/>
          </w:tcPr>
          <w:p>
            <w:pPr>
              <w:ind w:left="20"/>
              <w:spacing w:after="0" w:line="205" w:lineRule="exact"/>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1,087.8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1,014.8</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liability, non-current</w:t>
            </w:r>
          </w:p>
        </w:tc>
        <w:tc>
          <w:tcPr>
            <w:tcW w:w="26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711.9</w:t>
            </w:r>
          </w:p>
        </w:tc>
        <w:tc>
          <w:tcPr>
            <w:tcW w:w="0" w:type="dxa"/>
            <w:vAlign w:val="bottom"/>
          </w:tcPr>
          <w:p>
            <w:pPr>
              <w:spacing w:after="0"/>
              <w:rPr>
                <w:sz w:val="1"/>
                <w:szCs w:val="1"/>
                <w:color w:val="auto"/>
              </w:rPr>
            </w:pPr>
          </w:p>
        </w:tc>
      </w:tr>
      <w:tr>
        <w:trPr>
          <w:trHeight w:val="225"/>
        </w:trPr>
        <w:tc>
          <w:tcPr>
            <w:tcW w:w="6660" w:type="dxa"/>
            <w:vAlign w:val="bottom"/>
          </w:tcPr>
          <w:p>
            <w:pPr>
              <w:ind w:left="120"/>
              <w:spacing w:after="0"/>
              <w:rPr>
                <w:sz w:val="20"/>
                <w:szCs w:val="20"/>
                <w:color w:val="auto"/>
              </w:rPr>
            </w:pPr>
            <w:r>
              <w:rPr>
                <w:rFonts w:ascii="Arial" w:cs="Arial" w:eastAsia="Arial" w:hAnsi="Arial"/>
                <w:sz w:val="18"/>
                <w:szCs w:val="18"/>
                <w:color w:val="auto"/>
              </w:rPr>
              <w:t>Finance lease obligation, non-current</w:t>
            </w:r>
          </w:p>
        </w:tc>
        <w:tc>
          <w:tcPr>
            <w:tcW w:w="2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171.6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8"/>
        </w:trPr>
        <w:tc>
          <w:tcPr>
            <w:tcW w:w="6660" w:type="dxa"/>
            <w:vAlign w:val="bottom"/>
            <w:tcBorders>
              <w:bottom w:val="single" w:sz="8" w:color="CCEEFF"/>
            </w:tcBorders>
          </w:tcPr>
          <w:p>
            <w:pPr>
              <w:ind w:left="20"/>
              <w:spacing w:after="0" w:line="205" w:lineRule="exact"/>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2,053.4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1,890.8</w:t>
            </w:r>
          </w:p>
        </w:tc>
        <w:tc>
          <w:tcPr>
            <w:tcW w:w="0" w:type="dxa"/>
            <w:vAlign w:val="bottom"/>
          </w:tcPr>
          <w:p>
            <w:pPr>
              <w:spacing w:after="0"/>
              <w:rPr>
                <w:sz w:val="1"/>
                <w:szCs w:val="1"/>
                <w:color w:val="auto"/>
              </w:rPr>
            </w:pPr>
          </w:p>
        </w:tc>
      </w:tr>
      <w:tr>
        <w:trPr>
          <w:trHeight w:val="206"/>
        </w:trPr>
        <w:tc>
          <w:tcPr>
            <w:tcW w:w="66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660" w:type="dxa"/>
            <w:vAlign w:val="bottom"/>
          </w:tcPr>
          <w:p>
            <w:pPr>
              <w:ind w:left="220"/>
              <w:spacing w:after="0"/>
              <w:rPr>
                <w:sz w:val="20"/>
                <w:szCs w:val="20"/>
                <w:color w:val="auto"/>
              </w:rPr>
            </w:pPr>
            <w:r>
              <w:rPr>
                <w:rFonts w:ascii="Arial" w:cs="Arial" w:eastAsia="Arial" w:hAnsi="Arial"/>
                <w:sz w:val="18"/>
                <w:szCs w:val="18"/>
                <w:color w:val="auto"/>
              </w:rPr>
              <w:t>Additional paid-in-capital</w:t>
            </w:r>
          </w:p>
        </w:tc>
        <w:tc>
          <w:tcPr>
            <w:tcW w:w="2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2,564.3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2,531.3</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(1,726.2)</w:t>
            </w:r>
          </w:p>
        </w:tc>
        <w:tc>
          <w:tcPr>
            <w:tcW w:w="0" w:type="dxa"/>
            <w:vAlign w:val="bottom"/>
          </w:tcPr>
          <w:p>
            <w:pPr>
              <w:spacing w:after="0"/>
              <w:rPr>
                <w:sz w:val="1"/>
                <w:szCs w:val="1"/>
                <w:color w:val="auto"/>
              </w:rPr>
            </w:pPr>
          </w:p>
        </w:tc>
      </w:tr>
      <w:tr>
        <w:trPr>
          <w:trHeight w:val="225"/>
        </w:trPr>
        <w:tc>
          <w:tcPr>
            <w:tcW w:w="6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2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0"/>
        </w:trPr>
        <w:tc>
          <w:tcPr>
            <w:tcW w:w="66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808.4</w:t>
            </w:r>
          </w:p>
        </w:tc>
        <w:tc>
          <w:tcPr>
            <w:tcW w:w="0" w:type="dxa"/>
            <w:vAlign w:val="bottom"/>
          </w:tcPr>
          <w:p>
            <w:pPr>
              <w:spacing w:after="0"/>
              <w:rPr>
                <w:sz w:val="1"/>
                <w:szCs w:val="1"/>
                <w:color w:val="auto"/>
              </w:rPr>
            </w:pPr>
          </w:p>
        </w:tc>
      </w:tr>
      <w:tr>
        <w:trPr>
          <w:trHeight w:val="218"/>
        </w:trPr>
        <w:tc>
          <w:tcPr>
            <w:tcW w:w="666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2,387.2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2,699.2</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40" w:top="882"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21"/>
          <w:szCs w:val="21"/>
          <w:b w:val="1"/>
          <w:bCs w:val="1"/>
          <w:color w:val="auto"/>
        </w:rPr>
        <w:t>Dropbox, Inc.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Condensed Consolidated Statements of Cash Flows</w:t>
      </w:r>
    </w:p>
    <w:p>
      <w:pPr>
        <w:spacing w:after="0" w:line="3" w:lineRule="exact"/>
        <w:rPr>
          <w:sz w:val="20"/>
          <w:szCs w:val="20"/>
          <w:color w:val="auto"/>
        </w:rPr>
      </w:pPr>
    </w:p>
    <w:p>
      <w:pPr>
        <w:ind w:left="5180"/>
        <w:spacing w:after="0"/>
        <w:rPr>
          <w:sz w:val="20"/>
          <w:szCs w:val="20"/>
          <w:color w:val="auto"/>
        </w:rPr>
      </w:pPr>
      <w:r>
        <w:rPr>
          <w:rFonts w:ascii="Arial" w:cs="Arial" w:eastAsia="Arial" w:hAnsi="Arial"/>
          <w:sz w:val="18"/>
          <w:szCs w:val="18"/>
          <w:i w:val="1"/>
          <w:iCs w:val="1"/>
          <w:color w:val="auto"/>
        </w:rPr>
        <w:t>(In millions)</w:t>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(Unaudited)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00" w:type="dxa"/>
            <w:vAlign w:val="bottom"/>
            <w:gridSpan w:val="5"/>
          </w:tcPr>
          <w:p>
            <w:pPr>
              <w:ind w:left="24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6"/>
                <w:szCs w:val="16"/>
                <w:color w:val="auto"/>
              </w:rPr>
            </w:pPr>
          </w:p>
        </w:tc>
        <w:tc>
          <w:tcPr>
            <w:tcW w:w="2180" w:type="dxa"/>
            <w:vAlign w:val="bottom"/>
            <w:gridSpan w:val="4"/>
          </w:tcPr>
          <w:p>
            <w:pPr>
              <w:jc w:val="right"/>
              <w:ind w:right="380"/>
              <w:spacing w:after="0"/>
              <w:rPr>
                <w:sz w:val="20"/>
                <w:szCs w:val="20"/>
                <w:color w:val="auto"/>
              </w:rPr>
            </w:pPr>
            <w:r>
              <w:rPr>
                <w:rFonts w:ascii="Arial" w:cs="Arial" w:eastAsia="Arial" w:hAnsi="Arial"/>
                <w:sz w:val="16"/>
                <w:szCs w:val="16"/>
                <w:b w:val="1"/>
                <w:bCs w:val="1"/>
                <w:color w:val="auto"/>
              </w:rPr>
              <w:t>Twelve Months Ended</w:t>
            </w:r>
          </w:p>
        </w:tc>
      </w:tr>
      <w:tr>
        <w:trPr>
          <w:trHeight w:val="210"/>
        </w:trPr>
        <w:tc>
          <w:tcPr>
            <w:tcW w:w="6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40" w:type="dxa"/>
            <w:vAlign w:val="bottom"/>
            <w:tcBorders>
              <w:bottom w:val="single" w:sz="8" w:color="auto"/>
            </w:tcBorders>
          </w:tcPr>
          <w:p>
            <w:pPr>
              <w:spacing w:after="0"/>
              <w:rPr>
                <w:sz w:val="18"/>
                <w:szCs w:val="18"/>
                <w:color w:val="auto"/>
              </w:rPr>
            </w:pPr>
          </w:p>
        </w:tc>
      </w:tr>
      <w:tr>
        <w:trPr>
          <w:trHeight w:val="206"/>
        </w:trPr>
        <w:tc>
          <w:tcPr>
            <w:tcW w:w="6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w w:val="84"/>
              </w:rPr>
              <w:t>2019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w w:val="84"/>
              </w:rPr>
              <w:t>2019</w:t>
            </w:r>
          </w:p>
        </w:tc>
      </w:tr>
      <w:tr>
        <w:trPr>
          <w:trHeight w:val="195"/>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210"/>
        </w:trPr>
        <w:tc>
          <w:tcPr>
            <w:tcW w:w="6240" w:type="dxa"/>
            <w:vAlign w:val="bottom"/>
          </w:tcPr>
          <w:p>
            <w:pPr>
              <w:ind w:left="20"/>
              <w:spacing w:after="0"/>
              <w:rPr>
                <w:sz w:val="20"/>
                <w:szCs w:val="20"/>
                <w:color w:val="auto"/>
              </w:rPr>
            </w:pPr>
            <w:r>
              <w:rPr>
                <w:rFonts w:ascii="Arial" w:cs="Arial" w:eastAsia="Arial" w:hAnsi="Arial"/>
                <w:sz w:val="16"/>
                <w:szCs w:val="16"/>
                <w:color w:val="auto"/>
              </w:rPr>
              <w:t>Net loss</w:t>
            </w: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(345.8)</w:t>
            </w:r>
          </w:p>
        </w:tc>
        <w:tc>
          <w:tcPr>
            <w:tcW w:w="100" w:type="dxa"/>
            <w:vAlign w:val="bottom"/>
          </w:tcPr>
          <w:p>
            <w:pPr>
              <w:spacing w:after="0"/>
              <w:rPr>
                <w:sz w:val="18"/>
                <w:szCs w:val="18"/>
                <w:color w:val="auto"/>
              </w:rPr>
            </w:pPr>
          </w:p>
        </w:tc>
        <w:tc>
          <w:tcPr>
            <w:tcW w:w="420" w:type="dxa"/>
            <w:vAlign w:val="bottom"/>
          </w:tcPr>
          <w:p>
            <w:pPr>
              <w:jc w:val="right"/>
              <w:ind w:right="24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(256.3)</w:t>
            </w:r>
          </w:p>
        </w:tc>
        <w:tc>
          <w:tcPr>
            <w:tcW w:w="120" w:type="dxa"/>
            <w:vAlign w:val="bottom"/>
          </w:tcPr>
          <w:p>
            <w:pPr>
              <w:spacing w:after="0"/>
              <w:rPr>
                <w:sz w:val="18"/>
                <w:szCs w:val="18"/>
                <w:color w:val="auto"/>
              </w:rPr>
            </w:pPr>
          </w:p>
        </w:tc>
        <w:tc>
          <w:tcPr>
            <w:tcW w:w="420" w:type="dxa"/>
            <w:vAlign w:val="bottom"/>
          </w:tcPr>
          <w:p>
            <w:pPr>
              <w:jc w:val="right"/>
              <w:ind w:right="24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(52.7)</w:t>
            </w:r>
          </w:p>
        </w:tc>
      </w:tr>
      <w:tr>
        <w:trPr>
          <w:trHeight w:val="215"/>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0"/>
        </w:trPr>
        <w:tc>
          <w:tcPr>
            <w:tcW w:w="62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159.3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173.5</w:t>
            </w:r>
          </w:p>
        </w:tc>
      </w:tr>
      <w:tr>
        <w:trPr>
          <w:trHeight w:val="215"/>
        </w:trPr>
        <w:tc>
          <w:tcPr>
            <w:tcW w:w="6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261.5</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261.2</w:t>
            </w:r>
          </w:p>
        </w:tc>
      </w:tr>
      <w:tr>
        <w:trPr>
          <w:trHeight w:val="210"/>
        </w:trPr>
        <w:tc>
          <w:tcPr>
            <w:tcW w:w="6240" w:type="dxa"/>
            <w:vAlign w:val="bottom"/>
          </w:tcPr>
          <w:p>
            <w:pPr>
              <w:ind w:left="220"/>
              <w:spacing w:after="0"/>
              <w:rPr>
                <w:sz w:val="20"/>
                <w:szCs w:val="20"/>
                <w:color w:val="auto"/>
              </w:rPr>
            </w:pPr>
            <w:r>
              <w:rPr>
                <w:rFonts w:ascii="Arial" w:cs="Arial" w:eastAsia="Arial" w:hAnsi="Arial"/>
                <w:sz w:val="16"/>
                <w:szCs w:val="16"/>
                <w:color w:val="auto"/>
              </w:rPr>
              <w:t>Impairment related to real estate assets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398.2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398.2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(gains) losses on equity investments</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240" w:type="dxa"/>
            <w:vAlign w:val="bottom"/>
          </w:tcPr>
          <w:p>
            <w:pPr>
              <w:ind w:left="220"/>
              <w:spacing w:after="0"/>
              <w:rPr>
                <w:sz w:val="20"/>
                <w:szCs w:val="20"/>
                <w:color w:val="auto"/>
              </w:rPr>
            </w:pPr>
            <w:r>
              <w:rPr>
                <w:rFonts w:ascii="Arial" w:cs="Arial" w:eastAsia="Arial" w:hAnsi="Arial"/>
                <w:sz w:val="16"/>
                <w:szCs w:val="16"/>
                <w:color w:val="auto"/>
              </w:rPr>
              <w:t>Amortization of deferred commissions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17.5</w:t>
            </w:r>
          </w:p>
        </w:tc>
      </w:tr>
      <w:tr>
        <w:trPr>
          <w:trHeight w:val="215"/>
        </w:trPr>
        <w:tc>
          <w:tcPr>
            <w:tcW w:w="6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r>
      <w:tr>
        <w:trPr>
          <w:trHeight w:val="210"/>
        </w:trPr>
        <w:tc>
          <w:tcPr>
            <w:tcW w:w="624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5"/>
        </w:trPr>
        <w:tc>
          <w:tcPr>
            <w:tcW w:w="6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Trade and other receivables, net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r>
      <w:tr>
        <w:trPr>
          <w:trHeight w:val="210"/>
        </w:trPr>
        <w:tc>
          <w:tcPr>
            <w:tcW w:w="6240" w:type="dxa"/>
            <w:vAlign w:val="bottom"/>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(18.2)</w:t>
            </w:r>
          </w:p>
        </w:tc>
      </w:tr>
      <w:tr>
        <w:trPr>
          <w:trHeight w:val="215"/>
        </w:trPr>
        <w:tc>
          <w:tcPr>
            <w:tcW w:w="6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assets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w:t>
            </w:r>
          </w:p>
        </w:tc>
      </w:tr>
      <w:tr>
        <w:trPr>
          <w:trHeight w:val="210"/>
        </w:trPr>
        <w:tc>
          <w:tcPr>
            <w:tcW w:w="624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15"/>
        </w:trPr>
        <w:tc>
          <w:tcPr>
            <w:tcW w:w="6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and other current liabilities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r>
      <w:tr>
        <w:trPr>
          <w:trHeight w:val="210"/>
        </w:trPr>
        <w:tc>
          <w:tcPr>
            <w:tcW w:w="6240" w:type="dxa"/>
            <w:vAlign w:val="bottom"/>
          </w:tcPr>
          <w:p>
            <w:pPr>
              <w:ind w:left="220"/>
              <w:spacing w:after="0"/>
              <w:rPr>
                <w:sz w:val="20"/>
                <w:szCs w:val="20"/>
                <w:color w:val="auto"/>
              </w:rPr>
            </w:pPr>
            <w:r>
              <w:rPr>
                <w:rFonts w:ascii="Arial" w:cs="Arial" w:eastAsia="Arial" w:hAnsi="Arial"/>
                <w:sz w:val="16"/>
                <w:szCs w:val="16"/>
                <w:color w:val="auto"/>
              </w:rPr>
              <w:t>Accrued compensation and benefits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19.1</w:t>
            </w:r>
          </w:p>
        </w:tc>
      </w:tr>
      <w:tr>
        <w:trPr>
          <w:trHeight w:val="215"/>
        </w:trPr>
        <w:tc>
          <w:tcPr>
            <w:tcW w:w="6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revenue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w:t>
            </w:r>
          </w:p>
        </w:tc>
      </w:tr>
      <w:tr>
        <w:trPr>
          <w:trHeight w:val="210"/>
        </w:trPr>
        <w:tc>
          <w:tcPr>
            <w:tcW w:w="6240" w:type="dxa"/>
            <w:vAlign w:val="bottom"/>
          </w:tcPr>
          <w:p>
            <w:pPr>
              <w:ind w:left="220"/>
              <w:spacing w:after="0"/>
              <w:rPr>
                <w:sz w:val="20"/>
                <w:szCs w:val="20"/>
                <w:color w:val="auto"/>
              </w:rPr>
            </w:pPr>
            <w:r>
              <w:rPr>
                <w:rFonts w:ascii="Arial" w:cs="Arial" w:eastAsia="Arial" w:hAnsi="Arial"/>
                <w:sz w:val="16"/>
                <w:szCs w:val="16"/>
                <w:color w:val="auto"/>
              </w:rPr>
              <w:t>Other non-current liabilities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(72.9)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(62.4)</w:t>
            </w:r>
          </w:p>
        </w:tc>
      </w:tr>
      <w:tr>
        <w:trPr>
          <w:trHeight w:val="215"/>
        </w:trPr>
        <w:tc>
          <w:tcPr>
            <w:tcW w:w="6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Tenant improvement allowance reimbursement</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w:t>
            </w:r>
          </w:p>
        </w:tc>
      </w:tr>
      <w:tr>
        <w:trPr>
          <w:trHeight w:val="203"/>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170.7</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186.8</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570.8</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528.5</w:t>
            </w:r>
          </w:p>
        </w:tc>
      </w:tr>
      <w:tr>
        <w:trPr>
          <w:trHeight w:val="195"/>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210"/>
        </w:trPr>
        <w:tc>
          <w:tcPr>
            <w:tcW w:w="6240" w:type="dxa"/>
            <w:vAlign w:val="bottom"/>
          </w:tcPr>
          <w:p>
            <w:pPr>
              <w:ind w:left="220"/>
              <w:spacing w:after="0"/>
              <w:rPr>
                <w:sz w:val="20"/>
                <w:szCs w:val="20"/>
                <w:color w:val="auto"/>
              </w:rPr>
            </w:pPr>
            <w:r>
              <w:rPr>
                <w:rFonts w:ascii="Arial" w:cs="Arial" w:eastAsia="Arial" w:hAnsi="Arial"/>
                <w:sz w:val="16"/>
                <w:szCs w:val="16"/>
                <w:color w:val="auto"/>
              </w:rPr>
              <w:t>Capital expenditures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(80.1)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(136.1)</w:t>
            </w:r>
          </w:p>
        </w:tc>
      </w:tr>
      <w:tr>
        <w:trPr>
          <w:trHeight w:val="215"/>
        </w:trPr>
        <w:tc>
          <w:tcPr>
            <w:tcW w:w="6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 of intangible assets</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10"/>
        </w:trPr>
        <w:tc>
          <w:tcPr>
            <w:tcW w:w="6240" w:type="dxa"/>
            <w:vAlign w:val="bottom"/>
          </w:tcPr>
          <w:p>
            <w:pPr>
              <w:ind w:left="220"/>
              <w:spacing w:after="0"/>
              <w:rPr>
                <w:sz w:val="20"/>
                <w:szCs w:val="20"/>
                <w:color w:val="auto"/>
              </w:rPr>
            </w:pPr>
            <w:r>
              <w:rPr>
                <w:rFonts w:ascii="Arial" w:cs="Arial" w:eastAsia="Arial" w:hAnsi="Arial"/>
                <w:sz w:val="16"/>
                <w:szCs w:val="16"/>
                <w:color w:val="auto"/>
              </w:rPr>
              <w:t>Business combinations, net of cash acquired</w:t>
            </w: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(173.9)</w:t>
            </w:r>
          </w:p>
        </w:tc>
      </w:tr>
      <w:tr>
        <w:trPr>
          <w:trHeight w:val="215"/>
        </w:trPr>
        <w:tc>
          <w:tcPr>
            <w:tcW w:w="6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Purchases of short-term investments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(775.4)</w:t>
            </w:r>
          </w:p>
        </w:tc>
      </w:tr>
      <w:tr>
        <w:trPr>
          <w:trHeight w:val="210"/>
        </w:trPr>
        <w:tc>
          <w:tcPr>
            <w:tcW w:w="6240" w:type="dxa"/>
            <w:vAlign w:val="bottom"/>
          </w:tcPr>
          <w:p>
            <w:pPr>
              <w:ind w:left="220"/>
              <w:spacing w:after="0"/>
              <w:rPr>
                <w:sz w:val="20"/>
                <w:szCs w:val="20"/>
                <w:color w:val="auto"/>
              </w:rPr>
            </w:pPr>
            <w:r>
              <w:rPr>
                <w:rFonts w:ascii="Arial" w:cs="Arial" w:eastAsia="Arial" w:hAnsi="Arial"/>
                <w:sz w:val="16"/>
                <w:szCs w:val="16"/>
                <w:color w:val="auto"/>
              </w:rPr>
              <w:t>Proceeds from sales of short-term investments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198.8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456.1</w:t>
            </w:r>
          </w:p>
        </w:tc>
      </w:tr>
      <w:tr>
        <w:trPr>
          <w:trHeight w:val="215"/>
        </w:trPr>
        <w:tc>
          <w:tcPr>
            <w:tcW w:w="6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maturities of short-term investments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294.8</w:t>
            </w:r>
          </w:p>
        </w:tc>
      </w:tr>
      <w:tr>
        <w:trPr>
          <w:trHeight w:val="210"/>
        </w:trPr>
        <w:tc>
          <w:tcPr>
            <w:tcW w:w="62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w:t>
            </w:r>
          </w:p>
        </w:tc>
      </w:tr>
      <w:tr>
        <w:trPr>
          <w:trHeight w:val="208"/>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(233.6)</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(320.0)</w:t>
            </w:r>
          </w:p>
        </w:tc>
      </w:tr>
      <w:tr>
        <w:trPr>
          <w:trHeight w:val="190"/>
        </w:trPr>
        <w:tc>
          <w:tcPr>
            <w:tcW w:w="624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15"/>
        </w:trPr>
        <w:tc>
          <w:tcPr>
            <w:tcW w:w="6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Shares withheld related to net share settlement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w:t>
            </w:r>
          </w:p>
        </w:tc>
      </w:tr>
      <w:tr>
        <w:trPr>
          <w:trHeight w:val="210"/>
        </w:trPr>
        <w:tc>
          <w:tcPr>
            <w:tcW w:w="6240" w:type="dxa"/>
            <w:vAlign w:val="bottom"/>
          </w:tcPr>
          <w:p>
            <w:pPr>
              <w:ind w:left="220"/>
              <w:spacing w:after="0"/>
              <w:rPr>
                <w:sz w:val="20"/>
                <w:szCs w:val="20"/>
                <w:color w:val="auto"/>
              </w:rPr>
            </w:pPr>
            <w:r>
              <w:rPr>
                <w:rFonts w:ascii="Arial" w:cs="Arial" w:eastAsia="Arial" w:hAnsi="Arial"/>
                <w:sz w:val="16"/>
                <w:szCs w:val="16"/>
                <w:color w:val="auto"/>
              </w:rPr>
              <w:t>Proceeds from issuance of common stock, net of repurchases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5"/>
        </w:trPr>
        <w:tc>
          <w:tcPr>
            <w:tcW w:w="6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Principal payments on finance lease obligations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w:t>
            </w:r>
          </w:p>
        </w:tc>
      </w:tr>
      <w:tr>
        <w:trPr>
          <w:trHeight w:val="210"/>
        </w:trPr>
        <w:tc>
          <w:tcPr>
            <w:tcW w:w="6240" w:type="dxa"/>
            <w:vAlign w:val="bottom"/>
          </w:tcPr>
          <w:p>
            <w:pPr>
              <w:ind w:left="220"/>
              <w:spacing w:after="0"/>
              <w:rPr>
                <w:sz w:val="20"/>
                <w:szCs w:val="20"/>
                <w:color w:val="auto"/>
              </w:rPr>
            </w:pPr>
            <w:r>
              <w:rPr>
                <w:rFonts w:ascii="Arial" w:cs="Arial" w:eastAsia="Arial" w:hAnsi="Arial"/>
                <w:sz w:val="16"/>
                <w:szCs w:val="16"/>
                <w:color w:val="auto"/>
              </w:rPr>
              <w:t>Common stock repurchases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(220.2)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(397.5)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03"/>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(269.8)</w:t>
            </w:r>
          </w:p>
        </w:tc>
        <w:tc>
          <w:tcPr>
            <w:tcW w:w="100" w:type="dxa"/>
            <w:vAlign w:val="bottom"/>
            <w:tcBorders>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(39.4)</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(577.7)</w:t>
            </w:r>
          </w:p>
        </w:tc>
        <w:tc>
          <w:tcPr>
            <w:tcW w:w="120" w:type="dxa"/>
            <w:vAlign w:val="bottom"/>
            <w:tcBorders>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(176.7)</w:t>
            </w:r>
          </w:p>
        </w:tc>
      </w:tr>
      <w:tr>
        <w:trPr>
          <w:trHeight w:val="208"/>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03"/>
        </w:trPr>
        <w:tc>
          <w:tcPr>
            <w:tcW w:w="6240" w:type="dxa"/>
            <w:vAlign w:val="bottom"/>
          </w:tcPr>
          <w:p>
            <w:pPr>
              <w:ind w:left="20"/>
              <w:spacing w:after="0"/>
              <w:rPr>
                <w:sz w:val="20"/>
                <w:szCs w:val="20"/>
                <w:color w:val="auto"/>
              </w:rPr>
            </w:pPr>
            <w:r>
              <w:rPr>
                <w:rFonts w:ascii="Arial" w:cs="Arial" w:eastAsia="Arial" w:hAnsi="Arial"/>
                <w:sz w:val="16"/>
                <w:szCs w:val="16"/>
                <w:color w:val="auto"/>
              </w:rPr>
              <w:t>Change in cash and cash equivalents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(137.8)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108.1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(236.4)</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32.0</w:t>
            </w:r>
          </w:p>
        </w:tc>
      </w:tr>
      <w:tr>
        <w:trPr>
          <w:trHeight w:val="215"/>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 beginning of period</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452.7</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551.3</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519.3</w:t>
            </w:r>
          </w:p>
        </w:tc>
      </w:tr>
      <w:tr>
        <w:trPr>
          <w:trHeight w:val="203"/>
        </w:trPr>
        <w:tc>
          <w:tcPr>
            <w:tcW w:w="624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 end of period</w:t>
            </w: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314.9</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551.3</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314.9</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551.3</w:t>
            </w: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82"/>
        </w:trPr>
        <w:tc>
          <w:tcPr>
            <w:tcW w:w="6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210"/>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Supplemental cash flow data:</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r>
      <w:tr>
        <w:trPr>
          <w:trHeight w:val="230"/>
        </w:trPr>
        <w:tc>
          <w:tcPr>
            <w:tcW w:w="6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Property and equipment acquired under finance leases</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145.8</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144.1</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882"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9"/>
          <w:szCs w:val="19"/>
          <w:b w:val="1"/>
          <w:bCs w:val="1"/>
          <w:color w:val="auto"/>
        </w:rPr>
        <w:t>Dropbox,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Three months ended December 31, 2020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Reconciliation of GAAP to Non-GAAP results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for percentages, which may not foot due to rounding)</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Stock-based</w:t>
            </w:r>
          </w:p>
        </w:tc>
        <w:tc>
          <w:tcPr>
            <w:tcW w:w="1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8"/>
              </w:rPr>
              <w:t>Acquisition-</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Intangibles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ind w:left="120"/>
              <w:spacing w:after="0"/>
              <w:rPr>
                <w:sz w:val="20"/>
                <w:szCs w:val="20"/>
                <w:color w:val="auto"/>
              </w:rPr>
            </w:pPr>
            <w:r>
              <w:rPr>
                <w:rFonts w:ascii="Arial" w:cs="Arial" w:eastAsia="Arial" w:hAnsi="Arial"/>
                <w:sz w:val="18"/>
                <w:szCs w:val="18"/>
                <w:b w:val="1"/>
                <w:bCs w:val="1"/>
                <w:color w:val="auto"/>
                <w:w w:val="98"/>
              </w:rPr>
              <w:t>Impairment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restart"/>
          </w:tcPr>
          <w:p>
            <w:pPr>
              <w:jc w:val="right"/>
              <w:ind w:right="131"/>
              <w:spacing w:after="0"/>
              <w:rPr>
                <w:sz w:val="20"/>
                <w:szCs w:val="20"/>
                <w:color w:val="auto"/>
              </w:rPr>
            </w:pPr>
            <w:r>
              <w:rPr>
                <w:rFonts w:ascii="Arial" w:cs="Arial" w:eastAsia="Arial" w:hAnsi="Arial"/>
                <w:sz w:val="18"/>
                <w:szCs w:val="18"/>
                <w:b w:val="1"/>
                <w:bCs w:val="1"/>
                <w:color w:val="auto"/>
              </w:rPr>
              <w:t>GAAP</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720" w:type="dxa"/>
            <w:vAlign w:val="bottom"/>
            <w:gridSpan w:val="5"/>
          </w:tcPr>
          <w:p>
            <w:pPr>
              <w:jc w:val="center"/>
              <w:ind w:right="260"/>
              <w:spacing w:after="0" w:line="173" w:lineRule="exact"/>
              <w:rPr>
                <w:sz w:val="20"/>
                <w:szCs w:val="20"/>
                <w:color w:val="auto"/>
              </w:rPr>
            </w:pPr>
            <w:r>
              <w:rPr>
                <w:rFonts w:ascii="Arial" w:cs="Arial" w:eastAsia="Arial" w:hAnsi="Arial"/>
                <w:sz w:val="18"/>
                <w:szCs w:val="18"/>
                <w:b w:val="1"/>
                <w:bCs w:val="1"/>
                <w:color w:val="auto"/>
                <w:w w:val="88"/>
              </w:rPr>
              <w:t>related and other</w:t>
            </w:r>
          </w:p>
        </w:tc>
        <w:tc>
          <w:tcPr>
            <w:tcW w:w="10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ind w:left="40"/>
              <w:spacing w:after="0" w:line="173" w:lineRule="exact"/>
              <w:rPr>
                <w:sz w:val="20"/>
                <w:szCs w:val="20"/>
                <w:color w:val="auto"/>
              </w:rPr>
            </w:pPr>
            <w:r>
              <w:rPr>
                <w:rFonts w:ascii="Arial" w:cs="Arial" w:eastAsia="Arial" w:hAnsi="Arial"/>
                <w:sz w:val="18"/>
                <w:szCs w:val="18"/>
                <w:b w:val="1"/>
                <w:bCs w:val="1"/>
                <w:color w:val="auto"/>
                <w:w w:val="88"/>
              </w:rPr>
              <w:t>related to real</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restart"/>
          </w:tcPr>
          <w:p>
            <w:pPr>
              <w:jc w:val="right"/>
              <w:ind w:right="111"/>
              <w:spacing w:after="0"/>
              <w:rPr>
                <w:sz w:val="20"/>
                <w:szCs w:val="20"/>
                <w:color w:val="auto"/>
              </w:rPr>
            </w:pPr>
            <w:r>
              <w:rPr>
                <w:rFonts w:ascii="Arial" w:cs="Arial" w:eastAsia="Arial" w:hAnsi="Arial"/>
                <w:sz w:val="18"/>
                <w:szCs w:val="18"/>
                <w:b w:val="1"/>
                <w:bCs w:val="1"/>
                <w:color w:val="auto"/>
                <w:w w:val="96"/>
              </w:rPr>
              <w:t>Non-GAAP</w:t>
            </w:r>
          </w:p>
        </w:tc>
        <w:tc>
          <w:tcPr>
            <w:tcW w:w="0" w:type="dxa"/>
            <w:vAlign w:val="bottom"/>
          </w:tcPr>
          <w:p>
            <w:pPr>
              <w:spacing w:after="0"/>
              <w:rPr>
                <w:sz w:val="1"/>
                <w:szCs w:val="1"/>
                <w:color w:val="auto"/>
              </w:rPr>
            </w:pPr>
          </w:p>
        </w:tc>
      </w:tr>
      <w:tr>
        <w:trPr>
          <w:trHeight w:val="226"/>
        </w:trPr>
        <w:tc>
          <w:tcPr>
            <w:tcW w:w="23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w w:val="86"/>
              </w:rPr>
              <w:t>compensation</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0"/>
              </w:rPr>
              <w:t>expenses</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amortization</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40"/>
              <w:spacing w:after="0" w:line="225" w:lineRule="exact"/>
              <w:rPr>
                <w:sz w:val="20"/>
                <w:szCs w:val="20"/>
                <w:color w:val="auto"/>
              </w:rPr>
            </w:pPr>
            <w:r>
              <w:rPr>
                <w:rFonts w:ascii="Arial" w:cs="Arial" w:eastAsia="Arial" w:hAnsi="Arial"/>
                <w:sz w:val="18"/>
                <w:szCs w:val="18"/>
                <w:b w:val="1"/>
                <w:bCs w:val="1"/>
                <w:color w:val="auto"/>
                <w:w w:val="78"/>
              </w:rPr>
              <w:t>estate assets</w:t>
            </w:r>
            <w:r>
              <w:rPr>
                <w:rFonts w:ascii="Arial" w:cs="Arial" w:eastAsia="Arial" w:hAnsi="Arial"/>
                <w:sz w:val="23"/>
                <w:szCs w:val="23"/>
                <w:b w:val="1"/>
                <w:bCs w:val="1"/>
                <w:color w:val="auto"/>
                <w:w w:val="78"/>
                <w:vertAlign w:val="superscript"/>
              </w:rPr>
              <w:t>(1)</w:t>
            </w: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25"/>
        </w:trPr>
        <w:tc>
          <w:tcPr>
            <w:tcW w:w="2360" w:type="dxa"/>
            <w:vAlign w:val="bottom"/>
          </w:tcPr>
          <w:p>
            <w:pPr>
              <w:ind w:left="20"/>
              <w:spacing w:after="0"/>
              <w:rPr>
                <w:sz w:val="20"/>
                <w:szCs w:val="20"/>
                <w:color w:val="auto"/>
              </w:rPr>
            </w:pPr>
            <w:r>
              <w:rPr>
                <w:rFonts w:ascii="Arial" w:cs="Arial" w:eastAsia="Arial" w:hAnsi="Arial"/>
                <w:sz w:val="18"/>
                <w:szCs w:val="18"/>
                <w:i w:val="1"/>
                <w:iCs w:val="1"/>
                <w:color w:val="auto"/>
              </w:rPr>
              <w:t>Cost of revenue margin</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4"/>
          </w:tcPr>
          <w:p>
            <w:pPr>
              <w:ind w:left="820"/>
              <w:spacing w:after="0"/>
              <w:rPr>
                <w:sz w:val="20"/>
                <w:szCs w:val="20"/>
                <w:color w:val="auto"/>
              </w:rPr>
            </w:pPr>
            <w:r>
              <w:rPr>
                <w:rFonts w:ascii="Arial" w:cs="Arial" w:eastAsia="Arial" w:hAnsi="Arial"/>
                <w:sz w:val="18"/>
                <w:szCs w:val="18"/>
                <w:color w:val="auto"/>
              </w:rPr>
              <w:t>— %</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4"/>
          </w:tcPr>
          <w:p>
            <w:pPr>
              <w:ind w:left="840"/>
              <w:spacing w:after="0"/>
              <w:rPr>
                <w:sz w:val="20"/>
                <w:szCs w:val="20"/>
                <w:color w:val="auto"/>
              </w:rPr>
            </w:pPr>
            <w:r>
              <w:rPr>
                <w:rFonts w:ascii="Arial" w:cs="Arial" w:eastAsia="Arial" w:hAnsi="Arial"/>
                <w:sz w:val="18"/>
                <w:szCs w:val="18"/>
                <w:color w:val="auto"/>
              </w:rPr>
              <w:t>— %</w:t>
            </w:r>
          </w:p>
        </w:tc>
        <w:tc>
          <w:tcPr>
            <w:tcW w:w="1120" w:type="dxa"/>
            <w:vAlign w:val="bottom"/>
          </w:tcPr>
          <w:p>
            <w:pPr>
              <w:jc w:val="right"/>
              <w:spacing w:after="0"/>
              <w:rPr>
                <w:sz w:val="20"/>
                <w:szCs w:val="20"/>
                <w:color w:val="auto"/>
              </w:rPr>
            </w:pPr>
            <w:r>
              <w:rPr>
                <w:rFonts w:ascii="Arial" w:cs="Arial" w:eastAsia="Arial" w:hAnsi="Arial"/>
                <w:sz w:val="18"/>
                <w:szCs w:val="18"/>
                <w:color w:val="auto"/>
              </w:rPr>
              <w:t>19.9 %</w:t>
            </w:r>
          </w:p>
        </w:tc>
        <w:tc>
          <w:tcPr>
            <w:tcW w:w="0" w:type="dxa"/>
            <w:vAlign w:val="bottom"/>
          </w:tcPr>
          <w:p>
            <w:pPr>
              <w:spacing w:after="0"/>
              <w:rPr>
                <w:sz w:val="1"/>
                <w:szCs w:val="1"/>
                <w:color w:val="auto"/>
              </w:rPr>
            </w:pPr>
          </w:p>
        </w:tc>
      </w:tr>
      <w:tr>
        <w:trPr>
          <w:trHeight w:val="226"/>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403.7</w:t>
            </w:r>
          </w:p>
        </w:tc>
        <w:tc>
          <w:tcPr>
            <w:tcW w:w="0" w:type="dxa"/>
            <w:vAlign w:val="bottom"/>
          </w:tcPr>
          <w:p>
            <w:pPr>
              <w:spacing w:after="0"/>
              <w:rPr>
                <w:sz w:val="1"/>
                <w:szCs w:val="1"/>
                <w:color w:val="auto"/>
              </w:rPr>
            </w:pPr>
          </w:p>
        </w:tc>
      </w:tr>
      <w:tr>
        <w:trPr>
          <w:trHeight w:val="225"/>
        </w:trPr>
        <w:tc>
          <w:tcPr>
            <w:tcW w:w="2360" w:type="dxa"/>
            <w:vAlign w:val="bottom"/>
          </w:tcPr>
          <w:p>
            <w:pPr>
              <w:ind w:left="20"/>
              <w:spacing w:after="0"/>
              <w:rPr>
                <w:sz w:val="20"/>
                <w:szCs w:val="20"/>
                <w:color w:val="auto"/>
              </w:rPr>
            </w:pPr>
            <w:r>
              <w:rPr>
                <w:rFonts w:ascii="Arial" w:cs="Arial" w:eastAsia="Arial" w:hAnsi="Arial"/>
                <w:sz w:val="18"/>
                <w:szCs w:val="18"/>
                <w:i w:val="1"/>
                <w:iCs w:val="1"/>
                <w:color w:val="auto"/>
              </w:rPr>
              <w:t>Gross margin</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4"/>
          </w:tcPr>
          <w:p>
            <w:pPr>
              <w:ind w:left="820"/>
              <w:spacing w:after="0"/>
              <w:rPr>
                <w:sz w:val="20"/>
                <w:szCs w:val="20"/>
                <w:color w:val="auto"/>
              </w:rPr>
            </w:pPr>
            <w:r>
              <w:rPr>
                <w:rFonts w:ascii="Arial" w:cs="Arial" w:eastAsia="Arial" w:hAnsi="Arial"/>
                <w:sz w:val="18"/>
                <w:szCs w:val="18"/>
                <w:color w:val="auto"/>
              </w:rPr>
              <w:t>— %</w:t>
            </w:r>
          </w:p>
        </w:tc>
        <w:tc>
          <w:tcPr>
            <w:tcW w:w="108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4"/>
          </w:tcPr>
          <w:p>
            <w:pPr>
              <w:ind w:left="840"/>
              <w:spacing w:after="0"/>
              <w:rPr>
                <w:sz w:val="20"/>
                <w:szCs w:val="20"/>
                <w:color w:val="auto"/>
              </w:rPr>
            </w:pPr>
            <w:r>
              <w:rPr>
                <w:rFonts w:ascii="Arial" w:cs="Arial" w:eastAsia="Arial" w:hAnsi="Arial"/>
                <w:sz w:val="18"/>
                <w:szCs w:val="18"/>
                <w:color w:val="auto"/>
              </w:rPr>
              <w:t>— %</w:t>
            </w:r>
          </w:p>
        </w:tc>
        <w:tc>
          <w:tcPr>
            <w:tcW w:w="1120" w:type="dxa"/>
            <w:vAlign w:val="bottom"/>
          </w:tcPr>
          <w:p>
            <w:pPr>
              <w:jc w:val="right"/>
              <w:spacing w:after="0"/>
              <w:rPr>
                <w:sz w:val="20"/>
                <w:szCs w:val="20"/>
                <w:color w:val="auto"/>
              </w:rPr>
            </w:pPr>
            <w:r>
              <w:rPr>
                <w:rFonts w:ascii="Arial" w:cs="Arial" w:eastAsia="Arial" w:hAnsi="Arial"/>
                <w:sz w:val="18"/>
                <w:szCs w:val="18"/>
                <w:color w:val="auto"/>
              </w:rPr>
              <w:t>80.1 %</w:t>
            </w:r>
          </w:p>
        </w:tc>
        <w:tc>
          <w:tcPr>
            <w:tcW w:w="0" w:type="dxa"/>
            <w:vAlign w:val="bottom"/>
          </w:tcPr>
          <w:p>
            <w:pPr>
              <w:spacing w:after="0"/>
              <w:rPr>
                <w:sz w:val="1"/>
                <w:szCs w:val="1"/>
                <w:color w:val="auto"/>
              </w:rPr>
            </w:pPr>
          </w:p>
        </w:tc>
      </w:tr>
      <w:tr>
        <w:trPr>
          <w:trHeight w:val="226"/>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7"/>
              </w:rPr>
              <w:t>(4.2)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129.4</w:t>
            </w:r>
          </w:p>
        </w:tc>
        <w:tc>
          <w:tcPr>
            <w:tcW w:w="0" w:type="dxa"/>
            <w:vAlign w:val="bottom"/>
          </w:tcPr>
          <w:p>
            <w:pPr>
              <w:spacing w:after="0"/>
              <w:rPr>
                <w:sz w:val="1"/>
                <w:szCs w:val="1"/>
                <w:color w:val="auto"/>
              </w:rPr>
            </w:pPr>
          </w:p>
        </w:tc>
      </w:tr>
      <w:tr>
        <w:trPr>
          <w:trHeight w:val="174"/>
        </w:trPr>
        <w:tc>
          <w:tcPr>
            <w:tcW w:w="2360" w:type="dxa"/>
            <w:vAlign w:val="bottom"/>
          </w:tcPr>
          <w:p>
            <w:pPr>
              <w:ind w:left="20"/>
              <w:spacing w:after="0" w:line="174" w:lineRule="exact"/>
              <w:rPr>
                <w:sz w:val="20"/>
                <w:szCs w:val="20"/>
                <w:color w:val="auto"/>
              </w:rPr>
            </w:pPr>
            <w:r>
              <w:rPr>
                <w:rFonts w:ascii="Arial" w:cs="Arial" w:eastAsia="Arial" w:hAnsi="Arial"/>
                <w:sz w:val="18"/>
                <w:szCs w:val="18"/>
                <w:i w:val="1"/>
                <w:iCs w:val="1"/>
                <w:color w:val="auto"/>
              </w:rPr>
              <w:t>Research and development</w:t>
            </w: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35.0</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(8.5 %)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4"/>
            <w:vMerge w:val="restart"/>
          </w:tcPr>
          <w:p>
            <w:pPr>
              <w:jc w:val="right"/>
              <w:ind w:right="260"/>
              <w:spacing w:after="0"/>
              <w:rPr>
                <w:sz w:val="20"/>
                <w:szCs w:val="20"/>
                <w:color w:val="auto"/>
              </w:rPr>
            </w:pPr>
            <w:r>
              <w:rPr>
                <w:rFonts w:ascii="Arial" w:cs="Arial" w:eastAsia="Arial" w:hAnsi="Arial"/>
                <w:sz w:val="18"/>
                <w:szCs w:val="18"/>
                <w:color w:val="auto"/>
              </w:rPr>
              <w:t>— %</w:t>
            </w:r>
          </w:p>
        </w:tc>
        <w:tc>
          <w:tcPr>
            <w:tcW w:w="1520" w:type="dxa"/>
            <w:vAlign w:val="bottom"/>
            <w:gridSpan w:val="4"/>
            <w:vMerge w:val="restart"/>
          </w:tcPr>
          <w:p>
            <w:pPr>
              <w:ind w:left="840"/>
              <w:spacing w:after="0"/>
              <w:rPr>
                <w:sz w:val="20"/>
                <w:szCs w:val="20"/>
                <w:color w:val="auto"/>
              </w:rPr>
            </w:pPr>
            <w:r>
              <w:rPr>
                <w:rFonts w:ascii="Arial" w:cs="Arial" w:eastAsia="Arial" w:hAnsi="Arial"/>
                <w:sz w:val="18"/>
                <w:szCs w:val="18"/>
                <w:color w:val="auto"/>
              </w:rPr>
              <w:t>— %</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25.7 %</w:t>
            </w:r>
          </w:p>
        </w:tc>
        <w:tc>
          <w:tcPr>
            <w:tcW w:w="0" w:type="dxa"/>
            <w:vAlign w:val="bottom"/>
          </w:tcPr>
          <w:p>
            <w:pPr>
              <w:spacing w:after="0"/>
              <w:rPr>
                <w:sz w:val="1"/>
                <w:szCs w:val="1"/>
                <w:color w:val="auto"/>
              </w:rPr>
            </w:pPr>
          </w:p>
        </w:tc>
      </w:tr>
      <w:tr>
        <w:trPr>
          <w:trHeight w:val="224"/>
        </w:trPr>
        <w:tc>
          <w:tcPr>
            <w:tcW w:w="2360" w:type="dxa"/>
            <w:vAlign w:val="bottom"/>
          </w:tcPr>
          <w:p>
            <w:pPr>
              <w:ind w:left="20"/>
              <w:spacing w:after="0"/>
              <w:rPr>
                <w:sz w:val="20"/>
                <w:szCs w:val="20"/>
                <w:color w:val="auto"/>
              </w:rPr>
            </w:pPr>
            <w:r>
              <w:rPr>
                <w:rFonts w:ascii="Arial" w:cs="Arial" w:eastAsia="Arial" w:hAnsi="Arial"/>
                <w:sz w:val="18"/>
                <w:szCs w:val="18"/>
                <w:i w:val="1"/>
                <w:iCs w:val="1"/>
                <w:color w:val="auto"/>
              </w:rPr>
              <w:t>margin</w:t>
            </w:r>
          </w:p>
        </w:tc>
        <w:tc>
          <w:tcPr>
            <w:tcW w:w="2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4"/>
            <w:vMerge w:val="continue"/>
          </w:tcPr>
          <w:p>
            <w:pPr>
              <w:spacing w:after="0"/>
              <w:rPr>
                <w:sz w:val="19"/>
                <w:szCs w:val="19"/>
                <w:color w:val="auto"/>
              </w:rPr>
            </w:pPr>
          </w:p>
        </w:tc>
        <w:tc>
          <w:tcPr>
            <w:tcW w:w="1520" w:type="dxa"/>
            <w:vAlign w:val="bottom"/>
            <w:gridSpan w:val="4"/>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25"/>
        </w:trPr>
        <w:tc>
          <w:tcPr>
            <w:tcW w:w="2360" w:type="dxa"/>
            <w:vAlign w:val="bottom"/>
          </w:tcPr>
          <w:p>
            <w:pPr>
              <w:ind w:left="20"/>
              <w:spacing w:after="0"/>
              <w:rPr>
                <w:sz w:val="20"/>
                <w:szCs w:val="20"/>
                <w:color w:val="auto"/>
              </w:rPr>
            </w:pPr>
            <w:r>
              <w:rPr>
                <w:rFonts w:ascii="Arial" w:cs="Arial" w:eastAsia="Arial" w:hAnsi="Arial"/>
                <w:sz w:val="18"/>
                <w:szCs w:val="18"/>
                <w:i w:val="1"/>
                <w:iCs w:val="1"/>
                <w:color w:val="auto"/>
              </w:rPr>
              <w:t>Sales and marketing margin</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4"/>
          </w:tcPr>
          <w:p>
            <w:pPr>
              <w:ind w:left="820"/>
              <w:spacing w:after="0"/>
              <w:rPr>
                <w:sz w:val="20"/>
                <w:szCs w:val="20"/>
                <w:color w:val="auto"/>
              </w:rPr>
            </w:pPr>
            <w:r>
              <w:rPr>
                <w:rFonts w:ascii="Arial" w:cs="Arial" w:eastAsia="Arial" w:hAnsi="Arial"/>
                <w:sz w:val="18"/>
                <w:szCs w:val="18"/>
                <w:color w:val="auto"/>
              </w:rPr>
              <w:t>— %</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4"/>
          </w:tcPr>
          <w:p>
            <w:pPr>
              <w:ind w:left="840"/>
              <w:spacing w:after="0"/>
              <w:rPr>
                <w:sz w:val="20"/>
                <w:szCs w:val="20"/>
                <w:color w:val="auto"/>
              </w:rPr>
            </w:pPr>
            <w:r>
              <w:rPr>
                <w:rFonts w:ascii="Arial" w:cs="Arial" w:eastAsia="Arial" w:hAnsi="Arial"/>
                <w:sz w:val="18"/>
                <w:szCs w:val="18"/>
                <w:color w:val="auto"/>
              </w:rPr>
              <w:t>— %</w:t>
            </w:r>
          </w:p>
        </w:tc>
        <w:tc>
          <w:tcPr>
            <w:tcW w:w="1120" w:type="dxa"/>
            <w:vAlign w:val="bottom"/>
          </w:tcPr>
          <w:p>
            <w:pPr>
              <w:jc w:val="right"/>
              <w:spacing w:after="0"/>
              <w:rPr>
                <w:sz w:val="20"/>
                <w:szCs w:val="20"/>
                <w:color w:val="auto"/>
              </w:rPr>
            </w:pPr>
            <w:r>
              <w:rPr>
                <w:rFonts w:ascii="Arial" w:cs="Arial" w:eastAsia="Arial" w:hAnsi="Arial"/>
                <w:sz w:val="18"/>
                <w:szCs w:val="18"/>
                <w:color w:val="auto"/>
              </w:rPr>
              <w:t>19.8 %</w:t>
            </w:r>
          </w:p>
        </w:tc>
        <w:tc>
          <w:tcPr>
            <w:tcW w:w="0" w:type="dxa"/>
            <w:vAlign w:val="bottom"/>
          </w:tcPr>
          <w:p>
            <w:pPr>
              <w:spacing w:after="0"/>
              <w:rPr>
                <w:sz w:val="1"/>
                <w:szCs w:val="1"/>
                <w:color w:val="auto"/>
              </w:rPr>
            </w:pPr>
          </w:p>
        </w:tc>
      </w:tr>
      <w:tr>
        <w:trPr>
          <w:trHeight w:val="226"/>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174"/>
        </w:trPr>
        <w:tc>
          <w:tcPr>
            <w:tcW w:w="2360" w:type="dxa"/>
            <w:vAlign w:val="bottom"/>
          </w:tcPr>
          <w:p>
            <w:pPr>
              <w:ind w:left="20"/>
              <w:spacing w:after="0" w:line="174" w:lineRule="exact"/>
              <w:rPr>
                <w:sz w:val="20"/>
                <w:szCs w:val="20"/>
                <w:color w:val="auto"/>
              </w:rPr>
            </w:pPr>
            <w:r>
              <w:rPr>
                <w:rFonts w:ascii="Arial" w:cs="Arial" w:eastAsia="Arial" w:hAnsi="Arial"/>
                <w:sz w:val="18"/>
                <w:szCs w:val="18"/>
                <w:i w:val="1"/>
                <w:iCs w:val="1"/>
                <w:color w:val="auto"/>
              </w:rPr>
              <w:t>General and administrative</w:t>
            </w: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11.9</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4"/>
            <w:vMerge w:val="restart"/>
          </w:tcPr>
          <w:p>
            <w:pPr>
              <w:ind w:left="820"/>
              <w:spacing w:after="0"/>
              <w:rPr>
                <w:sz w:val="20"/>
                <w:szCs w:val="20"/>
                <w:color w:val="auto"/>
              </w:rPr>
            </w:pPr>
            <w:r>
              <w:rPr>
                <w:rFonts w:ascii="Arial" w:cs="Arial" w:eastAsia="Arial" w:hAnsi="Arial"/>
                <w:sz w:val="18"/>
                <w:szCs w:val="18"/>
                <w:color w:val="auto"/>
              </w:rPr>
              <w:t>— %</w:t>
            </w:r>
          </w:p>
        </w:tc>
        <w:tc>
          <w:tcPr>
            <w:tcW w:w="1520" w:type="dxa"/>
            <w:vAlign w:val="bottom"/>
            <w:gridSpan w:val="4"/>
            <w:vMerge w:val="restart"/>
          </w:tcPr>
          <w:p>
            <w:pPr>
              <w:jc w:val="right"/>
              <w:ind w:right="260"/>
              <w:spacing w:after="0"/>
              <w:rPr>
                <w:sz w:val="20"/>
                <w:szCs w:val="20"/>
                <w:color w:val="auto"/>
              </w:rPr>
            </w:pPr>
            <w:r>
              <w:rPr>
                <w:rFonts w:ascii="Arial" w:cs="Arial" w:eastAsia="Arial" w:hAnsi="Arial"/>
                <w:sz w:val="18"/>
                <w:szCs w:val="18"/>
                <w:color w:val="auto"/>
              </w:rPr>
              <w:t>— %</w:t>
            </w:r>
          </w:p>
        </w:tc>
        <w:tc>
          <w:tcPr>
            <w:tcW w:w="1520" w:type="dxa"/>
            <w:vAlign w:val="bottom"/>
            <w:gridSpan w:val="4"/>
            <w:vMerge w:val="restart"/>
          </w:tcPr>
          <w:p>
            <w:pPr>
              <w:ind w:left="840"/>
              <w:spacing w:after="0"/>
              <w:rPr>
                <w:sz w:val="20"/>
                <w:szCs w:val="20"/>
                <w:color w:val="auto"/>
              </w:rPr>
            </w:pPr>
            <w:r>
              <w:rPr>
                <w:rFonts w:ascii="Arial" w:cs="Arial" w:eastAsia="Arial" w:hAnsi="Arial"/>
                <w:sz w:val="18"/>
                <w:szCs w:val="18"/>
                <w:color w:val="auto"/>
              </w:rPr>
              <w:t>— %</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9.3 %</w:t>
            </w:r>
          </w:p>
        </w:tc>
        <w:tc>
          <w:tcPr>
            <w:tcW w:w="0" w:type="dxa"/>
            <w:vAlign w:val="bottom"/>
          </w:tcPr>
          <w:p>
            <w:pPr>
              <w:spacing w:after="0"/>
              <w:rPr>
                <w:sz w:val="1"/>
                <w:szCs w:val="1"/>
                <w:color w:val="auto"/>
              </w:rPr>
            </w:pPr>
          </w:p>
        </w:tc>
      </w:tr>
      <w:tr>
        <w:trPr>
          <w:trHeight w:val="224"/>
        </w:trPr>
        <w:tc>
          <w:tcPr>
            <w:tcW w:w="2360" w:type="dxa"/>
            <w:vAlign w:val="bottom"/>
          </w:tcPr>
          <w:p>
            <w:pPr>
              <w:ind w:left="20"/>
              <w:spacing w:after="0"/>
              <w:rPr>
                <w:sz w:val="20"/>
                <w:szCs w:val="20"/>
                <w:color w:val="auto"/>
              </w:rPr>
            </w:pPr>
            <w:r>
              <w:rPr>
                <w:rFonts w:ascii="Arial" w:cs="Arial" w:eastAsia="Arial" w:hAnsi="Arial"/>
                <w:sz w:val="18"/>
                <w:szCs w:val="18"/>
                <w:i w:val="1"/>
                <w:iCs w:val="1"/>
                <w:color w:val="auto"/>
              </w:rPr>
              <w:t>margin</w:t>
            </w:r>
          </w:p>
        </w:tc>
        <w:tc>
          <w:tcPr>
            <w:tcW w:w="2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4"/>
            <w:vMerge w:val="continue"/>
          </w:tcPr>
          <w:p>
            <w:pPr>
              <w:spacing w:after="0"/>
              <w:rPr>
                <w:sz w:val="19"/>
                <w:szCs w:val="19"/>
                <w:color w:val="auto"/>
              </w:rPr>
            </w:pPr>
          </w:p>
        </w:tc>
        <w:tc>
          <w:tcPr>
            <w:tcW w:w="1520" w:type="dxa"/>
            <w:vAlign w:val="bottom"/>
            <w:gridSpan w:val="4"/>
            <w:vMerge w:val="continue"/>
          </w:tcPr>
          <w:p>
            <w:pPr>
              <w:spacing w:after="0"/>
              <w:rPr>
                <w:sz w:val="19"/>
                <w:szCs w:val="19"/>
                <w:color w:val="auto"/>
              </w:rPr>
            </w:pPr>
          </w:p>
        </w:tc>
        <w:tc>
          <w:tcPr>
            <w:tcW w:w="1520" w:type="dxa"/>
            <w:vAlign w:val="bottom"/>
            <w:gridSpan w:val="4"/>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36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89"/>
              </w:rPr>
              <w:t>Impairment related to real estate</w:t>
            </w:r>
          </w:p>
        </w:tc>
        <w:tc>
          <w:tcPr>
            <w:tcW w:w="2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398.2</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ind w:left="540"/>
              <w:spacing w:after="0"/>
              <w:rPr>
                <w:sz w:val="20"/>
                <w:szCs w:val="20"/>
                <w:color w:val="auto"/>
              </w:rPr>
            </w:pPr>
            <w:r>
              <w:rPr>
                <w:rFonts w:ascii="Arial" w:cs="Arial" w:eastAsia="Arial" w:hAnsi="Arial"/>
                <w:sz w:val="18"/>
                <w:szCs w:val="18"/>
                <w:color w:val="auto"/>
                <w:w w:val="94"/>
              </w:rPr>
              <w:t>(398.2)</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360" w:type="dxa"/>
            <w:vAlign w:val="bottom"/>
          </w:tcPr>
          <w:p>
            <w:pPr>
              <w:ind w:left="20"/>
              <w:spacing w:after="0" w:line="174" w:lineRule="exact"/>
              <w:rPr>
                <w:sz w:val="20"/>
                <w:szCs w:val="20"/>
                <w:color w:val="auto"/>
              </w:rPr>
            </w:pPr>
            <w:r>
              <w:rPr>
                <w:rFonts w:ascii="Arial" w:cs="Arial" w:eastAsia="Arial" w:hAnsi="Arial"/>
                <w:sz w:val="18"/>
                <w:szCs w:val="18"/>
                <w:i w:val="1"/>
                <w:iCs w:val="1"/>
                <w:color w:val="auto"/>
              </w:rPr>
              <w:t>Impairment related to real</w:t>
            </w: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79.0</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vMerge w:val="restart"/>
          </w:tcPr>
          <w:p>
            <w:pPr>
              <w:ind w:left="86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15"/>
                <w:szCs w:val="15"/>
                <w:color w:val="auto"/>
              </w:rPr>
            </w:pPr>
          </w:p>
        </w:tc>
        <w:tc>
          <w:tcPr>
            <w:tcW w:w="1540" w:type="dxa"/>
            <w:vAlign w:val="bottom"/>
            <w:gridSpan w:val="4"/>
            <w:vMerge w:val="restart"/>
          </w:tcPr>
          <w:p>
            <w:pPr>
              <w:ind w:left="820"/>
              <w:spacing w:after="0"/>
              <w:rPr>
                <w:sz w:val="20"/>
                <w:szCs w:val="20"/>
                <w:color w:val="auto"/>
              </w:rPr>
            </w:pPr>
            <w:r>
              <w:rPr>
                <w:rFonts w:ascii="Arial" w:cs="Arial" w:eastAsia="Arial" w:hAnsi="Arial"/>
                <w:sz w:val="18"/>
                <w:szCs w:val="18"/>
                <w:color w:val="auto"/>
              </w:rPr>
              <w:t>— %</w:t>
            </w:r>
          </w:p>
        </w:tc>
        <w:tc>
          <w:tcPr>
            <w:tcW w:w="1520" w:type="dxa"/>
            <w:vAlign w:val="bottom"/>
            <w:gridSpan w:val="4"/>
            <w:vMerge w:val="restart"/>
          </w:tcPr>
          <w:p>
            <w:pPr>
              <w:jc w:val="right"/>
              <w:ind w:right="260"/>
              <w:spacing w:after="0"/>
              <w:rPr>
                <w:sz w:val="20"/>
                <w:szCs w:val="20"/>
                <w:color w:val="auto"/>
              </w:rPr>
            </w:pPr>
            <w:r>
              <w:rPr>
                <w:rFonts w:ascii="Arial" w:cs="Arial" w:eastAsia="Arial" w:hAnsi="Arial"/>
                <w:sz w:val="18"/>
                <w:szCs w:val="18"/>
                <w:color w:val="auto"/>
              </w:rPr>
              <w:t>— %</w:t>
            </w:r>
          </w:p>
        </w:tc>
        <w:tc>
          <w:tcPr>
            <w:tcW w:w="1280" w:type="dxa"/>
            <w:vAlign w:val="bottom"/>
            <w:gridSpan w:val="2"/>
            <w:vMerge w:val="restart"/>
          </w:tcPr>
          <w:p>
            <w:pPr>
              <w:jc w:val="right"/>
              <w:spacing w:after="0"/>
              <w:rPr>
                <w:sz w:val="20"/>
                <w:szCs w:val="20"/>
                <w:color w:val="auto"/>
              </w:rPr>
            </w:pPr>
            <w:r>
              <w:rPr>
                <w:rFonts w:ascii="Arial" w:cs="Arial" w:eastAsia="Arial" w:hAnsi="Arial"/>
                <w:sz w:val="18"/>
                <w:szCs w:val="18"/>
                <w:color w:val="auto"/>
              </w:rPr>
              <w:t>(79.0 %)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4"/>
        </w:trPr>
        <w:tc>
          <w:tcPr>
            <w:tcW w:w="2360" w:type="dxa"/>
            <w:vAlign w:val="bottom"/>
          </w:tcPr>
          <w:p>
            <w:pPr>
              <w:ind w:left="20"/>
              <w:spacing w:after="0"/>
              <w:rPr>
                <w:sz w:val="20"/>
                <w:szCs w:val="20"/>
                <w:color w:val="auto"/>
              </w:rPr>
            </w:pPr>
            <w:r>
              <w:rPr>
                <w:rFonts w:ascii="Arial" w:cs="Arial" w:eastAsia="Arial" w:hAnsi="Arial"/>
                <w:sz w:val="18"/>
                <w:szCs w:val="18"/>
                <w:i w:val="1"/>
                <w:iCs w:val="1"/>
                <w:color w:val="auto"/>
              </w:rPr>
              <w:t>estate assets margin</w:t>
            </w:r>
          </w:p>
        </w:tc>
        <w:tc>
          <w:tcPr>
            <w:tcW w:w="2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4"/>
            <w:vMerge w:val="continue"/>
          </w:tcPr>
          <w:p>
            <w:pPr>
              <w:spacing w:after="0"/>
              <w:rPr>
                <w:sz w:val="19"/>
                <w:szCs w:val="19"/>
                <w:color w:val="auto"/>
              </w:rPr>
            </w:pPr>
          </w:p>
        </w:tc>
        <w:tc>
          <w:tcPr>
            <w:tcW w:w="1520" w:type="dxa"/>
            <w:vAlign w:val="bottom"/>
            <w:gridSpan w:val="4"/>
            <w:vMerge w:val="continue"/>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Income (loss) from operations</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w:t>
            </w: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25"/>
        </w:trPr>
        <w:tc>
          <w:tcPr>
            <w:tcW w:w="2360" w:type="dxa"/>
            <w:vAlign w:val="bottom"/>
          </w:tcPr>
          <w:p>
            <w:pPr>
              <w:ind w:left="20"/>
              <w:spacing w:after="0"/>
              <w:rPr>
                <w:sz w:val="20"/>
                <w:szCs w:val="20"/>
                <w:color w:val="auto"/>
              </w:rPr>
            </w:pPr>
            <w:r>
              <w:rPr>
                <w:rFonts w:ascii="Arial" w:cs="Arial" w:eastAsia="Arial" w:hAnsi="Arial"/>
                <w:sz w:val="18"/>
                <w:szCs w:val="18"/>
                <w:i w:val="1"/>
                <w:iCs w:val="1"/>
                <w:color w:val="auto"/>
              </w:rPr>
              <w:t>Operating margin</w:t>
            </w:r>
          </w:p>
        </w:tc>
        <w:tc>
          <w:tcPr>
            <w:tcW w:w="2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(68.8 %)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13.8 %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0.8</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25.3 %</w:t>
            </w: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160" w:hanging="154"/>
        <w:spacing w:after="0"/>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3"/>
          <w:szCs w:val="13"/>
          <w:color w:val="auto"/>
        </w:rPr>
        <w:t>Includes impairment charges related to certain right-of-use and other lease related assets as a result of our decision to shift to a Virtual First work model.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Dropbox,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Three months ended December 31,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Reconciliation of GAAP to Non-GAAP results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for percentages, which may not foot due to rounding)</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9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restart"/>
          </w:tcPr>
          <w:p>
            <w:pPr>
              <w:jc w:val="right"/>
              <w:ind w:right="231"/>
              <w:spacing w:after="0"/>
              <w:rPr>
                <w:sz w:val="20"/>
                <w:szCs w:val="20"/>
                <w:color w:val="auto"/>
              </w:rPr>
            </w:pPr>
            <w:r>
              <w:rPr>
                <w:rFonts w:ascii="Arial" w:cs="Arial" w:eastAsia="Arial" w:hAnsi="Arial"/>
                <w:sz w:val="18"/>
                <w:szCs w:val="18"/>
                <w:b w:val="1"/>
                <w:bCs w:val="1"/>
                <w:color w:val="auto"/>
              </w:rPr>
              <w:t>GAAP</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ind w:left="160"/>
              <w:spacing w:after="0"/>
              <w:rPr>
                <w:sz w:val="20"/>
                <w:szCs w:val="20"/>
                <w:color w:val="auto"/>
              </w:rPr>
            </w:pPr>
            <w:r>
              <w:rPr>
                <w:rFonts w:ascii="Arial" w:cs="Arial" w:eastAsia="Arial" w:hAnsi="Arial"/>
                <w:sz w:val="18"/>
                <w:szCs w:val="18"/>
                <w:b w:val="1"/>
                <w:bCs w:val="1"/>
                <w:color w:val="auto"/>
              </w:rPr>
              <w:t>Stock-based</w:t>
            </w:r>
          </w:p>
        </w:tc>
        <w:tc>
          <w:tcPr>
            <w:tcW w:w="1940" w:type="dxa"/>
            <w:vAlign w:val="bottom"/>
            <w:gridSpan w:val="3"/>
          </w:tcPr>
          <w:p>
            <w:pPr>
              <w:jc w:val="right"/>
              <w:ind w:right="311"/>
              <w:spacing w:after="0"/>
              <w:rPr>
                <w:sz w:val="20"/>
                <w:szCs w:val="20"/>
                <w:color w:val="auto"/>
              </w:rPr>
            </w:pPr>
            <w:r>
              <w:rPr>
                <w:rFonts w:ascii="Arial" w:cs="Arial" w:eastAsia="Arial" w:hAnsi="Arial"/>
                <w:sz w:val="18"/>
                <w:szCs w:val="18"/>
                <w:b w:val="1"/>
                <w:bCs w:val="1"/>
                <w:color w:val="auto"/>
                <w:w w:val="93"/>
              </w:rPr>
              <w:t>Acquisition-related</w:t>
            </w:r>
          </w:p>
        </w:tc>
        <w:tc>
          <w:tcPr>
            <w:tcW w:w="1220" w:type="dxa"/>
            <w:vAlign w:val="bottom"/>
          </w:tcPr>
          <w:p>
            <w:pPr>
              <w:jc w:val="right"/>
              <w:ind w:right="111"/>
              <w:spacing w:after="0"/>
              <w:rPr>
                <w:sz w:val="20"/>
                <w:szCs w:val="20"/>
                <w:color w:val="auto"/>
              </w:rPr>
            </w:pPr>
            <w:r>
              <w:rPr>
                <w:rFonts w:ascii="Arial" w:cs="Arial" w:eastAsia="Arial" w:hAnsi="Arial"/>
                <w:sz w:val="18"/>
                <w:szCs w:val="18"/>
                <w:b w:val="1"/>
                <w:bCs w:val="1"/>
                <w:color w:val="auto"/>
              </w:rPr>
              <w:t>Intangibles</w:t>
            </w:r>
          </w:p>
        </w:tc>
        <w:tc>
          <w:tcPr>
            <w:tcW w:w="520" w:type="dxa"/>
            <w:vAlign w:val="bottom"/>
          </w:tcPr>
          <w:p>
            <w:pPr>
              <w:spacing w:after="0"/>
              <w:rPr>
                <w:sz w:val="18"/>
                <w:szCs w:val="18"/>
                <w:color w:val="auto"/>
              </w:rPr>
            </w:pPr>
          </w:p>
        </w:tc>
        <w:tc>
          <w:tcPr>
            <w:tcW w:w="1280" w:type="dxa"/>
            <w:vAlign w:val="bottom"/>
            <w:vMerge w:val="restart"/>
          </w:tcPr>
          <w:p>
            <w:pPr>
              <w:jc w:val="right"/>
              <w:ind w:right="231"/>
              <w:spacing w:after="0"/>
              <w:rPr>
                <w:sz w:val="20"/>
                <w:szCs w:val="20"/>
                <w:color w:val="auto"/>
              </w:rPr>
            </w:pPr>
            <w:r>
              <w:rPr>
                <w:rFonts w:ascii="Arial" w:cs="Arial" w:eastAsia="Arial" w:hAnsi="Arial"/>
                <w:sz w:val="18"/>
                <w:szCs w:val="18"/>
                <w:b w:val="1"/>
                <w:bCs w:val="1"/>
                <w:color w:val="auto"/>
              </w:rPr>
              <w:t>Non-GAAP</w:t>
            </w:r>
          </w:p>
        </w:tc>
        <w:tc>
          <w:tcPr>
            <w:tcW w:w="0" w:type="dxa"/>
            <w:vAlign w:val="bottom"/>
          </w:tcPr>
          <w:p>
            <w:pPr>
              <w:spacing w:after="0"/>
              <w:rPr>
                <w:sz w:val="1"/>
                <w:szCs w:val="1"/>
                <w:color w:val="auto"/>
              </w:rPr>
            </w:pPr>
          </w:p>
        </w:tc>
      </w:tr>
      <w:tr>
        <w:trPr>
          <w:trHeight w:val="226"/>
        </w:trPr>
        <w:tc>
          <w:tcPr>
            <w:tcW w:w="28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w w:val="91"/>
              </w:rPr>
              <w:t>compensation</w:t>
            </w:r>
          </w:p>
        </w:tc>
        <w:tc>
          <w:tcPr>
            <w:tcW w:w="10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gridSpan w:val="3"/>
          </w:tcPr>
          <w:p>
            <w:pPr>
              <w:jc w:val="right"/>
              <w:ind w:right="331"/>
              <w:spacing w:after="0"/>
              <w:rPr>
                <w:sz w:val="20"/>
                <w:szCs w:val="20"/>
                <w:color w:val="auto"/>
              </w:rPr>
            </w:pPr>
            <w:r>
              <w:rPr>
                <w:rFonts w:ascii="Arial" w:cs="Arial" w:eastAsia="Arial" w:hAnsi="Arial"/>
                <w:sz w:val="18"/>
                <w:szCs w:val="18"/>
                <w:b w:val="1"/>
                <w:bCs w:val="1"/>
                <w:color w:val="auto"/>
                <w:w w:val="88"/>
              </w:rPr>
              <w:t>and other expenses</w:t>
            </w: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amortization</w:t>
            </w:r>
          </w:p>
        </w:tc>
        <w:tc>
          <w:tcPr>
            <w:tcW w:w="5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5"/>
        </w:trPr>
        <w:tc>
          <w:tcPr>
            <w:tcW w:w="2800" w:type="dxa"/>
            <w:vAlign w:val="bottom"/>
          </w:tcPr>
          <w:p>
            <w:pPr>
              <w:ind w:left="20"/>
              <w:spacing w:after="0"/>
              <w:rPr>
                <w:sz w:val="20"/>
                <w:szCs w:val="20"/>
                <w:color w:val="auto"/>
              </w:rPr>
            </w:pPr>
            <w:r>
              <w:rPr>
                <w:rFonts w:ascii="Arial" w:cs="Arial" w:eastAsia="Arial" w:hAnsi="Arial"/>
                <w:sz w:val="18"/>
                <w:szCs w:val="18"/>
                <w:i w:val="1"/>
                <w:iCs w:val="1"/>
                <w:color w:val="auto"/>
              </w:rPr>
              <w:t>Cost of revenue margin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251"/>
              <w:spacing w:after="0"/>
              <w:rPr>
                <w:sz w:val="20"/>
                <w:szCs w:val="20"/>
                <w:color w:val="auto"/>
              </w:rPr>
            </w:pPr>
            <w:r>
              <w:rPr>
                <w:rFonts w:ascii="Arial" w:cs="Arial" w:eastAsia="Arial" w:hAnsi="Arial"/>
                <w:sz w:val="18"/>
                <w:szCs w:val="18"/>
                <w:color w:val="auto"/>
                <w:w w:val="99"/>
              </w:rPr>
              <w:t>%</w:t>
            </w:r>
          </w:p>
        </w:tc>
        <w:tc>
          <w:tcPr>
            <w:tcW w:w="1740" w:type="dxa"/>
            <w:vAlign w:val="bottom"/>
            <w:gridSpan w:val="2"/>
          </w:tcPr>
          <w:p>
            <w:pPr>
              <w:jc w:val="right"/>
              <w:ind w:right="251"/>
              <w:spacing w:after="0"/>
              <w:rPr>
                <w:sz w:val="20"/>
                <w:szCs w:val="20"/>
                <w:color w:val="auto"/>
              </w:rPr>
            </w:pPr>
            <w:r>
              <w:rPr>
                <w:rFonts w:ascii="Arial" w:cs="Arial" w:eastAsia="Arial" w:hAnsi="Arial"/>
                <w:sz w:val="18"/>
                <w:szCs w:val="18"/>
                <w:color w:val="auto"/>
              </w:rPr>
              <w:t>(0.2 %)</w:t>
            </w:r>
          </w:p>
        </w:tc>
        <w:tc>
          <w:tcPr>
            <w:tcW w:w="1280" w:type="dxa"/>
            <w:vAlign w:val="bottom"/>
          </w:tcPr>
          <w:p>
            <w:pPr>
              <w:jc w:val="right"/>
              <w:spacing w:after="0"/>
              <w:rPr>
                <w:sz w:val="20"/>
                <w:szCs w:val="20"/>
                <w:color w:val="auto"/>
              </w:rPr>
            </w:pPr>
            <w:r>
              <w:rPr>
                <w:rFonts w:ascii="Arial" w:cs="Arial" w:eastAsia="Arial" w:hAnsi="Arial"/>
                <w:sz w:val="18"/>
                <w:szCs w:val="18"/>
                <w:color w:val="auto"/>
              </w:rPr>
              <w:t>22.4 %</w:t>
            </w:r>
          </w:p>
        </w:tc>
        <w:tc>
          <w:tcPr>
            <w:tcW w:w="0" w:type="dxa"/>
            <w:vAlign w:val="bottom"/>
          </w:tcPr>
          <w:p>
            <w:pPr>
              <w:spacing w:after="0"/>
              <w:rPr>
                <w:sz w:val="1"/>
                <w:szCs w:val="1"/>
                <w:color w:val="auto"/>
              </w:rPr>
            </w:pPr>
          </w:p>
        </w:tc>
      </w:tr>
      <w:tr>
        <w:trPr>
          <w:trHeight w:val="226"/>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5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346.0</w:t>
            </w:r>
          </w:p>
        </w:tc>
        <w:tc>
          <w:tcPr>
            <w:tcW w:w="0" w:type="dxa"/>
            <w:vAlign w:val="bottom"/>
          </w:tcPr>
          <w:p>
            <w:pPr>
              <w:spacing w:after="0"/>
              <w:rPr>
                <w:sz w:val="1"/>
                <w:szCs w:val="1"/>
                <w:color w:val="auto"/>
              </w:rPr>
            </w:pPr>
          </w:p>
        </w:tc>
      </w:tr>
      <w:tr>
        <w:trPr>
          <w:trHeight w:val="225"/>
        </w:trPr>
        <w:tc>
          <w:tcPr>
            <w:tcW w:w="2800" w:type="dxa"/>
            <w:vAlign w:val="bottom"/>
          </w:tcPr>
          <w:p>
            <w:pPr>
              <w:ind w:left="20"/>
              <w:spacing w:after="0"/>
              <w:rPr>
                <w:sz w:val="20"/>
                <w:szCs w:val="20"/>
                <w:color w:val="auto"/>
              </w:rPr>
            </w:pPr>
            <w:r>
              <w:rPr>
                <w:rFonts w:ascii="Arial" w:cs="Arial" w:eastAsia="Arial" w:hAnsi="Arial"/>
                <w:sz w:val="18"/>
                <w:szCs w:val="18"/>
                <w:i w:val="1"/>
                <w:iCs w:val="1"/>
                <w:color w:val="auto"/>
              </w:rPr>
              <w:t>Gross margin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60" w:type="dxa"/>
            <w:vAlign w:val="bottom"/>
            <w:gridSpan w:val="2"/>
          </w:tcPr>
          <w:p>
            <w:pPr>
              <w:jc w:val="right"/>
              <w:ind w:right="251"/>
              <w:spacing w:after="0"/>
              <w:rPr>
                <w:sz w:val="20"/>
                <w:szCs w:val="20"/>
                <w:color w:val="auto"/>
              </w:rPr>
            </w:pPr>
            <w:r>
              <w:rPr>
                <w:rFonts w:ascii="Arial" w:cs="Arial" w:eastAsia="Arial" w:hAnsi="Arial"/>
                <w:sz w:val="18"/>
                <w:szCs w:val="18"/>
                <w:color w:val="auto"/>
              </w:rPr>
              <w:t>— %</w:t>
            </w: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c>
          <w:tcPr>
            <w:tcW w:w="520" w:type="dxa"/>
            <w:vAlign w:val="bottom"/>
          </w:tcPr>
          <w:p>
            <w:pPr>
              <w:jc w:val="right"/>
              <w:ind w:right="251"/>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77.6 %</w:t>
            </w:r>
          </w:p>
        </w:tc>
        <w:tc>
          <w:tcPr>
            <w:tcW w:w="0" w:type="dxa"/>
            <w:vAlign w:val="bottom"/>
          </w:tcPr>
          <w:p>
            <w:pPr>
              <w:spacing w:after="0"/>
              <w:rPr>
                <w:sz w:val="1"/>
                <w:szCs w:val="1"/>
                <w:color w:val="auto"/>
              </w:rPr>
            </w:pPr>
          </w:p>
        </w:tc>
      </w:tr>
      <w:tr>
        <w:trPr>
          <w:trHeight w:val="226"/>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5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25"/>
        </w:trPr>
        <w:tc>
          <w:tcPr>
            <w:tcW w:w="2800" w:type="dxa"/>
            <w:vAlign w:val="bottom"/>
          </w:tcPr>
          <w:p>
            <w:pPr>
              <w:ind w:left="20"/>
              <w:spacing w:after="0"/>
              <w:rPr>
                <w:sz w:val="20"/>
                <w:szCs w:val="20"/>
                <w:color w:val="auto"/>
              </w:rPr>
            </w:pPr>
            <w:r>
              <w:rPr>
                <w:rFonts w:ascii="Arial" w:cs="Arial" w:eastAsia="Arial" w:hAnsi="Arial"/>
                <w:sz w:val="18"/>
                <w:szCs w:val="18"/>
                <w:i w:val="1"/>
                <w:iCs w:val="1"/>
                <w:color w:val="auto"/>
                <w:w w:val="98"/>
              </w:rPr>
              <w:t>Research and development margin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(9.1 %)</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60" w:type="dxa"/>
            <w:vAlign w:val="bottom"/>
            <w:gridSpan w:val="2"/>
          </w:tcPr>
          <w:p>
            <w:pPr>
              <w:jc w:val="right"/>
              <w:ind w:right="251"/>
              <w:spacing w:after="0"/>
              <w:rPr>
                <w:sz w:val="20"/>
                <w:szCs w:val="20"/>
                <w:color w:val="auto"/>
              </w:rPr>
            </w:pPr>
            <w:r>
              <w:rPr>
                <w:rFonts w:ascii="Arial" w:cs="Arial" w:eastAsia="Arial" w:hAnsi="Arial"/>
                <w:sz w:val="18"/>
                <w:szCs w:val="18"/>
                <w:color w:val="auto"/>
              </w:rPr>
              <w:t>(0.9 %)</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251"/>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29.7 %</w:t>
            </w:r>
          </w:p>
        </w:tc>
        <w:tc>
          <w:tcPr>
            <w:tcW w:w="0" w:type="dxa"/>
            <w:vAlign w:val="bottom"/>
          </w:tcPr>
          <w:p>
            <w:pPr>
              <w:spacing w:after="0"/>
              <w:rPr>
                <w:sz w:val="1"/>
                <w:szCs w:val="1"/>
                <w:color w:val="auto"/>
              </w:rPr>
            </w:pPr>
          </w:p>
        </w:tc>
      </w:tr>
      <w:tr>
        <w:trPr>
          <w:trHeight w:val="226"/>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25"/>
        </w:trPr>
        <w:tc>
          <w:tcPr>
            <w:tcW w:w="2800" w:type="dxa"/>
            <w:vAlign w:val="bottom"/>
          </w:tcPr>
          <w:p>
            <w:pPr>
              <w:ind w:left="20"/>
              <w:spacing w:after="0"/>
              <w:rPr>
                <w:sz w:val="20"/>
                <w:szCs w:val="20"/>
                <w:color w:val="auto"/>
              </w:rPr>
            </w:pPr>
            <w:r>
              <w:rPr>
                <w:rFonts w:ascii="Arial" w:cs="Arial" w:eastAsia="Arial" w:hAnsi="Arial"/>
                <w:sz w:val="18"/>
                <w:szCs w:val="18"/>
                <w:i w:val="1"/>
                <w:iCs w:val="1"/>
                <w:color w:val="auto"/>
              </w:rPr>
              <w:t>Sales and marketing margin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251"/>
              <w:spacing w:after="0"/>
              <w:rPr>
                <w:sz w:val="20"/>
                <w:szCs w:val="20"/>
                <w:color w:val="auto"/>
              </w:rPr>
            </w:pPr>
            <w:r>
              <w:rPr>
                <w:rFonts w:ascii="Arial" w:cs="Arial" w:eastAsia="Arial" w:hAnsi="Arial"/>
                <w:sz w:val="18"/>
                <w:szCs w:val="18"/>
                <w:color w:val="auto"/>
                <w:w w:val="99"/>
              </w:rPr>
              <w:t>%</w:t>
            </w:r>
          </w:p>
        </w:tc>
        <w:tc>
          <w:tcPr>
            <w:tcW w:w="1740" w:type="dxa"/>
            <w:vAlign w:val="bottom"/>
            <w:gridSpan w:val="2"/>
          </w:tcPr>
          <w:p>
            <w:pPr>
              <w:jc w:val="right"/>
              <w:ind w:right="251"/>
              <w:spacing w:after="0"/>
              <w:rPr>
                <w:sz w:val="20"/>
                <w:szCs w:val="20"/>
                <w:color w:val="auto"/>
              </w:rPr>
            </w:pPr>
            <w:r>
              <w:rPr>
                <w:rFonts w:ascii="Arial" w:cs="Arial" w:eastAsia="Arial" w:hAnsi="Arial"/>
                <w:sz w:val="18"/>
                <w:szCs w:val="18"/>
                <w:color w:val="auto"/>
              </w:rPr>
              <w:t>(0.3 %)</w:t>
            </w:r>
          </w:p>
        </w:tc>
        <w:tc>
          <w:tcPr>
            <w:tcW w:w="1280" w:type="dxa"/>
            <w:vAlign w:val="bottom"/>
          </w:tcPr>
          <w:p>
            <w:pPr>
              <w:jc w:val="right"/>
              <w:spacing w:after="0"/>
              <w:rPr>
                <w:sz w:val="20"/>
                <w:szCs w:val="20"/>
                <w:color w:val="auto"/>
              </w:rPr>
            </w:pPr>
            <w:r>
              <w:rPr>
                <w:rFonts w:ascii="Arial" w:cs="Arial" w:eastAsia="Arial" w:hAnsi="Arial"/>
                <w:sz w:val="18"/>
                <w:szCs w:val="18"/>
                <w:color w:val="auto"/>
              </w:rPr>
              <w:t>21.8 %</w:t>
            </w:r>
          </w:p>
        </w:tc>
        <w:tc>
          <w:tcPr>
            <w:tcW w:w="0" w:type="dxa"/>
            <w:vAlign w:val="bottom"/>
          </w:tcPr>
          <w:p>
            <w:pPr>
              <w:spacing w:after="0"/>
              <w:rPr>
                <w:sz w:val="1"/>
                <w:szCs w:val="1"/>
                <w:color w:val="auto"/>
              </w:rPr>
            </w:pPr>
          </w:p>
        </w:tc>
      </w:tr>
      <w:tr>
        <w:trPr>
          <w:trHeight w:val="226"/>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5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25"/>
        </w:trPr>
        <w:tc>
          <w:tcPr>
            <w:tcW w:w="2800" w:type="dxa"/>
            <w:vAlign w:val="bottom"/>
          </w:tcPr>
          <w:p>
            <w:pPr>
              <w:ind w:left="20"/>
              <w:spacing w:after="0"/>
              <w:rPr>
                <w:sz w:val="20"/>
                <w:szCs w:val="20"/>
                <w:color w:val="auto"/>
              </w:rPr>
            </w:pPr>
            <w:r>
              <w:rPr>
                <w:rFonts w:ascii="Arial" w:cs="Arial" w:eastAsia="Arial" w:hAnsi="Arial"/>
                <w:sz w:val="18"/>
                <w:szCs w:val="18"/>
                <w:i w:val="1"/>
                <w:iCs w:val="1"/>
                <w:color w:val="auto"/>
              </w:rPr>
              <w:t>General and administrative margin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(3.8 %)</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60" w:type="dxa"/>
            <w:vAlign w:val="bottom"/>
            <w:gridSpan w:val="2"/>
          </w:tcPr>
          <w:p>
            <w:pPr>
              <w:jc w:val="right"/>
              <w:ind w:right="251"/>
              <w:spacing w:after="0"/>
              <w:rPr>
                <w:sz w:val="20"/>
                <w:szCs w:val="20"/>
                <w:color w:val="auto"/>
              </w:rPr>
            </w:pPr>
            <w:r>
              <w:rPr>
                <w:rFonts w:ascii="Arial" w:cs="Arial" w:eastAsia="Arial" w:hAnsi="Arial"/>
                <w:sz w:val="18"/>
                <w:szCs w:val="18"/>
                <w:color w:val="auto"/>
              </w:rPr>
              <w:t>(0.1 %)</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251"/>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10.6 %</w:t>
            </w:r>
          </w:p>
        </w:tc>
        <w:tc>
          <w:tcPr>
            <w:tcW w:w="0" w:type="dxa"/>
            <w:vAlign w:val="bottom"/>
          </w:tcPr>
          <w:p>
            <w:pPr>
              <w:spacing w:after="0"/>
              <w:rPr>
                <w:sz w:val="1"/>
                <w:szCs w:val="1"/>
                <w:color w:val="auto"/>
              </w:rPr>
            </w:pPr>
          </w:p>
        </w:tc>
      </w:tr>
      <w:tr>
        <w:trPr>
          <w:trHeight w:val="226"/>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25"/>
        </w:trPr>
        <w:tc>
          <w:tcPr>
            <w:tcW w:w="2800" w:type="dxa"/>
            <w:vAlign w:val="bottom"/>
          </w:tcPr>
          <w:p>
            <w:pPr>
              <w:ind w:left="20"/>
              <w:spacing w:after="0"/>
              <w:rPr>
                <w:sz w:val="20"/>
                <w:szCs w:val="20"/>
                <w:color w:val="auto"/>
              </w:rPr>
            </w:pPr>
            <w:r>
              <w:rPr>
                <w:rFonts w:ascii="Arial" w:cs="Arial" w:eastAsia="Arial" w:hAnsi="Arial"/>
                <w:sz w:val="18"/>
                <w:szCs w:val="18"/>
                <w:i w:val="1"/>
                <w:iCs w:val="1"/>
                <w:color w:val="auto"/>
              </w:rPr>
              <w:t>Operating margin</w:t>
            </w:r>
          </w:p>
        </w:tc>
        <w:tc>
          <w:tcPr>
            <w:tcW w:w="3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15.5 %</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520" w:type="dxa"/>
            <w:vAlign w:val="bottom"/>
          </w:tcPr>
          <w:p>
            <w:pPr>
              <w:jc w:val="right"/>
              <w:ind w:right="251"/>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0.5</w:t>
            </w:r>
          </w:p>
        </w:tc>
        <w:tc>
          <w:tcPr>
            <w:tcW w:w="520" w:type="dxa"/>
            <w:vAlign w:val="bottom"/>
          </w:tcPr>
          <w:p>
            <w:pPr>
              <w:jc w:val="right"/>
              <w:ind w:right="251"/>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15.6 %</w:t>
            </w:r>
          </w:p>
        </w:tc>
        <w:tc>
          <w:tcPr>
            <w:tcW w:w="0" w:type="dxa"/>
            <w:vAlign w:val="bottom"/>
          </w:tcPr>
          <w:p>
            <w:pPr>
              <w:spacing w:after="0"/>
              <w:rPr>
                <w:sz w:val="1"/>
                <w:szCs w:val="1"/>
                <w:color w:val="auto"/>
              </w:rPr>
            </w:pPr>
          </w:p>
        </w:tc>
      </w:tr>
    </w:tbl>
    <w:p>
      <w:pPr>
        <w:sectPr>
          <w:pgSz w:w="11900" w:h="16838" w:orient="portrait"/>
          <w:cols w:equalWidth="0" w:num="1">
            <w:col w:w="11240"/>
          </w:cols>
          <w:pgMar w:left="320" w:top="87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9"/>
          <w:szCs w:val="19"/>
          <w:b w:val="1"/>
          <w:bCs w:val="1"/>
          <w:color w:val="auto"/>
        </w:rPr>
        <w:t>Dropbox,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Twelve months ended December 31, 2020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Reconciliation of GAAP to Non-GAAP results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for percentages, which may not foot due to rounding)</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Stock-based</w:t>
            </w:r>
          </w:p>
        </w:tc>
        <w:tc>
          <w:tcPr>
            <w:tcW w:w="1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8"/>
              </w:rPr>
              <w:t>Acquisition-</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Intangibles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ind w:left="120"/>
              <w:spacing w:after="0"/>
              <w:rPr>
                <w:sz w:val="20"/>
                <w:szCs w:val="20"/>
                <w:color w:val="auto"/>
              </w:rPr>
            </w:pPr>
            <w:r>
              <w:rPr>
                <w:rFonts w:ascii="Arial" w:cs="Arial" w:eastAsia="Arial" w:hAnsi="Arial"/>
                <w:sz w:val="18"/>
                <w:szCs w:val="18"/>
                <w:b w:val="1"/>
                <w:bCs w:val="1"/>
                <w:color w:val="auto"/>
              </w:rPr>
              <w:t>Impairment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ind w:right="131"/>
              <w:spacing w:after="0"/>
              <w:rPr>
                <w:sz w:val="20"/>
                <w:szCs w:val="20"/>
                <w:color w:val="auto"/>
              </w:rPr>
            </w:pPr>
            <w:r>
              <w:rPr>
                <w:rFonts w:ascii="Arial" w:cs="Arial" w:eastAsia="Arial" w:hAnsi="Arial"/>
                <w:sz w:val="18"/>
                <w:szCs w:val="18"/>
                <w:b w:val="1"/>
                <w:bCs w:val="1"/>
                <w:color w:val="auto"/>
              </w:rPr>
              <w:t>GAAP</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720" w:type="dxa"/>
            <w:vAlign w:val="bottom"/>
            <w:gridSpan w:val="5"/>
          </w:tcPr>
          <w:p>
            <w:pPr>
              <w:jc w:val="center"/>
              <w:ind w:right="260"/>
              <w:spacing w:after="0" w:line="173" w:lineRule="exact"/>
              <w:rPr>
                <w:sz w:val="20"/>
                <w:szCs w:val="20"/>
                <w:color w:val="auto"/>
              </w:rPr>
            </w:pPr>
            <w:r>
              <w:rPr>
                <w:rFonts w:ascii="Arial" w:cs="Arial" w:eastAsia="Arial" w:hAnsi="Arial"/>
                <w:sz w:val="18"/>
                <w:szCs w:val="18"/>
                <w:b w:val="1"/>
                <w:bCs w:val="1"/>
                <w:color w:val="auto"/>
                <w:w w:val="88"/>
              </w:rPr>
              <w:t>related and other</w:t>
            </w:r>
          </w:p>
        </w:tc>
        <w:tc>
          <w:tcPr>
            <w:tcW w:w="10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ind w:left="40"/>
              <w:spacing w:after="0" w:line="173" w:lineRule="exact"/>
              <w:rPr>
                <w:sz w:val="20"/>
                <w:szCs w:val="20"/>
                <w:color w:val="auto"/>
              </w:rPr>
            </w:pPr>
            <w:r>
              <w:rPr>
                <w:rFonts w:ascii="Arial" w:cs="Arial" w:eastAsia="Arial" w:hAnsi="Arial"/>
                <w:sz w:val="18"/>
                <w:szCs w:val="18"/>
                <w:b w:val="1"/>
                <w:bCs w:val="1"/>
                <w:color w:val="auto"/>
                <w:w w:val="89"/>
              </w:rPr>
              <w:t>related to real</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vMerge w:val="restart"/>
          </w:tcPr>
          <w:p>
            <w:pPr>
              <w:jc w:val="right"/>
              <w:ind w:right="131"/>
              <w:spacing w:after="0"/>
              <w:rPr>
                <w:sz w:val="20"/>
                <w:szCs w:val="20"/>
                <w:color w:val="auto"/>
              </w:rPr>
            </w:pPr>
            <w:r>
              <w:rPr>
                <w:rFonts w:ascii="Arial" w:cs="Arial" w:eastAsia="Arial" w:hAnsi="Arial"/>
                <w:sz w:val="18"/>
                <w:szCs w:val="18"/>
                <w:b w:val="1"/>
                <w:bCs w:val="1"/>
                <w:color w:val="auto"/>
                <w:w w:val="96"/>
              </w:rPr>
              <w:t>Non-GAAP</w:t>
            </w:r>
          </w:p>
        </w:tc>
        <w:tc>
          <w:tcPr>
            <w:tcW w:w="0" w:type="dxa"/>
            <w:vAlign w:val="bottom"/>
          </w:tcPr>
          <w:p>
            <w:pPr>
              <w:spacing w:after="0"/>
              <w:rPr>
                <w:sz w:val="1"/>
                <w:szCs w:val="1"/>
                <w:color w:val="auto"/>
              </w:rPr>
            </w:pPr>
          </w:p>
        </w:tc>
      </w:tr>
      <w:tr>
        <w:trPr>
          <w:trHeight w:val="226"/>
        </w:trPr>
        <w:tc>
          <w:tcPr>
            <w:tcW w:w="23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w w:val="86"/>
              </w:rPr>
              <w:t>compensation</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0"/>
              </w:rPr>
              <w:t>expenses</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amortization</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60"/>
              <w:spacing w:after="0" w:line="225" w:lineRule="exact"/>
              <w:rPr>
                <w:sz w:val="20"/>
                <w:szCs w:val="20"/>
                <w:color w:val="auto"/>
              </w:rPr>
            </w:pPr>
            <w:r>
              <w:rPr>
                <w:rFonts w:ascii="Arial" w:cs="Arial" w:eastAsia="Arial" w:hAnsi="Arial"/>
                <w:sz w:val="18"/>
                <w:szCs w:val="18"/>
                <w:b w:val="1"/>
                <w:bCs w:val="1"/>
                <w:color w:val="auto"/>
                <w:w w:val="78"/>
              </w:rPr>
              <w:t>estate assets</w:t>
            </w:r>
            <w:r>
              <w:rPr>
                <w:rFonts w:ascii="Arial" w:cs="Arial" w:eastAsia="Arial" w:hAnsi="Arial"/>
                <w:sz w:val="23"/>
                <w:szCs w:val="23"/>
                <w:b w:val="1"/>
                <w:bCs w:val="1"/>
                <w:color w:val="auto"/>
                <w:w w:val="78"/>
                <w:vertAlign w:val="superscript"/>
              </w:rPr>
              <w:t>(1)</w:t>
            </w: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414.6</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393.6</w:t>
            </w:r>
          </w:p>
        </w:tc>
        <w:tc>
          <w:tcPr>
            <w:tcW w:w="0" w:type="dxa"/>
            <w:vAlign w:val="bottom"/>
          </w:tcPr>
          <w:p>
            <w:pPr>
              <w:spacing w:after="0"/>
              <w:rPr>
                <w:sz w:val="1"/>
                <w:szCs w:val="1"/>
                <w:color w:val="auto"/>
              </w:rPr>
            </w:pPr>
          </w:p>
        </w:tc>
      </w:tr>
      <w:tr>
        <w:trPr>
          <w:trHeight w:val="225"/>
        </w:trPr>
        <w:tc>
          <w:tcPr>
            <w:tcW w:w="2340" w:type="dxa"/>
            <w:vAlign w:val="bottom"/>
          </w:tcPr>
          <w:p>
            <w:pPr>
              <w:ind w:left="20"/>
              <w:spacing w:after="0"/>
              <w:rPr>
                <w:sz w:val="20"/>
                <w:szCs w:val="20"/>
                <w:color w:val="auto"/>
              </w:rPr>
            </w:pPr>
            <w:r>
              <w:rPr>
                <w:rFonts w:ascii="Arial" w:cs="Arial" w:eastAsia="Arial" w:hAnsi="Arial"/>
                <w:sz w:val="18"/>
                <w:szCs w:val="18"/>
                <w:i w:val="1"/>
                <w:iCs w:val="1"/>
                <w:color w:val="auto"/>
              </w:rPr>
              <w:t>Cost of revenue margin</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4"/>
          </w:tcPr>
          <w:p>
            <w:pPr>
              <w:ind w:left="820"/>
              <w:spacing w:after="0"/>
              <w:rPr>
                <w:sz w:val="20"/>
                <w:szCs w:val="20"/>
                <w:color w:val="auto"/>
              </w:rPr>
            </w:pPr>
            <w:r>
              <w:rPr>
                <w:rFonts w:ascii="Arial" w:cs="Arial" w:eastAsia="Arial" w:hAnsi="Arial"/>
                <w:sz w:val="18"/>
                <w:szCs w:val="18"/>
                <w:color w:val="auto"/>
              </w:rPr>
              <w:t>— %</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4"/>
          </w:tcPr>
          <w:p>
            <w:pPr>
              <w:ind w:left="86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rPr>
                <w:sz w:val="20"/>
                <w:szCs w:val="20"/>
                <w:color w:val="auto"/>
              </w:rPr>
            </w:pPr>
            <w:r>
              <w:rPr>
                <w:rFonts w:ascii="Arial" w:cs="Arial" w:eastAsia="Arial" w:hAnsi="Arial"/>
                <w:sz w:val="18"/>
                <w:szCs w:val="18"/>
                <w:color w:val="auto"/>
              </w:rPr>
              <w:t>20.6 %</w:t>
            </w:r>
          </w:p>
        </w:tc>
        <w:tc>
          <w:tcPr>
            <w:tcW w:w="0" w:type="dxa"/>
            <w:vAlign w:val="bottom"/>
          </w:tcPr>
          <w:p>
            <w:pPr>
              <w:spacing w:after="0"/>
              <w:rPr>
                <w:sz w:val="1"/>
                <w:szCs w:val="1"/>
                <w:color w:val="auto"/>
              </w:rPr>
            </w:pPr>
          </w:p>
        </w:tc>
      </w:tr>
      <w:tr>
        <w:trPr>
          <w:trHeight w:val="226"/>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1,499.3</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1,520.3</w:t>
            </w:r>
          </w:p>
        </w:tc>
        <w:tc>
          <w:tcPr>
            <w:tcW w:w="0" w:type="dxa"/>
            <w:vAlign w:val="bottom"/>
          </w:tcPr>
          <w:p>
            <w:pPr>
              <w:spacing w:after="0"/>
              <w:rPr>
                <w:sz w:val="1"/>
                <w:szCs w:val="1"/>
                <w:color w:val="auto"/>
              </w:rPr>
            </w:pPr>
          </w:p>
        </w:tc>
      </w:tr>
      <w:tr>
        <w:trPr>
          <w:trHeight w:val="225"/>
        </w:trPr>
        <w:tc>
          <w:tcPr>
            <w:tcW w:w="2340" w:type="dxa"/>
            <w:vAlign w:val="bottom"/>
          </w:tcPr>
          <w:p>
            <w:pPr>
              <w:ind w:left="20"/>
              <w:spacing w:after="0"/>
              <w:rPr>
                <w:sz w:val="20"/>
                <w:szCs w:val="20"/>
                <w:color w:val="auto"/>
              </w:rPr>
            </w:pPr>
            <w:r>
              <w:rPr>
                <w:rFonts w:ascii="Arial" w:cs="Arial" w:eastAsia="Arial" w:hAnsi="Arial"/>
                <w:sz w:val="18"/>
                <w:szCs w:val="18"/>
                <w:i w:val="1"/>
                <w:iCs w:val="1"/>
                <w:color w:val="auto"/>
              </w:rPr>
              <w:t>Gross margin</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4"/>
          </w:tcPr>
          <w:p>
            <w:pPr>
              <w:ind w:left="820"/>
              <w:spacing w:after="0"/>
              <w:rPr>
                <w:sz w:val="20"/>
                <w:szCs w:val="20"/>
                <w:color w:val="auto"/>
              </w:rPr>
            </w:pPr>
            <w:r>
              <w:rPr>
                <w:rFonts w:ascii="Arial" w:cs="Arial" w:eastAsia="Arial" w:hAnsi="Arial"/>
                <w:sz w:val="18"/>
                <w:szCs w:val="18"/>
                <w:color w:val="auto"/>
              </w:rPr>
              <w:t>— %</w:t>
            </w:r>
          </w:p>
        </w:tc>
        <w:tc>
          <w:tcPr>
            <w:tcW w:w="108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4"/>
          </w:tcPr>
          <w:p>
            <w:pPr>
              <w:ind w:left="86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rPr>
                <w:sz w:val="20"/>
                <w:szCs w:val="20"/>
                <w:color w:val="auto"/>
              </w:rPr>
            </w:pPr>
            <w:r>
              <w:rPr>
                <w:rFonts w:ascii="Arial" w:cs="Arial" w:eastAsia="Arial" w:hAnsi="Arial"/>
                <w:sz w:val="18"/>
                <w:szCs w:val="18"/>
                <w:color w:val="auto"/>
              </w:rPr>
              <w:t>79.4 %</w:t>
            </w:r>
          </w:p>
        </w:tc>
        <w:tc>
          <w:tcPr>
            <w:tcW w:w="0" w:type="dxa"/>
            <w:vAlign w:val="bottom"/>
          </w:tcPr>
          <w:p>
            <w:pPr>
              <w:spacing w:after="0"/>
              <w:rPr>
                <w:sz w:val="1"/>
                <w:szCs w:val="1"/>
                <w:color w:val="auto"/>
              </w:rPr>
            </w:pPr>
          </w:p>
        </w:tc>
      </w:tr>
      <w:tr>
        <w:trPr>
          <w:trHeight w:val="226"/>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727.5</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536.6</w:t>
            </w:r>
          </w:p>
        </w:tc>
        <w:tc>
          <w:tcPr>
            <w:tcW w:w="0" w:type="dxa"/>
            <w:vAlign w:val="bottom"/>
          </w:tcPr>
          <w:p>
            <w:pPr>
              <w:spacing w:after="0"/>
              <w:rPr>
                <w:sz w:val="1"/>
                <w:szCs w:val="1"/>
                <w:color w:val="auto"/>
              </w:rPr>
            </w:pPr>
          </w:p>
        </w:tc>
      </w:tr>
      <w:tr>
        <w:trPr>
          <w:trHeight w:val="174"/>
        </w:trPr>
        <w:tc>
          <w:tcPr>
            <w:tcW w:w="2340" w:type="dxa"/>
            <w:vAlign w:val="bottom"/>
          </w:tcPr>
          <w:p>
            <w:pPr>
              <w:ind w:left="20"/>
              <w:spacing w:after="0" w:line="174" w:lineRule="exact"/>
              <w:rPr>
                <w:sz w:val="20"/>
                <w:szCs w:val="20"/>
                <w:color w:val="auto"/>
              </w:rPr>
            </w:pPr>
            <w:r>
              <w:rPr>
                <w:rFonts w:ascii="Arial" w:cs="Arial" w:eastAsia="Arial" w:hAnsi="Arial"/>
                <w:sz w:val="18"/>
                <w:szCs w:val="18"/>
                <w:i w:val="1"/>
                <w:iCs w:val="1"/>
                <w:color w:val="auto"/>
              </w:rPr>
              <w:t>Research and development</w:t>
            </w: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38.0</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(9.1 %)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4"/>
            <w:vMerge w:val="restart"/>
          </w:tcPr>
          <w:p>
            <w:pPr>
              <w:jc w:val="right"/>
              <w:ind w:right="260"/>
              <w:spacing w:after="0"/>
              <w:rPr>
                <w:sz w:val="20"/>
                <w:szCs w:val="20"/>
                <w:color w:val="auto"/>
              </w:rPr>
            </w:pPr>
            <w:r>
              <w:rPr>
                <w:rFonts w:ascii="Arial" w:cs="Arial" w:eastAsia="Arial" w:hAnsi="Arial"/>
                <w:sz w:val="18"/>
                <w:szCs w:val="18"/>
                <w:color w:val="auto"/>
              </w:rPr>
              <w:t>— %</w:t>
            </w:r>
          </w:p>
        </w:tc>
        <w:tc>
          <w:tcPr>
            <w:tcW w:w="1540" w:type="dxa"/>
            <w:vAlign w:val="bottom"/>
            <w:gridSpan w:val="4"/>
            <w:vMerge w:val="restart"/>
          </w:tcPr>
          <w:p>
            <w:pPr>
              <w:ind w:left="860"/>
              <w:spacing w:after="0"/>
              <w:rPr>
                <w:sz w:val="20"/>
                <w:szCs w:val="20"/>
                <w:color w:val="auto"/>
              </w:rPr>
            </w:pPr>
            <w:r>
              <w:rPr>
                <w:rFonts w:ascii="Arial" w:cs="Arial" w:eastAsia="Arial" w:hAnsi="Arial"/>
                <w:sz w:val="18"/>
                <w:szCs w:val="18"/>
                <w:color w:val="auto"/>
              </w:rPr>
              <w:t>— %</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28.0 %</w:t>
            </w:r>
          </w:p>
        </w:tc>
        <w:tc>
          <w:tcPr>
            <w:tcW w:w="0" w:type="dxa"/>
            <w:vAlign w:val="bottom"/>
          </w:tcPr>
          <w:p>
            <w:pPr>
              <w:spacing w:after="0"/>
              <w:rPr>
                <w:sz w:val="1"/>
                <w:szCs w:val="1"/>
                <w:color w:val="auto"/>
              </w:rPr>
            </w:pPr>
          </w:p>
        </w:tc>
      </w:tr>
      <w:tr>
        <w:trPr>
          <w:trHeight w:val="224"/>
        </w:trPr>
        <w:tc>
          <w:tcPr>
            <w:tcW w:w="2340" w:type="dxa"/>
            <w:vAlign w:val="bottom"/>
          </w:tcPr>
          <w:p>
            <w:pPr>
              <w:ind w:left="20"/>
              <w:spacing w:after="0"/>
              <w:rPr>
                <w:sz w:val="20"/>
                <w:szCs w:val="20"/>
                <w:color w:val="auto"/>
              </w:rPr>
            </w:pPr>
            <w:r>
              <w:rPr>
                <w:rFonts w:ascii="Arial" w:cs="Arial" w:eastAsia="Arial" w:hAnsi="Arial"/>
                <w:sz w:val="18"/>
                <w:szCs w:val="18"/>
                <w:i w:val="1"/>
                <w:iCs w:val="1"/>
                <w:color w:val="auto"/>
              </w:rPr>
              <w:t>margin</w:t>
            </w: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4"/>
            <w:vMerge w:val="continue"/>
          </w:tcPr>
          <w:p>
            <w:pPr>
              <w:spacing w:after="0"/>
              <w:rPr>
                <w:sz w:val="19"/>
                <w:szCs w:val="19"/>
                <w:color w:val="auto"/>
              </w:rPr>
            </w:pPr>
          </w:p>
        </w:tc>
        <w:tc>
          <w:tcPr>
            <w:tcW w:w="1540" w:type="dxa"/>
            <w:vAlign w:val="bottom"/>
            <w:gridSpan w:val="4"/>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422.8</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383.5</w:t>
            </w:r>
          </w:p>
        </w:tc>
        <w:tc>
          <w:tcPr>
            <w:tcW w:w="0" w:type="dxa"/>
            <w:vAlign w:val="bottom"/>
          </w:tcPr>
          <w:p>
            <w:pPr>
              <w:spacing w:after="0"/>
              <w:rPr>
                <w:sz w:val="1"/>
                <w:szCs w:val="1"/>
                <w:color w:val="auto"/>
              </w:rPr>
            </w:pPr>
          </w:p>
        </w:tc>
      </w:tr>
      <w:tr>
        <w:trPr>
          <w:trHeight w:val="225"/>
        </w:trPr>
        <w:tc>
          <w:tcPr>
            <w:tcW w:w="2340" w:type="dxa"/>
            <w:vAlign w:val="bottom"/>
          </w:tcPr>
          <w:p>
            <w:pPr>
              <w:ind w:left="20"/>
              <w:spacing w:after="0"/>
              <w:rPr>
                <w:sz w:val="20"/>
                <w:szCs w:val="20"/>
                <w:color w:val="auto"/>
              </w:rPr>
            </w:pPr>
            <w:r>
              <w:rPr>
                <w:rFonts w:ascii="Arial" w:cs="Arial" w:eastAsia="Arial" w:hAnsi="Arial"/>
                <w:sz w:val="18"/>
                <w:szCs w:val="18"/>
                <w:i w:val="1"/>
                <w:iCs w:val="1"/>
                <w:color w:val="auto"/>
              </w:rPr>
              <w:t>Sales and marketing margin</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4"/>
          </w:tcPr>
          <w:p>
            <w:pPr>
              <w:ind w:left="820"/>
              <w:spacing w:after="0"/>
              <w:rPr>
                <w:sz w:val="20"/>
                <w:szCs w:val="20"/>
                <w:color w:val="auto"/>
              </w:rPr>
            </w:pPr>
            <w:r>
              <w:rPr>
                <w:rFonts w:ascii="Arial" w:cs="Arial" w:eastAsia="Arial" w:hAnsi="Arial"/>
                <w:sz w:val="18"/>
                <w:szCs w:val="18"/>
                <w:color w:val="auto"/>
              </w:rPr>
              <w:t>— %</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4"/>
          </w:tcPr>
          <w:p>
            <w:pPr>
              <w:ind w:left="86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226"/>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191.1</w:t>
            </w:r>
          </w:p>
        </w:tc>
        <w:tc>
          <w:tcPr>
            <w:tcW w:w="0" w:type="dxa"/>
            <w:vAlign w:val="bottom"/>
          </w:tcPr>
          <w:p>
            <w:pPr>
              <w:spacing w:after="0"/>
              <w:rPr>
                <w:sz w:val="1"/>
                <w:szCs w:val="1"/>
                <w:color w:val="auto"/>
              </w:rPr>
            </w:pPr>
          </w:p>
        </w:tc>
      </w:tr>
      <w:tr>
        <w:trPr>
          <w:trHeight w:val="174"/>
        </w:trPr>
        <w:tc>
          <w:tcPr>
            <w:tcW w:w="2340" w:type="dxa"/>
            <w:vAlign w:val="bottom"/>
          </w:tcPr>
          <w:p>
            <w:pPr>
              <w:ind w:left="20"/>
              <w:spacing w:after="0" w:line="174" w:lineRule="exact"/>
              <w:rPr>
                <w:sz w:val="20"/>
                <w:szCs w:val="20"/>
                <w:color w:val="auto"/>
              </w:rPr>
            </w:pPr>
            <w:r>
              <w:rPr>
                <w:rFonts w:ascii="Arial" w:cs="Arial" w:eastAsia="Arial" w:hAnsi="Arial"/>
                <w:sz w:val="18"/>
                <w:szCs w:val="18"/>
                <w:i w:val="1"/>
                <w:iCs w:val="1"/>
                <w:color w:val="auto"/>
              </w:rPr>
              <w:t>General and administrative</w:t>
            </w: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11.9</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4"/>
            <w:vMerge w:val="restart"/>
          </w:tcPr>
          <w:p>
            <w:pPr>
              <w:ind w:left="820"/>
              <w:spacing w:after="0"/>
              <w:rPr>
                <w:sz w:val="20"/>
                <w:szCs w:val="20"/>
                <w:color w:val="auto"/>
              </w:rPr>
            </w:pPr>
            <w:r>
              <w:rPr>
                <w:rFonts w:ascii="Arial" w:cs="Arial" w:eastAsia="Arial" w:hAnsi="Arial"/>
                <w:sz w:val="18"/>
                <w:szCs w:val="18"/>
                <w:color w:val="auto"/>
              </w:rPr>
              <w:t>— %</w:t>
            </w:r>
          </w:p>
        </w:tc>
        <w:tc>
          <w:tcPr>
            <w:tcW w:w="1520" w:type="dxa"/>
            <w:vAlign w:val="bottom"/>
            <w:gridSpan w:val="4"/>
            <w:vMerge w:val="restart"/>
          </w:tcPr>
          <w:p>
            <w:pPr>
              <w:jc w:val="right"/>
              <w:ind w:right="260"/>
              <w:spacing w:after="0"/>
              <w:rPr>
                <w:sz w:val="20"/>
                <w:szCs w:val="20"/>
                <w:color w:val="auto"/>
              </w:rPr>
            </w:pPr>
            <w:r>
              <w:rPr>
                <w:rFonts w:ascii="Arial" w:cs="Arial" w:eastAsia="Arial" w:hAnsi="Arial"/>
                <w:sz w:val="18"/>
                <w:szCs w:val="18"/>
                <w:color w:val="auto"/>
              </w:rPr>
              <w:t>— %</w:t>
            </w:r>
          </w:p>
        </w:tc>
        <w:tc>
          <w:tcPr>
            <w:tcW w:w="1540" w:type="dxa"/>
            <w:vAlign w:val="bottom"/>
            <w:gridSpan w:val="4"/>
            <w:vMerge w:val="restart"/>
          </w:tcPr>
          <w:p>
            <w:pPr>
              <w:ind w:left="860"/>
              <w:spacing w:after="0"/>
              <w:rPr>
                <w:sz w:val="20"/>
                <w:szCs w:val="20"/>
                <w:color w:val="auto"/>
              </w:rPr>
            </w:pPr>
            <w:r>
              <w:rPr>
                <w:rFonts w:ascii="Arial" w:cs="Arial" w:eastAsia="Arial" w:hAnsi="Arial"/>
                <w:sz w:val="18"/>
                <w:szCs w:val="18"/>
                <w:color w:val="auto"/>
              </w:rPr>
              <w:t>— %</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4"/>
        </w:trPr>
        <w:tc>
          <w:tcPr>
            <w:tcW w:w="2340" w:type="dxa"/>
            <w:vAlign w:val="bottom"/>
          </w:tcPr>
          <w:p>
            <w:pPr>
              <w:ind w:left="20"/>
              <w:spacing w:after="0"/>
              <w:rPr>
                <w:sz w:val="20"/>
                <w:szCs w:val="20"/>
                <w:color w:val="auto"/>
              </w:rPr>
            </w:pPr>
            <w:r>
              <w:rPr>
                <w:rFonts w:ascii="Arial" w:cs="Arial" w:eastAsia="Arial" w:hAnsi="Arial"/>
                <w:sz w:val="18"/>
                <w:szCs w:val="18"/>
                <w:i w:val="1"/>
                <w:iCs w:val="1"/>
                <w:color w:val="auto"/>
              </w:rPr>
              <w:t>margin</w:t>
            </w: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4"/>
            <w:vMerge w:val="continue"/>
          </w:tcPr>
          <w:p>
            <w:pPr>
              <w:spacing w:after="0"/>
              <w:rPr>
                <w:sz w:val="19"/>
                <w:szCs w:val="19"/>
                <w:color w:val="auto"/>
              </w:rPr>
            </w:pPr>
          </w:p>
        </w:tc>
        <w:tc>
          <w:tcPr>
            <w:tcW w:w="1520" w:type="dxa"/>
            <w:vAlign w:val="bottom"/>
            <w:gridSpan w:val="4"/>
            <w:vMerge w:val="continue"/>
          </w:tcPr>
          <w:p>
            <w:pPr>
              <w:spacing w:after="0"/>
              <w:rPr>
                <w:sz w:val="19"/>
                <w:szCs w:val="19"/>
                <w:color w:val="auto"/>
              </w:rPr>
            </w:pPr>
          </w:p>
        </w:tc>
        <w:tc>
          <w:tcPr>
            <w:tcW w:w="1540" w:type="dxa"/>
            <w:vAlign w:val="bottom"/>
            <w:gridSpan w:val="4"/>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34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Impairment related to real</w:t>
            </w:r>
          </w:p>
        </w:tc>
        <w:tc>
          <w:tcPr>
            <w:tcW w:w="2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398.2</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ind w:left="560"/>
              <w:spacing w:after="0"/>
              <w:rPr>
                <w:sz w:val="20"/>
                <w:szCs w:val="20"/>
                <w:color w:val="auto"/>
              </w:rPr>
            </w:pPr>
            <w:r>
              <w:rPr>
                <w:rFonts w:ascii="Arial" w:cs="Arial" w:eastAsia="Arial" w:hAnsi="Arial"/>
                <w:sz w:val="18"/>
                <w:szCs w:val="18"/>
                <w:color w:val="auto"/>
                <w:w w:val="94"/>
              </w:rPr>
              <w:t>(398.2)</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estate assets</w:t>
            </w:r>
          </w:p>
        </w:tc>
        <w:tc>
          <w:tcPr>
            <w:tcW w:w="2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340" w:type="dxa"/>
            <w:vAlign w:val="bottom"/>
          </w:tcPr>
          <w:p>
            <w:pPr>
              <w:ind w:left="20"/>
              <w:spacing w:after="0" w:line="174" w:lineRule="exact"/>
              <w:rPr>
                <w:sz w:val="20"/>
                <w:szCs w:val="20"/>
                <w:color w:val="auto"/>
              </w:rPr>
            </w:pPr>
            <w:r>
              <w:rPr>
                <w:rFonts w:ascii="Arial" w:cs="Arial" w:eastAsia="Arial" w:hAnsi="Arial"/>
                <w:sz w:val="18"/>
                <w:szCs w:val="18"/>
                <w:i w:val="1"/>
                <w:iCs w:val="1"/>
                <w:color w:val="auto"/>
              </w:rPr>
              <w:t>Impairment related to real</w:t>
            </w: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20.8</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vMerge w:val="restart"/>
          </w:tcPr>
          <w:p>
            <w:pPr>
              <w:ind w:left="86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15"/>
                <w:szCs w:val="15"/>
                <w:color w:val="auto"/>
              </w:rPr>
            </w:pPr>
          </w:p>
        </w:tc>
        <w:tc>
          <w:tcPr>
            <w:tcW w:w="1540" w:type="dxa"/>
            <w:vAlign w:val="bottom"/>
            <w:gridSpan w:val="4"/>
            <w:vMerge w:val="restart"/>
          </w:tcPr>
          <w:p>
            <w:pPr>
              <w:ind w:left="820"/>
              <w:spacing w:after="0"/>
              <w:rPr>
                <w:sz w:val="20"/>
                <w:szCs w:val="20"/>
                <w:color w:val="auto"/>
              </w:rPr>
            </w:pPr>
            <w:r>
              <w:rPr>
                <w:rFonts w:ascii="Arial" w:cs="Arial" w:eastAsia="Arial" w:hAnsi="Arial"/>
                <w:sz w:val="18"/>
                <w:szCs w:val="18"/>
                <w:color w:val="auto"/>
              </w:rPr>
              <w:t>— %</w:t>
            </w:r>
          </w:p>
        </w:tc>
        <w:tc>
          <w:tcPr>
            <w:tcW w:w="1520" w:type="dxa"/>
            <w:vAlign w:val="bottom"/>
            <w:gridSpan w:val="4"/>
            <w:vMerge w:val="restart"/>
          </w:tcPr>
          <w:p>
            <w:pPr>
              <w:jc w:val="right"/>
              <w:ind w:right="260"/>
              <w:spacing w:after="0"/>
              <w:rPr>
                <w:sz w:val="20"/>
                <w:szCs w:val="20"/>
                <w:color w:val="auto"/>
              </w:rPr>
            </w:pPr>
            <w:r>
              <w:rPr>
                <w:rFonts w:ascii="Arial" w:cs="Arial" w:eastAsia="Arial" w:hAnsi="Arial"/>
                <w:sz w:val="18"/>
                <w:szCs w:val="18"/>
                <w:color w:val="auto"/>
              </w:rPr>
              <w:t>— %</w:t>
            </w:r>
          </w:p>
        </w:tc>
        <w:tc>
          <w:tcPr>
            <w:tcW w:w="1300" w:type="dxa"/>
            <w:vAlign w:val="bottom"/>
            <w:gridSpan w:val="2"/>
            <w:vMerge w:val="restart"/>
          </w:tcPr>
          <w:p>
            <w:pPr>
              <w:jc w:val="right"/>
              <w:spacing w:after="0"/>
              <w:rPr>
                <w:sz w:val="20"/>
                <w:szCs w:val="20"/>
                <w:color w:val="auto"/>
              </w:rPr>
            </w:pPr>
            <w:r>
              <w:rPr>
                <w:rFonts w:ascii="Arial" w:cs="Arial" w:eastAsia="Arial" w:hAnsi="Arial"/>
                <w:sz w:val="18"/>
                <w:szCs w:val="18"/>
                <w:color w:val="auto"/>
              </w:rPr>
              <w:t>(20.8 %)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4"/>
        </w:trPr>
        <w:tc>
          <w:tcPr>
            <w:tcW w:w="2340" w:type="dxa"/>
            <w:vAlign w:val="bottom"/>
          </w:tcPr>
          <w:p>
            <w:pPr>
              <w:ind w:left="20"/>
              <w:spacing w:after="0"/>
              <w:rPr>
                <w:sz w:val="20"/>
                <w:szCs w:val="20"/>
                <w:color w:val="auto"/>
              </w:rPr>
            </w:pPr>
            <w:r>
              <w:rPr>
                <w:rFonts w:ascii="Arial" w:cs="Arial" w:eastAsia="Arial" w:hAnsi="Arial"/>
                <w:sz w:val="18"/>
                <w:szCs w:val="18"/>
                <w:i w:val="1"/>
                <w:iCs w:val="1"/>
                <w:color w:val="auto"/>
              </w:rPr>
              <w:t>estate assets margin</w:t>
            </w: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4"/>
            <w:vMerge w:val="continue"/>
          </w:tcPr>
          <w:p>
            <w:pPr>
              <w:spacing w:after="0"/>
              <w:rPr>
                <w:sz w:val="19"/>
                <w:szCs w:val="19"/>
                <w:color w:val="auto"/>
              </w:rPr>
            </w:pPr>
          </w:p>
        </w:tc>
        <w:tc>
          <w:tcPr>
            <w:tcW w:w="1520" w:type="dxa"/>
            <w:vAlign w:val="bottom"/>
            <w:gridSpan w:val="4"/>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Income (loss) from operations</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261.5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w:t>
            </w: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409.1</w:t>
            </w:r>
          </w:p>
        </w:tc>
        <w:tc>
          <w:tcPr>
            <w:tcW w:w="0" w:type="dxa"/>
            <w:vAlign w:val="bottom"/>
          </w:tcPr>
          <w:p>
            <w:pPr>
              <w:spacing w:after="0"/>
              <w:rPr>
                <w:sz w:val="1"/>
                <w:szCs w:val="1"/>
                <w:color w:val="auto"/>
              </w:rPr>
            </w:pPr>
          </w:p>
        </w:tc>
      </w:tr>
      <w:tr>
        <w:trPr>
          <w:trHeight w:val="225"/>
        </w:trPr>
        <w:tc>
          <w:tcPr>
            <w:tcW w:w="2340" w:type="dxa"/>
            <w:vAlign w:val="bottom"/>
          </w:tcPr>
          <w:p>
            <w:pPr>
              <w:ind w:left="20"/>
              <w:spacing w:after="0"/>
              <w:rPr>
                <w:sz w:val="20"/>
                <w:szCs w:val="20"/>
                <w:color w:val="auto"/>
              </w:rPr>
            </w:pPr>
            <w:r>
              <w:rPr>
                <w:rFonts w:ascii="Arial" w:cs="Arial" w:eastAsia="Arial" w:hAnsi="Arial"/>
                <w:sz w:val="18"/>
                <w:szCs w:val="18"/>
                <w:i w:val="1"/>
                <w:iCs w:val="1"/>
                <w:color w:val="auto"/>
              </w:rPr>
              <w:t>Operating margin</w:t>
            </w:r>
          </w:p>
        </w:tc>
        <w:tc>
          <w:tcPr>
            <w:tcW w:w="2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13.7 %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0.9</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20.8</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21.4 %</w:t>
            </w: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160" w:hanging="154"/>
        <w:spacing w:after="0"/>
        <w:tabs>
          <w:tab w:leader="none" w:pos="160" w:val="left"/>
        </w:tabs>
        <w:numPr>
          <w:ilvl w:val="0"/>
          <w:numId w:val="11"/>
        </w:numPr>
        <w:rPr>
          <w:rFonts w:ascii="Arial" w:cs="Arial" w:eastAsia="Arial" w:hAnsi="Arial"/>
          <w:sz w:val="18"/>
          <w:szCs w:val="18"/>
          <w:color w:val="auto"/>
          <w:vertAlign w:val="superscript"/>
        </w:rPr>
      </w:pPr>
      <w:r>
        <w:rPr>
          <w:rFonts w:ascii="Arial" w:cs="Arial" w:eastAsia="Arial" w:hAnsi="Arial"/>
          <w:sz w:val="13"/>
          <w:szCs w:val="13"/>
          <w:color w:val="auto"/>
        </w:rPr>
        <w:t>Includes impairment charges related to certain right-of-use and other lease related assets as a result of our decision to shift to a Virtual First work model.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Dropbox,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Twelve months ended December 31,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Reconciliation of GAAP to Non-GAAP results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for percentages, which may not foot due to rounding)</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9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vMerge w:val="restart"/>
          </w:tcPr>
          <w:p>
            <w:pPr>
              <w:jc w:val="right"/>
              <w:ind w:right="231"/>
              <w:spacing w:after="0"/>
              <w:rPr>
                <w:sz w:val="20"/>
                <w:szCs w:val="20"/>
                <w:color w:val="auto"/>
              </w:rPr>
            </w:pPr>
            <w:r>
              <w:rPr>
                <w:rFonts w:ascii="Arial" w:cs="Arial" w:eastAsia="Arial" w:hAnsi="Arial"/>
                <w:sz w:val="18"/>
                <w:szCs w:val="18"/>
                <w:b w:val="1"/>
                <w:bCs w:val="1"/>
                <w:color w:val="auto"/>
              </w:rPr>
              <w:t>GAAP</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ind w:left="160"/>
              <w:spacing w:after="0"/>
              <w:rPr>
                <w:sz w:val="20"/>
                <w:szCs w:val="20"/>
                <w:color w:val="auto"/>
              </w:rPr>
            </w:pPr>
            <w:r>
              <w:rPr>
                <w:rFonts w:ascii="Arial" w:cs="Arial" w:eastAsia="Arial" w:hAnsi="Arial"/>
                <w:sz w:val="18"/>
                <w:szCs w:val="18"/>
                <w:b w:val="1"/>
                <w:bCs w:val="1"/>
                <w:color w:val="auto"/>
              </w:rPr>
              <w:t>Stock-based</w:t>
            </w:r>
          </w:p>
        </w:tc>
        <w:tc>
          <w:tcPr>
            <w:tcW w:w="194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3"/>
              </w:rPr>
              <w:t>Acquisition-related</w:t>
            </w:r>
          </w:p>
        </w:tc>
        <w:tc>
          <w:tcPr>
            <w:tcW w:w="1220" w:type="dxa"/>
            <w:vAlign w:val="bottom"/>
          </w:tcPr>
          <w:p>
            <w:pPr>
              <w:jc w:val="right"/>
              <w:ind w:right="111"/>
              <w:spacing w:after="0"/>
              <w:rPr>
                <w:sz w:val="20"/>
                <w:szCs w:val="20"/>
                <w:color w:val="auto"/>
              </w:rPr>
            </w:pPr>
            <w:r>
              <w:rPr>
                <w:rFonts w:ascii="Arial" w:cs="Arial" w:eastAsia="Arial" w:hAnsi="Arial"/>
                <w:sz w:val="18"/>
                <w:szCs w:val="18"/>
                <w:b w:val="1"/>
                <w:bCs w:val="1"/>
                <w:color w:val="auto"/>
              </w:rPr>
              <w:t>Intangibles</w:t>
            </w:r>
          </w:p>
        </w:tc>
        <w:tc>
          <w:tcPr>
            <w:tcW w:w="500" w:type="dxa"/>
            <w:vAlign w:val="bottom"/>
          </w:tcPr>
          <w:p>
            <w:pPr>
              <w:spacing w:after="0"/>
              <w:rPr>
                <w:sz w:val="18"/>
                <w:szCs w:val="18"/>
                <w:color w:val="auto"/>
              </w:rPr>
            </w:pPr>
          </w:p>
        </w:tc>
        <w:tc>
          <w:tcPr>
            <w:tcW w:w="1300" w:type="dxa"/>
            <w:vAlign w:val="bottom"/>
            <w:vMerge w:val="restart"/>
          </w:tcPr>
          <w:p>
            <w:pPr>
              <w:jc w:val="right"/>
              <w:ind w:right="231"/>
              <w:spacing w:after="0"/>
              <w:rPr>
                <w:sz w:val="20"/>
                <w:szCs w:val="20"/>
                <w:color w:val="auto"/>
              </w:rPr>
            </w:pPr>
            <w:r>
              <w:rPr>
                <w:rFonts w:ascii="Arial" w:cs="Arial" w:eastAsia="Arial" w:hAnsi="Arial"/>
                <w:sz w:val="18"/>
                <w:szCs w:val="18"/>
                <w:b w:val="1"/>
                <w:bCs w:val="1"/>
                <w:color w:val="auto"/>
              </w:rPr>
              <w:t>Non-GAAP</w:t>
            </w:r>
          </w:p>
        </w:tc>
        <w:tc>
          <w:tcPr>
            <w:tcW w:w="0" w:type="dxa"/>
            <w:vAlign w:val="bottom"/>
          </w:tcPr>
          <w:p>
            <w:pPr>
              <w:spacing w:after="0"/>
              <w:rPr>
                <w:sz w:val="1"/>
                <w:szCs w:val="1"/>
                <w:color w:val="auto"/>
              </w:rPr>
            </w:pPr>
          </w:p>
        </w:tc>
      </w:tr>
      <w:tr>
        <w:trPr>
          <w:trHeight w:val="226"/>
        </w:trPr>
        <w:tc>
          <w:tcPr>
            <w:tcW w:w="28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w w:val="91"/>
              </w:rPr>
              <w:t>compensation</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8"/>
                <w:szCs w:val="18"/>
                <w:b w:val="1"/>
                <w:bCs w:val="1"/>
                <w:color w:val="auto"/>
                <w:w w:val="88"/>
              </w:rPr>
              <w:t>and other expenses</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99"/>
              </w:rPr>
              <w:t>amortization</w:t>
            </w:r>
          </w:p>
        </w:tc>
        <w:tc>
          <w:tcPr>
            <w:tcW w:w="5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411.0</w:t>
            </w: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391.8</w:t>
            </w:r>
          </w:p>
        </w:tc>
        <w:tc>
          <w:tcPr>
            <w:tcW w:w="0" w:type="dxa"/>
            <w:vAlign w:val="bottom"/>
          </w:tcPr>
          <w:p>
            <w:pPr>
              <w:spacing w:after="0"/>
              <w:rPr>
                <w:sz w:val="1"/>
                <w:szCs w:val="1"/>
                <w:color w:val="auto"/>
              </w:rPr>
            </w:pPr>
          </w:p>
        </w:tc>
      </w:tr>
      <w:tr>
        <w:trPr>
          <w:trHeight w:val="225"/>
        </w:trPr>
        <w:tc>
          <w:tcPr>
            <w:tcW w:w="2800" w:type="dxa"/>
            <w:vAlign w:val="bottom"/>
          </w:tcPr>
          <w:p>
            <w:pPr>
              <w:ind w:left="20"/>
              <w:spacing w:after="0"/>
              <w:rPr>
                <w:sz w:val="20"/>
                <w:szCs w:val="20"/>
                <w:color w:val="auto"/>
              </w:rPr>
            </w:pPr>
            <w:r>
              <w:rPr>
                <w:rFonts w:ascii="Arial" w:cs="Arial" w:eastAsia="Arial" w:hAnsi="Arial"/>
                <w:sz w:val="18"/>
                <w:szCs w:val="18"/>
                <w:i w:val="1"/>
                <w:iCs w:val="1"/>
                <w:color w:val="auto"/>
              </w:rPr>
              <w:t>Cost of revenue margin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gridSpan w:val="2"/>
          </w:tcPr>
          <w:p>
            <w:pPr>
              <w:jc w:val="right"/>
              <w:ind w:right="251"/>
              <w:spacing w:after="0"/>
              <w:rPr>
                <w:sz w:val="20"/>
                <w:szCs w:val="20"/>
                <w:color w:val="auto"/>
              </w:rPr>
            </w:pPr>
            <w:r>
              <w:rPr>
                <w:rFonts w:ascii="Arial" w:cs="Arial" w:eastAsia="Arial" w:hAnsi="Arial"/>
                <w:sz w:val="18"/>
                <w:szCs w:val="18"/>
                <w:color w:val="auto"/>
              </w:rPr>
              <w:t>(0.2 %)</w:t>
            </w:r>
          </w:p>
        </w:tc>
        <w:tc>
          <w:tcPr>
            <w:tcW w:w="1300" w:type="dxa"/>
            <w:vAlign w:val="bottom"/>
          </w:tcPr>
          <w:p>
            <w:pPr>
              <w:jc w:val="right"/>
              <w:spacing w:after="0"/>
              <w:rPr>
                <w:sz w:val="20"/>
                <w:szCs w:val="20"/>
                <w:color w:val="auto"/>
              </w:rPr>
            </w:pPr>
            <w:r>
              <w:rPr>
                <w:rFonts w:ascii="Arial" w:cs="Arial" w:eastAsia="Arial" w:hAnsi="Arial"/>
                <w:sz w:val="18"/>
                <w:szCs w:val="18"/>
                <w:color w:val="auto"/>
              </w:rPr>
              <w:t>23.6 %</w:t>
            </w:r>
          </w:p>
        </w:tc>
        <w:tc>
          <w:tcPr>
            <w:tcW w:w="0" w:type="dxa"/>
            <w:vAlign w:val="bottom"/>
          </w:tcPr>
          <w:p>
            <w:pPr>
              <w:spacing w:after="0"/>
              <w:rPr>
                <w:sz w:val="1"/>
                <w:szCs w:val="1"/>
                <w:color w:val="auto"/>
              </w:rPr>
            </w:pPr>
          </w:p>
        </w:tc>
      </w:tr>
      <w:tr>
        <w:trPr>
          <w:trHeight w:val="226"/>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1,250.3</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5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1,269.5</w:t>
            </w:r>
          </w:p>
        </w:tc>
        <w:tc>
          <w:tcPr>
            <w:tcW w:w="0" w:type="dxa"/>
            <w:vAlign w:val="bottom"/>
          </w:tcPr>
          <w:p>
            <w:pPr>
              <w:spacing w:after="0"/>
              <w:rPr>
                <w:sz w:val="1"/>
                <w:szCs w:val="1"/>
                <w:color w:val="auto"/>
              </w:rPr>
            </w:pPr>
          </w:p>
        </w:tc>
      </w:tr>
      <w:tr>
        <w:trPr>
          <w:trHeight w:val="225"/>
        </w:trPr>
        <w:tc>
          <w:tcPr>
            <w:tcW w:w="2800" w:type="dxa"/>
            <w:vAlign w:val="bottom"/>
          </w:tcPr>
          <w:p>
            <w:pPr>
              <w:ind w:left="20"/>
              <w:spacing w:after="0"/>
              <w:rPr>
                <w:sz w:val="20"/>
                <w:szCs w:val="20"/>
                <w:color w:val="auto"/>
              </w:rPr>
            </w:pPr>
            <w:r>
              <w:rPr>
                <w:rFonts w:ascii="Arial" w:cs="Arial" w:eastAsia="Arial" w:hAnsi="Arial"/>
                <w:sz w:val="18"/>
                <w:szCs w:val="18"/>
                <w:i w:val="1"/>
                <w:iCs w:val="1"/>
                <w:color w:val="auto"/>
              </w:rPr>
              <w:t>Gross margin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0" w:type="dxa"/>
            <w:vAlign w:val="bottom"/>
            <w:gridSpan w:val="4"/>
          </w:tcPr>
          <w:p>
            <w:pPr>
              <w:jc w:val="right"/>
              <w:ind w:right="340"/>
              <w:spacing w:after="0"/>
              <w:rPr>
                <w:sz w:val="20"/>
                <w:szCs w:val="20"/>
                <w:color w:val="auto"/>
              </w:rPr>
            </w:pPr>
            <w:r>
              <w:rPr>
                <w:rFonts w:ascii="Arial" w:cs="Arial" w:eastAsia="Arial" w:hAnsi="Arial"/>
                <w:sz w:val="18"/>
                <w:szCs w:val="18"/>
                <w:color w:val="auto"/>
              </w:rPr>
              <w:t>— %</w:t>
            </w: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c>
          <w:tcPr>
            <w:tcW w:w="500" w:type="dxa"/>
            <w:vAlign w:val="bottom"/>
          </w:tcPr>
          <w:p>
            <w:pPr>
              <w:jc w:val="right"/>
              <w:ind w:right="231"/>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76.4 %</w:t>
            </w:r>
          </w:p>
        </w:tc>
        <w:tc>
          <w:tcPr>
            <w:tcW w:w="0" w:type="dxa"/>
            <w:vAlign w:val="bottom"/>
          </w:tcPr>
          <w:p>
            <w:pPr>
              <w:spacing w:after="0"/>
              <w:rPr>
                <w:sz w:val="1"/>
                <w:szCs w:val="1"/>
                <w:color w:val="auto"/>
              </w:rPr>
            </w:pPr>
          </w:p>
        </w:tc>
      </w:tr>
      <w:tr>
        <w:trPr>
          <w:trHeight w:val="226"/>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662.1</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(147.6)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5"/>
        </w:trPr>
        <w:tc>
          <w:tcPr>
            <w:tcW w:w="2800" w:type="dxa"/>
            <w:vAlign w:val="bottom"/>
          </w:tcPr>
          <w:p>
            <w:pPr>
              <w:ind w:left="20"/>
              <w:spacing w:after="0"/>
              <w:rPr>
                <w:sz w:val="20"/>
                <w:szCs w:val="20"/>
                <w:color w:val="auto"/>
              </w:rPr>
            </w:pPr>
            <w:r>
              <w:rPr>
                <w:rFonts w:ascii="Arial" w:cs="Arial" w:eastAsia="Arial" w:hAnsi="Arial"/>
                <w:sz w:val="18"/>
                <w:szCs w:val="18"/>
                <w:i w:val="1"/>
                <w:iCs w:val="1"/>
                <w:color w:val="auto"/>
                <w:w w:val="98"/>
              </w:rPr>
              <w:t>Research and development margin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(8.9 %)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(0.9 %)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31"/>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30.1 %</w:t>
            </w:r>
          </w:p>
        </w:tc>
        <w:tc>
          <w:tcPr>
            <w:tcW w:w="0" w:type="dxa"/>
            <w:vAlign w:val="bottom"/>
          </w:tcPr>
          <w:p>
            <w:pPr>
              <w:spacing w:after="0"/>
              <w:rPr>
                <w:sz w:val="1"/>
                <w:szCs w:val="1"/>
                <w:color w:val="auto"/>
              </w:rPr>
            </w:pPr>
          </w:p>
        </w:tc>
      </w:tr>
      <w:tr>
        <w:trPr>
          <w:trHeight w:val="226"/>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423.3</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5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386.9</w:t>
            </w:r>
          </w:p>
        </w:tc>
        <w:tc>
          <w:tcPr>
            <w:tcW w:w="0" w:type="dxa"/>
            <w:vAlign w:val="bottom"/>
          </w:tcPr>
          <w:p>
            <w:pPr>
              <w:spacing w:after="0"/>
              <w:rPr>
                <w:sz w:val="1"/>
                <w:szCs w:val="1"/>
                <w:color w:val="auto"/>
              </w:rPr>
            </w:pPr>
          </w:p>
        </w:tc>
      </w:tr>
      <w:tr>
        <w:trPr>
          <w:trHeight w:val="225"/>
        </w:trPr>
        <w:tc>
          <w:tcPr>
            <w:tcW w:w="2800" w:type="dxa"/>
            <w:vAlign w:val="bottom"/>
          </w:tcPr>
          <w:p>
            <w:pPr>
              <w:ind w:left="20"/>
              <w:spacing w:after="0"/>
              <w:rPr>
                <w:sz w:val="20"/>
                <w:szCs w:val="20"/>
                <w:color w:val="auto"/>
              </w:rPr>
            </w:pPr>
            <w:r>
              <w:rPr>
                <w:rFonts w:ascii="Arial" w:cs="Arial" w:eastAsia="Arial" w:hAnsi="Arial"/>
                <w:sz w:val="18"/>
                <w:szCs w:val="18"/>
                <w:i w:val="1"/>
                <w:iCs w:val="1"/>
                <w:color w:val="auto"/>
              </w:rPr>
              <w:t>Sales and marketing margin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gridSpan w:val="2"/>
          </w:tcPr>
          <w:p>
            <w:pPr>
              <w:jc w:val="right"/>
              <w:ind w:right="251"/>
              <w:spacing w:after="0"/>
              <w:rPr>
                <w:sz w:val="20"/>
                <w:szCs w:val="20"/>
                <w:color w:val="auto"/>
              </w:rPr>
            </w:pPr>
            <w:r>
              <w:rPr>
                <w:rFonts w:ascii="Arial" w:cs="Arial" w:eastAsia="Arial" w:hAnsi="Arial"/>
                <w:sz w:val="18"/>
                <w:szCs w:val="18"/>
                <w:color w:val="auto"/>
              </w:rPr>
              <w:t>(0.3 %)</w:t>
            </w:r>
          </w:p>
        </w:tc>
        <w:tc>
          <w:tcPr>
            <w:tcW w:w="1300" w:type="dxa"/>
            <w:vAlign w:val="bottom"/>
          </w:tcPr>
          <w:p>
            <w:pPr>
              <w:jc w:val="right"/>
              <w:spacing w:after="0"/>
              <w:rPr>
                <w:sz w:val="20"/>
                <w:szCs w:val="20"/>
                <w:color w:val="auto"/>
              </w:rPr>
            </w:pPr>
            <w:r>
              <w:rPr>
                <w:rFonts w:ascii="Arial" w:cs="Arial" w:eastAsia="Arial" w:hAnsi="Arial"/>
                <w:sz w:val="18"/>
                <w:szCs w:val="18"/>
                <w:color w:val="auto"/>
              </w:rPr>
              <w:t>23.3 %</w:t>
            </w:r>
          </w:p>
        </w:tc>
        <w:tc>
          <w:tcPr>
            <w:tcW w:w="0" w:type="dxa"/>
            <w:vAlign w:val="bottom"/>
          </w:tcPr>
          <w:p>
            <w:pPr>
              <w:spacing w:after="0"/>
              <w:rPr>
                <w:sz w:val="1"/>
                <w:szCs w:val="1"/>
                <w:color w:val="auto"/>
              </w:rPr>
            </w:pPr>
          </w:p>
        </w:tc>
      </w:tr>
      <w:tr>
        <w:trPr>
          <w:trHeight w:val="226"/>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177.6</w:t>
            </w:r>
          </w:p>
        </w:tc>
        <w:tc>
          <w:tcPr>
            <w:tcW w:w="0" w:type="dxa"/>
            <w:vAlign w:val="bottom"/>
          </w:tcPr>
          <w:p>
            <w:pPr>
              <w:spacing w:after="0"/>
              <w:rPr>
                <w:sz w:val="1"/>
                <w:szCs w:val="1"/>
                <w:color w:val="auto"/>
              </w:rPr>
            </w:pPr>
          </w:p>
        </w:tc>
      </w:tr>
      <w:tr>
        <w:trPr>
          <w:trHeight w:val="225"/>
        </w:trPr>
        <w:tc>
          <w:tcPr>
            <w:tcW w:w="2800" w:type="dxa"/>
            <w:vAlign w:val="bottom"/>
          </w:tcPr>
          <w:p>
            <w:pPr>
              <w:ind w:left="20"/>
              <w:spacing w:after="0"/>
              <w:rPr>
                <w:sz w:val="20"/>
                <w:szCs w:val="20"/>
                <w:color w:val="auto"/>
              </w:rPr>
            </w:pPr>
            <w:r>
              <w:rPr>
                <w:rFonts w:ascii="Arial" w:cs="Arial" w:eastAsia="Arial" w:hAnsi="Arial"/>
                <w:sz w:val="18"/>
                <w:szCs w:val="18"/>
                <w:i w:val="1"/>
                <w:iCs w:val="1"/>
                <w:color w:val="auto"/>
              </w:rPr>
              <w:t>General and administrative margin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31"/>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10.7 %</w:t>
            </w:r>
          </w:p>
        </w:tc>
        <w:tc>
          <w:tcPr>
            <w:tcW w:w="0" w:type="dxa"/>
            <w:vAlign w:val="bottom"/>
          </w:tcPr>
          <w:p>
            <w:pPr>
              <w:spacing w:after="0"/>
              <w:rPr>
                <w:sz w:val="1"/>
                <w:szCs w:val="1"/>
                <w:color w:val="auto"/>
              </w:rPr>
            </w:pPr>
          </w:p>
        </w:tc>
      </w:tr>
      <w:tr>
        <w:trPr>
          <w:trHeight w:val="226"/>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261.2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205.0</w:t>
            </w:r>
          </w:p>
        </w:tc>
        <w:tc>
          <w:tcPr>
            <w:tcW w:w="0" w:type="dxa"/>
            <w:vAlign w:val="bottom"/>
          </w:tcPr>
          <w:p>
            <w:pPr>
              <w:spacing w:after="0"/>
              <w:rPr>
                <w:sz w:val="1"/>
                <w:szCs w:val="1"/>
                <w:color w:val="auto"/>
              </w:rPr>
            </w:pPr>
          </w:p>
        </w:tc>
      </w:tr>
      <w:tr>
        <w:trPr>
          <w:trHeight w:val="225"/>
        </w:trPr>
        <w:tc>
          <w:tcPr>
            <w:tcW w:w="2800" w:type="dxa"/>
            <w:vAlign w:val="bottom"/>
          </w:tcPr>
          <w:p>
            <w:pPr>
              <w:ind w:left="20"/>
              <w:spacing w:after="0"/>
              <w:rPr>
                <w:sz w:val="20"/>
                <w:szCs w:val="20"/>
                <w:color w:val="auto"/>
              </w:rPr>
            </w:pPr>
            <w:r>
              <w:rPr>
                <w:rFonts w:ascii="Arial" w:cs="Arial" w:eastAsia="Arial" w:hAnsi="Arial"/>
                <w:sz w:val="18"/>
                <w:szCs w:val="18"/>
                <w:i w:val="1"/>
                <w:iCs w:val="1"/>
                <w:color w:val="auto"/>
              </w:rPr>
              <w:t>Operating margin</w:t>
            </w:r>
          </w:p>
        </w:tc>
        <w:tc>
          <w:tcPr>
            <w:tcW w:w="30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(4.8 %)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15.7 %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0.5</w:t>
            </w:r>
          </w:p>
        </w:tc>
        <w:tc>
          <w:tcPr>
            <w:tcW w:w="500" w:type="dxa"/>
            <w:vAlign w:val="bottom"/>
          </w:tcPr>
          <w:p>
            <w:pPr>
              <w:jc w:val="right"/>
              <w:ind w:right="231"/>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12.3 %</w:t>
            </w:r>
          </w:p>
        </w:tc>
        <w:tc>
          <w:tcPr>
            <w:tcW w:w="0" w:type="dxa"/>
            <w:vAlign w:val="bottom"/>
          </w:tcPr>
          <w:p>
            <w:pPr>
              <w:spacing w:after="0"/>
              <w:rPr>
                <w:sz w:val="1"/>
                <w:szCs w:val="1"/>
                <w:color w:val="auto"/>
              </w:rPr>
            </w:pPr>
          </w:p>
        </w:tc>
      </w:tr>
    </w:tbl>
    <w:p>
      <w:pPr>
        <w:sectPr>
          <w:pgSz w:w="11900" w:h="16838" w:orient="portrait"/>
          <w:cols w:equalWidth="0" w:num="1">
            <w:col w:w="11240"/>
          </w:cols>
          <w:pgMar w:left="320" w:top="874" w:right="339" w:bottom="1440" w:gutter="0" w:footer="0" w:header="0"/>
        </w:sectPr>
      </w:pPr>
    </w:p>
    <w:bookmarkStart w:id="12" w:name="page13"/>
    <w:bookmarkEnd w:id="12"/>
    <w:p>
      <w:pPr>
        <w:jc w:val="center"/>
        <w:ind w:right="-13"/>
        <w:spacing w:after="0"/>
        <w:rPr>
          <w:sz w:val="20"/>
          <w:szCs w:val="20"/>
          <w:color w:val="auto"/>
        </w:rPr>
      </w:pPr>
      <w:r>
        <w:rPr>
          <w:rFonts w:ascii="Arial" w:cs="Arial" w:eastAsia="Arial" w:hAnsi="Arial"/>
          <w:sz w:val="19"/>
          <w:szCs w:val="19"/>
          <w:b w:val="1"/>
          <w:bCs w:val="1"/>
          <w:color w:val="auto"/>
        </w:rPr>
        <w:t>Dropbox, Inc.</w:t>
      </w:r>
    </w:p>
    <w:p>
      <w:pPr>
        <w:spacing w:after="0" w:line="29" w:lineRule="exact"/>
        <w:rPr>
          <w:sz w:val="20"/>
          <w:szCs w:val="20"/>
          <w:color w:val="auto"/>
        </w:rPr>
      </w:pPr>
    </w:p>
    <w:p>
      <w:pPr>
        <w:jc w:val="center"/>
        <w:ind w:right="-13"/>
        <w:spacing w:after="0"/>
        <w:rPr>
          <w:sz w:val="20"/>
          <w:szCs w:val="20"/>
          <w:color w:val="auto"/>
        </w:rPr>
      </w:pPr>
      <w:r>
        <w:rPr>
          <w:rFonts w:ascii="Arial" w:cs="Arial" w:eastAsia="Arial" w:hAnsi="Arial"/>
          <w:sz w:val="19"/>
          <w:szCs w:val="19"/>
          <w:b w:val="1"/>
          <w:bCs w:val="1"/>
          <w:color w:val="auto"/>
        </w:rPr>
        <w:t>Three and twelve months ended December 31, 2020 and 2019</w:t>
      </w:r>
    </w:p>
    <w:p>
      <w:pPr>
        <w:spacing w:after="0" w:line="7" w:lineRule="exact"/>
        <w:rPr>
          <w:sz w:val="20"/>
          <w:szCs w:val="20"/>
          <w:color w:val="auto"/>
        </w:rPr>
      </w:pPr>
    </w:p>
    <w:p>
      <w:pPr>
        <w:jc w:val="center"/>
        <w:ind w:right="-13"/>
        <w:spacing w:after="0"/>
        <w:rPr>
          <w:sz w:val="20"/>
          <w:szCs w:val="20"/>
          <w:color w:val="auto"/>
        </w:rPr>
      </w:pPr>
      <w:r>
        <w:rPr>
          <w:rFonts w:ascii="Arial" w:cs="Arial" w:eastAsia="Arial" w:hAnsi="Arial"/>
          <w:sz w:val="19"/>
          <w:szCs w:val="19"/>
          <w:b w:val="1"/>
          <w:bCs w:val="1"/>
          <w:color w:val="auto"/>
        </w:rPr>
        <w:t>Reconciliation of GAAP net loss to Non-GAAP net income and Non-GAAP diluted net income per share</w:t>
      </w:r>
    </w:p>
    <w:p>
      <w:pPr>
        <w:spacing w:after="0" w:line="10" w:lineRule="exact"/>
        <w:rPr>
          <w:sz w:val="20"/>
          <w:szCs w:val="20"/>
          <w:color w:val="auto"/>
        </w:rPr>
      </w:pPr>
    </w:p>
    <w:p>
      <w:pPr>
        <w:jc w:val="center"/>
        <w:ind w:right="-13"/>
        <w:spacing w:after="0"/>
        <w:rPr>
          <w:sz w:val="20"/>
          <w:szCs w:val="20"/>
          <w:color w:val="auto"/>
        </w:rPr>
      </w:pPr>
      <w:r>
        <w:rPr>
          <w:rFonts w:ascii="Arial" w:cs="Arial" w:eastAsia="Arial" w:hAnsi="Arial"/>
          <w:sz w:val="18"/>
          <w:szCs w:val="18"/>
          <w:i w:val="1"/>
          <w:iCs w:val="1"/>
          <w:color w:val="auto"/>
        </w:rPr>
        <w:t>(In millions, except per share data)</w:t>
      </w:r>
    </w:p>
    <w:p>
      <w:pPr>
        <w:spacing w:after="0" w:line="3" w:lineRule="exact"/>
        <w:rPr>
          <w:sz w:val="20"/>
          <w:szCs w:val="20"/>
          <w:color w:val="auto"/>
        </w:rPr>
      </w:pPr>
    </w:p>
    <w:p>
      <w:pPr>
        <w:jc w:val="center"/>
        <w:ind w:right="-13"/>
        <w:spacing w:after="0"/>
        <w:rPr>
          <w:sz w:val="20"/>
          <w:szCs w:val="20"/>
          <w:color w:val="auto"/>
        </w:rPr>
      </w:pPr>
      <w:r>
        <w:rPr>
          <w:rFonts w:ascii="Arial" w:cs="Arial" w:eastAsia="Arial" w:hAnsi="Arial"/>
          <w:sz w:val="18"/>
          <w:szCs w:val="18"/>
          <w:i w:val="1"/>
          <w:iCs w:val="1"/>
          <w:color w:val="auto"/>
        </w:rPr>
        <w:t>(Unaudited)</w:t>
      </w:r>
    </w:p>
    <w:p>
      <w:pPr>
        <w:spacing w:after="0" w:line="92" w:lineRule="exact"/>
        <w:rPr>
          <w:sz w:val="20"/>
          <w:szCs w:val="20"/>
          <w:color w:val="auto"/>
        </w:rPr>
      </w:pPr>
    </w:p>
    <w:tbl>
      <w:tblPr>
        <w:tblLayout w:type="fixed"/>
        <w:tblInd w:w="14" w:type="dxa"/>
        <w:tblCellMar>
          <w:top w:w="0" w:type="dxa"/>
          <w:left w:w="0" w:type="dxa"/>
          <w:bottom w:w="0" w:type="dxa"/>
          <w:right w:w="0" w:type="dxa"/>
        </w:tblCellMar>
      </w:tblPr>
      <w:tr>
        <w:trPr>
          <w:trHeight w:val="207"/>
        </w:trPr>
        <w:tc>
          <w:tcPr>
            <w:tcW w:w="4660" w:type="dxa"/>
            <w:vAlign w:val="bottom"/>
          </w:tcPr>
          <w:p>
            <w:pPr>
              <w:spacing w:after="0"/>
              <w:rPr>
                <w:sz w:val="17"/>
                <w:szCs w:val="17"/>
                <w:color w:val="auto"/>
              </w:rPr>
            </w:pPr>
          </w:p>
        </w:tc>
        <w:tc>
          <w:tcPr>
            <w:tcW w:w="2680" w:type="dxa"/>
            <w:vAlign w:val="bottom"/>
            <w:gridSpan w:val="4"/>
          </w:tcPr>
          <w:p>
            <w:pPr>
              <w:jc w:val="right"/>
              <w:ind w:right="171"/>
              <w:spacing w:after="0"/>
              <w:rPr>
                <w:sz w:val="20"/>
                <w:szCs w:val="20"/>
                <w:color w:val="auto"/>
              </w:rPr>
            </w:pPr>
            <w:r>
              <w:rPr>
                <w:rFonts w:ascii="Arial" w:cs="Arial" w:eastAsia="Arial" w:hAnsi="Arial"/>
                <w:sz w:val="18"/>
                <w:szCs w:val="18"/>
                <w:b w:val="1"/>
                <w:bCs w:val="1"/>
                <w:color w:val="auto"/>
              </w:rPr>
              <w:t>Three Months Ended</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60" w:type="dxa"/>
            <w:vAlign w:val="bottom"/>
            <w:gridSpan w:val="4"/>
          </w:tcPr>
          <w:p>
            <w:pPr>
              <w:jc w:val="right"/>
              <w:ind w:right="671"/>
              <w:spacing w:after="0"/>
              <w:rPr>
                <w:sz w:val="20"/>
                <w:szCs w:val="20"/>
                <w:color w:val="auto"/>
              </w:rPr>
            </w:pPr>
            <w:r>
              <w:rPr>
                <w:rFonts w:ascii="Arial" w:cs="Arial" w:eastAsia="Arial" w:hAnsi="Arial"/>
                <w:sz w:val="18"/>
                <w:szCs w:val="18"/>
                <w:b w:val="1"/>
                <w:bCs w:val="1"/>
                <w:color w:val="auto"/>
              </w:rPr>
              <w:t>Twelve Months Ended</w:t>
            </w:r>
          </w:p>
        </w:tc>
        <w:tc>
          <w:tcPr>
            <w:tcW w:w="0" w:type="dxa"/>
            <w:vAlign w:val="bottom"/>
          </w:tcPr>
          <w:p>
            <w:pPr>
              <w:spacing w:after="0"/>
              <w:rPr>
                <w:sz w:val="1"/>
                <w:szCs w:val="1"/>
                <w:color w:val="auto"/>
              </w:rPr>
            </w:pPr>
          </w:p>
        </w:tc>
      </w:tr>
      <w:tr>
        <w:trPr>
          <w:trHeight w:val="226"/>
        </w:trPr>
        <w:tc>
          <w:tcPr>
            <w:tcW w:w="466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ind w:right="471"/>
              <w:spacing w:after="0"/>
              <w:rPr>
                <w:sz w:val="20"/>
                <w:szCs w:val="20"/>
                <w:color w:val="auto"/>
              </w:rPr>
            </w:pPr>
            <w:r>
              <w:rPr>
                <w:rFonts w:ascii="Arial" w:cs="Arial" w:eastAsia="Arial" w:hAnsi="Arial"/>
                <w:sz w:val="18"/>
                <w:szCs w:val="18"/>
                <w:b w:val="1"/>
                <w:bCs w:val="1"/>
                <w:color w:val="auto"/>
                <w:w w:val="95"/>
              </w:rPr>
              <w:t>December 31,</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net loss</w:t>
            </w:r>
          </w:p>
        </w:tc>
        <w:tc>
          <w:tcPr>
            <w:tcW w:w="980" w:type="dxa"/>
            <w:vAlign w:val="bottom"/>
            <w:shd w:val="clear" w:color="auto" w:fill="CCEEFF"/>
          </w:tcPr>
          <w:p>
            <w:pPr>
              <w:jc w:val="right"/>
              <w:ind w:right="791"/>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(345.8)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1"/>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25"/>
        </w:trPr>
        <w:tc>
          <w:tcPr>
            <w:tcW w:w="466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261.5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261.2</w:t>
            </w:r>
          </w:p>
        </w:tc>
        <w:tc>
          <w:tcPr>
            <w:tcW w:w="0" w:type="dxa"/>
            <w:vAlign w:val="bottom"/>
          </w:tcPr>
          <w:p>
            <w:pPr>
              <w:spacing w:after="0"/>
              <w:rPr>
                <w:sz w:val="1"/>
                <w:szCs w:val="1"/>
                <w:color w:val="auto"/>
              </w:rPr>
            </w:pPr>
          </w:p>
        </w:tc>
      </w:tr>
      <w:tr>
        <w:trPr>
          <w:trHeight w:val="226"/>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Acquisition-related and other expenses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5"/>
        </w:trPr>
        <w:tc>
          <w:tcPr>
            <w:tcW w:w="4660" w:type="dxa"/>
            <w:vAlign w:val="bottom"/>
          </w:tcPr>
          <w:p>
            <w:pPr>
              <w:ind w:left="20"/>
              <w:spacing w:after="0"/>
              <w:rPr>
                <w:sz w:val="20"/>
                <w:szCs w:val="20"/>
                <w:color w:val="auto"/>
              </w:rPr>
            </w:pPr>
            <w:r>
              <w:rPr>
                <w:rFonts w:ascii="Arial" w:cs="Arial" w:eastAsia="Arial" w:hAnsi="Arial"/>
                <w:sz w:val="18"/>
                <w:szCs w:val="18"/>
                <w:color w:val="auto"/>
              </w:rPr>
              <w:t>Amortization of acquired intangible assets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6"/>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related to real estate assets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660" w:type="dxa"/>
            <w:vAlign w:val="bottom"/>
          </w:tcPr>
          <w:p>
            <w:pPr>
              <w:ind w:left="20"/>
              <w:spacing w:after="0"/>
              <w:rPr>
                <w:sz w:val="20"/>
                <w:szCs w:val="20"/>
                <w:color w:val="auto"/>
              </w:rPr>
            </w:pPr>
            <w:r>
              <w:rPr>
                <w:rFonts w:ascii="Arial" w:cs="Arial" w:eastAsia="Arial" w:hAnsi="Arial"/>
                <w:sz w:val="18"/>
                <w:szCs w:val="18"/>
                <w:color w:val="auto"/>
              </w:rPr>
              <w:t>Net (gains) losses on equity investments</w:t>
            </w:r>
          </w:p>
        </w:tc>
        <w:tc>
          <w:tcPr>
            <w:tcW w:w="98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6"/>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effects of non-GAAP adjustments</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20"/>
        </w:trPr>
        <w:tc>
          <w:tcPr>
            <w:tcW w:w="4660" w:type="dxa"/>
            <w:vAlign w:val="bottom"/>
          </w:tcPr>
          <w:p>
            <w:pPr>
              <w:ind w:left="20"/>
              <w:spacing w:after="0"/>
              <w:rPr>
                <w:sz w:val="20"/>
                <w:szCs w:val="20"/>
                <w:color w:val="auto"/>
              </w:rPr>
            </w:pPr>
            <w:r>
              <w:rPr>
                <w:rFonts w:ascii="Arial" w:cs="Arial" w:eastAsia="Arial" w:hAnsi="Arial"/>
                <w:sz w:val="18"/>
                <w:szCs w:val="18"/>
                <w:color w:val="auto"/>
              </w:rPr>
              <w:t>Non-GAAP net income</w:t>
            </w:r>
          </w:p>
        </w:tc>
        <w:tc>
          <w:tcPr>
            <w:tcW w:w="980" w:type="dxa"/>
            <w:vAlign w:val="bottom"/>
            <w:tcBorders>
              <w:bottom w:val="single" w:sz="8" w:color="auto"/>
            </w:tcBorders>
          </w:tcPr>
          <w:p>
            <w:pPr>
              <w:jc w:val="right"/>
              <w:ind w:right="791"/>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31"/>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391.1</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207.0</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diluted net income per share</w:t>
            </w:r>
          </w:p>
        </w:tc>
        <w:tc>
          <w:tcPr>
            <w:tcW w:w="980" w:type="dxa"/>
            <w:vAlign w:val="bottom"/>
            <w:tcBorders>
              <w:bottom w:val="single" w:sz="8" w:color="auto"/>
            </w:tcBorders>
            <w:shd w:val="clear" w:color="auto" w:fill="CCEEFF"/>
          </w:tcPr>
          <w:p>
            <w:pPr>
              <w:jc w:val="right"/>
              <w:ind w:right="791"/>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31"/>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line="160" w:lineRule="exact"/>
              <w:rPr>
                <w:sz w:val="20"/>
                <w:szCs w:val="20"/>
                <w:color w:val="auto"/>
              </w:rPr>
            </w:pPr>
            <w:r>
              <w:rPr>
                <w:rFonts w:ascii="Arial" w:cs="Arial" w:eastAsia="Arial" w:hAnsi="Arial"/>
                <w:sz w:val="18"/>
                <w:szCs w:val="18"/>
                <w:color w:val="auto"/>
                <w:w w:val="93"/>
              </w:rPr>
              <w:t>Weighted-average shares used to compute Non-GAAP diluted</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66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416.1</w:t>
            </w: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w w:val="97"/>
              </w:rPr>
              <w:t>417.9</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419.3</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416.6</w:t>
            </w:r>
          </w:p>
        </w:tc>
        <w:tc>
          <w:tcPr>
            <w:tcW w:w="0" w:type="dxa"/>
            <w:vAlign w:val="bottom"/>
          </w:tcPr>
          <w:p>
            <w:pPr>
              <w:spacing w:after="0"/>
              <w:rPr>
                <w:sz w:val="1"/>
                <w:szCs w:val="1"/>
                <w:color w:val="auto"/>
              </w:rPr>
            </w:pPr>
          </w:p>
        </w:tc>
      </w:tr>
      <w:tr>
        <w:trPr>
          <w:trHeight w:val="198"/>
        </w:trPr>
        <w:tc>
          <w:tcPr>
            <w:tcW w:w="4660" w:type="dxa"/>
            <w:vAlign w:val="bottom"/>
          </w:tcPr>
          <w:p>
            <w:pPr>
              <w:ind w:left="20"/>
              <w:spacing w:after="0" w:line="198" w:lineRule="exact"/>
              <w:rPr>
                <w:sz w:val="20"/>
                <w:szCs w:val="20"/>
                <w:color w:val="auto"/>
              </w:rPr>
            </w:pPr>
            <w:r>
              <w:rPr>
                <w:rFonts w:ascii="Arial" w:cs="Arial" w:eastAsia="Arial" w:hAnsi="Arial"/>
                <w:sz w:val="18"/>
                <w:szCs w:val="18"/>
                <w:color w:val="auto"/>
              </w:rPr>
              <w:t>net income per share</w:t>
            </w: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ind w:right="-13"/>
        <w:spacing w:after="0"/>
        <w:rPr>
          <w:sz w:val="20"/>
          <w:szCs w:val="20"/>
          <w:color w:val="auto"/>
        </w:rPr>
      </w:pPr>
      <w:r>
        <w:rPr>
          <w:rFonts w:ascii="Arial" w:cs="Arial" w:eastAsia="Arial" w:hAnsi="Arial"/>
          <w:sz w:val="19"/>
          <w:szCs w:val="19"/>
          <w:b w:val="1"/>
          <w:bCs w:val="1"/>
          <w:color w:val="auto"/>
        </w:rPr>
        <w:t>Dropbox, Inc.</w:t>
      </w:r>
    </w:p>
    <w:p>
      <w:pPr>
        <w:spacing w:after="0" w:line="29" w:lineRule="exact"/>
        <w:rPr>
          <w:sz w:val="20"/>
          <w:szCs w:val="20"/>
          <w:color w:val="auto"/>
        </w:rPr>
      </w:pPr>
    </w:p>
    <w:p>
      <w:pPr>
        <w:jc w:val="center"/>
        <w:ind w:right="-13"/>
        <w:spacing w:after="0"/>
        <w:rPr>
          <w:sz w:val="20"/>
          <w:szCs w:val="20"/>
          <w:color w:val="auto"/>
        </w:rPr>
      </w:pPr>
      <w:r>
        <w:rPr>
          <w:rFonts w:ascii="Arial" w:cs="Arial" w:eastAsia="Arial" w:hAnsi="Arial"/>
          <w:sz w:val="19"/>
          <w:szCs w:val="19"/>
          <w:b w:val="1"/>
          <w:bCs w:val="1"/>
          <w:color w:val="auto"/>
        </w:rPr>
        <w:t>Three and twelve months ended December 31, 2020 and 2019</w:t>
      </w:r>
    </w:p>
    <w:p>
      <w:pPr>
        <w:spacing w:after="0" w:line="7" w:lineRule="exact"/>
        <w:rPr>
          <w:sz w:val="20"/>
          <w:szCs w:val="20"/>
          <w:color w:val="auto"/>
        </w:rPr>
      </w:pPr>
    </w:p>
    <w:p>
      <w:pPr>
        <w:jc w:val="center"/>
        <w:ind w:right="-13"/>
        <w:spacing w:after="0"/>
        <w:rPr>
          <w:sz w:val="20"/>
          <w:szCs w:val="20"/>
          <w:color w:val="auto"/>
        </w:rPr>
      </w:pPr>
      <w:r>
        <w:rPr>
          <w:rFonts w:ascii="Arial" w:cs="Arial" w:eastAsia="Arial" w:hAnsi="Arial"/>
          <w:sz w:val="19"/>
          <w:szCs w:val="19"/>
          <w:b w:val="1"/>
          <w:bCs w:val="1"/>
          <w:color w:val="auto"/>
        </w:rPr>
        <w:t>Reconciliation of free cash flow and supplemental cash flow disclosure</w:t>
      </w:r>
    </w:p>
    <w:p>
      <w:pPr>
        <w:spacing w:after="0" w:line="10" w:lineRule="exact"/>
        <w:rPr>
          <w:sz w:val="20"/>
          <w:szCs w:val="20"/>
          <w:color w:val="auto"/>
        </w:rPr>
      </w:pPr>
    </w:p>
    <w:p>
      <w:pPr>
        <w:jc w:val="center"/>
        <w:ind w:right="-13"/>
        <w:spacing w:after="0"/>
        <w:rPr>
          <w:sz w:val="20"/>
          <w:szCs w:val="20"/>
          <w:color w:val="auto"/>
        </w:rPr>
      </w:pPr>
      <w:r>
        <w:rPr>
          <w:rFonts w:ascii="Arial" w:cs="Arial" w:eastAsia="Arial" w:hAnsi="Arial"/>
          <w:sz w:val="18"/>
          <w:szCs w:val="18"/>
          <w:i w:val="1"/>
          <w:iCs w:val="1"/>
          <w:color w:val="auto"/>
        </w:rPr>
        <w:t>(In millions, except for percentages)</w:t>
      </w:r>
    </w:p>
    <w:p>
      <w:pPr>
        <w:spacing w:after="0" w:line="3" w:lineRule="exact"/>
        <w:rPr>
          <w:sz w:val="20"/>
          <w:szCs w:val="20"/>
          <w:color w:val="auto"/>
        </w:rPr>
      </w:pPr>
    </w:p>
    <w:p>
      <w:pPr>
        <w:jc w:val="center"/>
        <w:ind w:right="-13"/>
        <w:spacing w:after="0"/>
        <w:rPr>
          <w:sz w:val="20"/>
          <w:szCs w:val="20"/>
          <w:color w:val="auto"/>
        </w:rPr>
      </w:pPr>
      <w:r>
        <w:rPr>
          <w:rFonts w:ascii="Arial" w:cs="Arial" w:eastAsia="Arial" w:hAnsi="Arial"/>
          <w:sz w:val="18"/>
          <w:szCs w:val="18"/>
          <w:i w:val="1"/>
          <w:iCs w:val="1"/>
          <w:color w:val="auto"/>
        </w:rPr>
        <w:t>(Unaudited)</w:t>
      </w:r>
    </w:p>
    <w:p>
      <w:pPr>
        <w:spacing w:after="0" w:line="92" w:lineRule="exact"/>
        <w:rPr>
          <w:sz w:val="20"/>
          <w:szCs w:val="20"/>
          <w:color w:val="auto"/>
        </w:rPr>
      </w:pPr>
    </w:p>
    <w:tbl>
      <w:tblPr>
        <w:tblLayout w:type="fixed"/>
        <w:tblInd w:w="14" w:type="dxa"/>
        <w:tblCellMar>
          <w:top w:w="0" w:type="dxa"/>
          <w:left w:w="0" w:type="dxa"/>
          <w:bottom w:w="0" w:type="dxa"/>
          <w:right w:w="0" w:type="dxa"/>
        </w:tblCellMar>
      </w:tblPr>
      <w:tr>
        <w:trPr>
          <w:trHeight w:val="207"/>
        </w:trPr>
        <w:tc>
          <w:tcPr>
            <w:tcW w:w="4380" w:type="dxa"/>
            <w:vAlign w:val="bottom"/>
          </w:tcPr>
          <w:p>
            <w:pPr>
              <w:spacing w:after="0"/>
              <w:rPr>
                <w:sz w:val="18"/>
                <w:szCs w:val="18"/>
                <w:color w:val="auto"/>
              </w:rPr>
            </w:pPr>
          </w:p>
        </w:tc>
        <w:tc>
          <w:tcPr>
            <w:tcW w:w="2720" w:type="dxa"/>
            <w:vAlign w:val="bottom"/>
            <w:gridSpan w:val="4"/>
          </w:tcPr>
          <w:p>
            <w:pPr>
              <w:jc w:val="right"/>
              <w:ind w:right="151"/>
              <w:spacing w:after="0"/>
              <w:rPr>
                <w:sz w:val="20"/>
                <w:szCs w:val="20"/>
                <w:color w:val="auto"/>
              </w:rPr>
            </w:pPr>
            <w:r>
              <w:rPr>
                <w:rFonts w:ascii="Arial" w:cs="Arial" w:eastAsia="Arial" w:hAnsi="Arial"/>
                <w:sz w:val="18"/>
                <w:szCs w:val="18"/>
                <w:b w:val="1"/>
                <w:bCs w:val="1"/>
                <w:color w:val="auto"/>
              </w:rPr>
              <w:t>Three Months Ended</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0" w:type="dxa"/>
            <w:vAlign w:val="bottom"/>
            <w:gridSpan w:val="4"/>
          </w:tcPr>
          <w:p>
            <w:pPr>
              <w:jc w:val="right"/>
              <w:ind w:right="751"/>
              <w:spacing w:after="0"/>
              <w:rPr>
                <w:sz w:val="20"/>
                <w:szCs w:val="20"/>
                <w:color w:val="auto"/>
              </w:rPr>
            </w:pPr>
            <w:r>
              <w:rPr>
                <w:rFonts w:ascii="Arial" w:cs="Arial" w:eastAsia="Arial" w:hAnsi="Arial"/>
                <w:sz w:val="18"/>
                <w:szCs w:val="18"/>
                <w:b w:val="1"/>
                <w:bCs w:val="1"/>
                <w:color w:val="auto"/>
              </w:rPr>
              <w:t>Twelve Months Ended</w:t>
            </w:r>
          </w:p>
        </w:tc>
        <w:tc>
          <w:tcPr>
            <w:tcW w:w="0" w:type="dxa"/>
            <w:vAlign w:val="bottom"/>
          </w:tcPr>
          <w:p>
            <w:pPr>
              <w:spacing w:after="0"/>
              <w:rPr>
                <w:sz w:val="1"/>
                <w:szCs w:val="1"/>
                <w:color w:val="auto"/>
              </w:rPr>
            </w:pPr>
          </w:p>
        </w:tc>
      </w:tr>
      <w:tr>
        <w:trPr>
          <w:trHeight w:val="226"/>
        </w:trPr>
        <w:tc>
          <w:tcPr>
            <w:tcW w:w="438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ind w:right="431"/>
              <w:spacing w:after="0"/>
              <w:rPr>
                <w:sz w:val="20"/>
                <w:szCs w:val="20"/>
                <w:color w:val="auto"/>
              </w:rPr>
            </w:pPr>
            <w:r>
              <w:rPr>
                <w:rFonts w:ascii="Arial" w:cs="Arial" w:eastAsia="Arial" w:hAnsi="Arial"/>
                <w:sz w:val="18"/>
                <w:szCs w:val="18"/>
                <w:b w:val="1"/>
                <w:bCs w:val="1"/>
                <w:color w:val="auto"/>
              </w:rPr>
              <w:t>December 31,</w:t>
            </w:r>
          </w:p>
        </w:tc>
        <w:tc>
          <w:tcPr>
            <w:tcW w:w="6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6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6"/>
        </w:trPr>
        <w:tc>
          <w:tcPr>
            <w:tcW w:w="438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Free cash flow reconciliation:</w:t>
            </w: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38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000" w:type="dxa"/>
            <w:vAlign w:val="bottom"/>
          </w:tcPr>
          <w:p>
            <w:pPr>
              <w:jc w:val="right"/>
              <w:ind w:right="811"/>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w w:val="84"/>
              </w:rPr>
              <w:t>170.7</w:t>
            </w:r>
          </w:p>
        </w:tc>
        <w:tc>
          <w:tcPr>
            <w:tcW w:w="100" w:type="dxa"/>
            <w:vAlign w:val="bottom"/>
          </w:tcPr>
          <w:p>
            <w:pPr>
              <w:spacing w:after="0"/>
              <w:rPr>
                <w:sz w:val="19"/>
                <w:szCs w:val="19"/>
                <w:color w:val="auto"/>
              </w:rPr>
            </w:pPr>
          </w:p>
        </w:tc>
        <w:tc>
          <w:tcPr>
            <w:tcW w:w="1000" w:type="dxa"/>
            <w:vAlign w:val="bottom"/>
          </w:tcPr>
          <w:p>
            <w:pPr>
              <w:jc w:val="right"/>
              <w:ind w:right="791"/>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11"/>
              <w:spacing w:after="0"/>
              <w:rPr>
                <w:sz w:val="20"/>
                <w:szCs w:val="20"/>
                <w:color w:val="auto"/>
              </w:rPr>
            </w:pPr>
            <w:r>
              <w:rPr>
                <w:rFonts w:ascii="Arial" w:cs="Arial" w:eastAsia="Arial" w:hAnsi="Arial"/>
                <w:sz w:val="18"/>
                <w:szCs w:val="18"/>
                <w:color w:val="auto"/>
                <w:w w:val="88"/>
              </w:rPr>
              <w:t>186.8</w:t>
            </w:r>
          </w:p>
        </w:tc>
        <w:tc>
          <w:tcPr>
            <w:tcW w:w="12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570.8</w:t>
            </w:r>
          </w:p>
        </w:tc>
        <w:tc>
          <w:tcPr>
            <w:tcW w:w="120" w:type="dxa"/>
            <w:vAlign w:val="bottom"/>
          </w:tcPr>
          <w:p>
            <w:pPr>
              <w:spacing w:after="0"/>
              <w:rPr>
                <w:sz w:val="19"/>
                <w:szCs w:val="19"/>
                <w:color w:val="auto"/>
              </w:rPr>
            </w:pPr>
          </w:p>
        </w:tc>
        <w:tc>
          <w:tcPr>
            <w:tcW w:w="540" w:type="dxa"/>
            <w:vAlign w:val="bottom"/>
          </w:tcPr>
          <w:p>
            <w:pPr>
              <w:jc w:val="right"/>
              <w:ind w:right="351"/>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528.5</w:t>
            </w:r>
          </w:p>
        </w:tc>
        <w:tc>
          <w:tcPr>
            <w:tcW w:w="0" w:type="dxa"/>
            <w:vAlign w:val="bottom"/>
          </w:tcPr>
          <w:p>
            <w:pPr>
              <w:spacing w:after="0"/>
              <w:rPr>
                <w:sz w:val="1"/>
                <w:szCs w:val="1"/>
                <w:color w:val="auto"/>
              </w:rPr>
            </w:pPr>
          </w:p>
        </w:tc>
      </w:tr>
      <w:tr>
        <w:trPr>
          <w:trHeight w:val="226"/>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3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Capital expenditures</w:t>
            </w: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3"/>
              </w:rPr>
              <w:t>(12.3)</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3"/>
              </w:rPr>
              <w:t>(25.5)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(80.1)</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45"/>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1000" w:type="dxa"/>
            <w:vAlign w:val="bottom"/>
            <w:tcBorders>
              <w:bottom w:val="single" w:sz="8" w:color="auto"/>
            </w:tcBorders>
            <w:shd w:val="clear" w:color="auto" w:fill="CCEEFF"/>
          </w:tcPr>
          <w:p>
            <w:pPr>
              <w:jc w:val="right"/>
              <w:ind w:right="811"/>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84"/>
              </w:rPr>
              <w:t>158.4</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791"/>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88"/>
              </w:rPr>
              <w:t>161.3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490.7</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392.4</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i w:val="1"/>
                <w:iCs w:val="1"/>
                <w:color w:val="auto"/>
              </w:rPr>
              <w:t>Free cash flow margin</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38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jc w:val="right"/>
              <w:spacing w:after="0" w:line="198" w:lineRule="exact"/>
              <w:rPr>
                <w:sz w:val="20"/>
                <w:szCs w:val="20"/>
                <w:color w:val="auto"/>
              </w:rPr>
            </w:pPr>
            <w:r>
              <w:rPr>
                <w:rFonts w:ascii="Arial" w:cs="Arial" w:eastAsia="Arial" w:hAnsi="Arial"/>
                <w:sz w:val="18"/>
                <w:szCs w:val="18"/>
                <w:color w:val="auto"/>
              </w:rPr>
              <w:t>31.4 %</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jc w:val="right"/>
              <w:spacing w:after="0" w:line="198" w:lineRule="exact"/>
              <w:rPr>
                <w:sz w:val="20"/>
                <w:szCs w:val="20"/>
                <w:color w:val="auto"/>
              </w:rPr>
            </w:pPr>
            <w:r>
              <w:rPr>
                <w:rFonts w:ascii="Arial" w:cs="Arial" w:eastAsia="Arial" w:hAnsi="Arial"/>
                <w:sz w:val="18"/>
                <w:szCs w:val="18"/>
                <w:color w:val="auto"/>
              </w:rPr>
              <w:t>36.2 %</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spacing w:after="0" w:line="198" w:lineRule="exact"/>
              <w:rPr>
                <w:sz w:val="20"/>
                <w:szCs w:val="20"/>
                <w:color w:val="auto"/>
              </w:rPr>
            </w:pPr>
            <w:r>
              <w:rPr>
                <w:rFonts w:ascii="Arial" w:cs="Arial" w:eastAsia="Arial" w:hAnsi="Arial"/>
                <w:sz w:val="18"/>
                <w:szCs w:val="18"/>
                <w:color w:val="auto"/>
              </w:rPr>
              <w:t>25.6 %</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jc w:val="right"/>
              <w:spacing w:after="0" w:line="198" w:lineRule="exact"/>
              <w:rPr>
                <w:sz w:val="20"/>
                <w:szCs w:val="20"/>
                <w:color w:val="auto"/>
              </w:rPr>
            </w:pPr>
            <w:r>
              <w:rPr>
                <w:rFonts w:ascii="Arial" w:cs="Arial" w:eastAsia="Arial" w:hAnsi="Arial"/>
                <w:sz w:val="18"/>
                <w:szCs w:val="18"/>
                <w:color w:val="auto"/>
              </w:rPr>
              <w:t>23.6 %</w:t>
            </w:r>
          </w:p>
        </w:tc>
        <w:tc>
          <w:tcPr>
            <w:tcW w:w="0" w:type="dxa"/>
            <w:vAlign w:val="bottom"/>
          </w:tcPr>
          <w:p>
            <w:pPr>
              <w:spacing w:after="0"/>
              <w:rPr>
                <w:sz w:val="1"/>
                <w:szCs w:val="1"/>
                <w:color w:val="auto"/>
              </w:rPr>
            </w:pPr>
          </w:p>
        </w:tc>
      </w:tr>
      <w:tr>
        <w:trPr>
          <w:trHeight w:val="226"/>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380" w:type="dxa"/>
            <w:vAlign w:val="bottom"/>
          </w:tcPr>
          <w:p>
            <w:pPr>
              <w:ind w:left="220"/>
              <w:spacing w:after="0" w:line="173" w:lineRule="exact"/>
              <w:rPr>
                <w:sz w:val="20"/>
                <w:szCs w:val="20"/>
                <w:color w:val="auto"/>
              </w:rPr>
            </w:pPr>
            <w:r>
              <w:rPr>
                <w:rFonts w:ascii="Arial" w:cs="Arial" w:eastAsia="Arial" w:hAnsi="Arial"/>
                <w:sz w:val="18"/>
                <w:szCs w:val="18"/>
                <w:color w:val="auto"/>
              </w:rPr>
              <w:t>Capital expenditures related to our corporate</w:t>
            </w:r>
          </w:p>
        </w:tc>
        <w:tc>
          <w:tcPr>
            <w:tcW w:w="1000" w:type="dxa"/>
            <w:vAlign w:val="bottom"/>
            <w:vMerge w:val="restart"/>
          </w:tcPr>
          <w:p>
            <w:pPr>
              <w:jc w:val="right"/>
              <w:ind w:right="811"/>
              <w:spacing w:after="0"/>
              <w:rPr>
                <w:sz w:val="20"/>
                <w:szCs w:val="20"/>
                <w:color w:val="auto"/>
              </w:rPr>
            </w:pPr>
            <w:r>
              <w:rPr>
                <w:rFonts w:ascii="Arial" w:cs="Arial" w:eastAsia="Arial" w:hAnsi="Arial"/>
                <w:sz w:val="18"/>
                <w:szCs w:val="18"/>
                <w:color w:val="auto"/>
                <w:w w:val="79"/>
              </w:rPr>
              <w:t>$</w:t>
            </w:r>
          </w:p>
        </w:tc>
        <w:tc>
          <w:tcPr>
            <w:tcW w:w="620" w:type="dxa"/>
            <w:vAlign w:val="bottom"/>
            <w:vMerge w:val="restart"/>
          </w:tcPr>
          <w:p>
            <w:pPr>
              <w:jc w:val="right"/>
              <w:ind w:right="13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5"/>
                <w:szCs w:val="15"/>
                <w:color w:val="auto"/>
              </w:rPr>
            </w:pPr>
          </w:p>
        </w:tc>
        <w:tc>
          <w:tcPr>
            <w:tcW w:w="1000" w:type="dxa"/>
            <w:vAlign w:val="bottom"/>
            <w:vMerge w:val="restart"/>
          </w:tcPr>
          <w:p>
            <w:pPr>
              <w:jc w:val="right"/>
              <w:ind w:right="791"/>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ind w:right="111"/>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5"/>
                <w:szCs w:val="15"/>
                <w:color w:val="auto"/>
              </w:rPr>
            </w:pPr>
          </w:p>
        </w:tc>
        <w:tc>
          <w:tcPr>
            <w:tcW w:w="360" w:type="dxa"/>
            <w:vAlign w:val="bottom"/>
            <w:vMerge w:val="restart"/>
          </w:tcPr>
          <w:p>
            <w:pPr>
              <w:jc w:val="right"/>
              <w:ind w:right="171"/>
              <w:spacing w:after="0"/>
              <w:rPr>
                <w:sz w:val="20"/>
                <w:szCs w:val="20"/>
                <w:color w:val="auto"/>
              </w:rPr>
            </w:pPr>
            <w:r>
              <w:rPr>
                <w:rFonts w:ascii="Arial" w:cs="Arial" w:eastAsia="Arial" w:hAnsi="Arial"/>
                <w:sz w:val="18"/>
                <w:szCs w:val="18"/>
                <w:color w:val="auto"/>
                <w:w w:val="79"/>
              </w:rPr>
              <w:t>$</w:t>
            </w:r>
          </w:p>
        </w:tc>
        <w:tc>
          <w:tcPr>
            <w:tcW w:w="1260" w:type="dxa"/>
            <w:vAlign w:val="bottom"/>
            <w:vMerge w:val="restart"/>
          </w:tcPr>
          <w:p>
            <w:pPr>
              <w:jc w:val="right"/>
              <w:ind w:right="111"/>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15"/>
                <w:szCs w:val="15"/>
                <w:color w:val="auto"/>
              </w:rPr>
            </w:pPr>
          </w:p>
        </w:tc>
        <w:tc>
          <w:tcPr>
            <w:tcW w:w="540" w:type="dxa"/>
            <w:vAlign w:val="bottom"/>
            <w:vMerge w:val="restart"/>
          </w:tcPr>
          <w:p>
            <w:pPr>
              <w:jc w:val="right"/>
              <w:ind w:right="351"/>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ind w:right="111"/>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04"/>
        </w:trPr>
        <w:tc>
          <w:tcPr>
            <w:tcW w:w="4380" w:type="dxa"/>
            <w:vAlign w:val="bottom"/>
          </w:tcPr>
          <w:p>
            <w:pPr>
              <w:ind w:left="220"/>
              <w:spacing w:after="0" w:line="199" w:lineRule="exact"/>
              <w:rPr>
                <w:sz w:val="20"/>
                <w:szCs w:val="20"/>
                <w:color w:val="auto"/>
              </w:rPr>
            </w:pPr>
            <w:r>
              <w:rPr>
                <w:rFonts w:ascii="Arial" w:cs="Arial" w:eastAsia="Arial" w:hAnsi="Arial"/>
                <w:sz w:val="18"/>
                <w:szCs w:val="18"/>
                <w:color w:val="auto"/>
                <w:w w:val="94"/>
              </w:rPr>
              <w:t>headquarters, net of tenant improvement allowances</w:t>
            </w:r>
            <w:r>
              <w:rPr>
                <w:rFonts w:ascii="Arial" w:cs="Arial" w:eastAsia="Arial" w:hAnsi="Arial"/>
                <w:sz w:val="23"/>
                <w:szCs w:val="23"/>
                <w:color w:val="auto"/>
                <w:w w:val="94"/>
                <w:vertAlign w:val="superscript"/>
              </w:rPr>
              <w:t>(1)</w:t>
            </w:r>
          </w:p>
        </w:tc>
        <w:tc>
          <w:tcPr>
            <w:tcW w:w="100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380" w:type="dxa"/>
            <w:vAlign w:val="bottom"/>
            <w:shd w:val="clear" w:color="auto" w:fill="CCEEFF"/>
          </w:tcPr>
          <w:p>
            <w:pPr>
              <w:ind w:left="220"/>
              <w:spacing w:after="0" w:line="139" w:lineRule="exact"/>
              <w:rPr>
                <w:sz w:val="20"/>
                <w:szCs w:val="20"/>
                <w:color w:val="auto"/>
              </w:rPr>
            </w:pPr>
            <w:r>
              <w:rPr>
                <w:rFonts w:ascii="Arial" w:cs="Arial" w:eastAsia="Arial" w:hAnsi="Arial"/>
                <w:sz w:val="15"/>
                <w:szCs w:val="15"/>
                <w:color w:val="auto"/>
              </w:rPr>
              <w:t>Key employee holdback payments related to the</w:t>
            </w:r>
          </w:p>
        </w:tc>
        <w:tc>
          <w:tcPr>
            <w:tcW w:w="1000" w:type="dxa"/>
            <w:vAlign w:val="bottom"/>
            <w:vMerge w:val="restart"/>
            <w:shd w:val="clear" w:color="auto" w:fill="CCEEFF"/>
          </w:tcPr>
          <w:p>
            <w:pPr>
              <w:jc w:val="right"/>
              <w:ind w:right="811"/>
              <w:spacing w:after="0"/>
              <w:rPr>
                <w:sz w:val="20"/>
                <w:szCs w:val="20"/>
                <w:color w:val="auto"/>
              </w:rPr>
            </w:pPr>
            <w:r>
              <w:rPr>
                <w:rFonts w:ascii="Arial" w:cs="Arial" w:eastAsia="Arial" w:hAnsi="Arial"/>
                <w:sz w:val="18"/>
                <w:szCs w:val="18"/>
                <w:color w:val="auto"/>
                <w:w w:val="79"/>
              </w:rPr>
              <w:t>$</w:t>
            </w:r>
          </w:p>
        </w:tc>
        <w:tc>
          <w:tcPr>
            <w:tcW w:w="62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791"/>
              <w:spacing w:after="0"/>
              <w:rPr>
                <w:sz w:val="20"/>
                <w:szCs w:val="20"/>
                <w:color w:val="auto"/>
              </w:rPr>
            </w:pPr>
            <w:r>
              <w:rPr>
                <w:rFonts w:ascii="Arial" w:cs="Arial" w:eastAsia="Arial" w:hAnsi="Arial"/>
                <w:sz w:val="18"/>
                <w:szCs w:val="18"/>
                <w:color w:val="auto"/>
                <w:w w:val="99"/>
              </w:rPr>
              <w:t>$</w:t>
            </w:r>
          </w:p>
        </w:tc>
        <w:tc>
          <w:tcPr>
            <w:tcW w:w="74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vMerge w:val="restart"/>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260" w:type="dxa"/>
            <w:vAlign w:val="bottom"/>
            <w:vMerge w:val="restart"/>
            <w:shd w:val="clear" w:color="auto" w:fill="CCEEFF"/>
          </w:tcPr>
          <w:p>
            <w:pPr>
              <w:jc w:val="right"/>
              <w:ind w:right="111"/>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ind w:right="351"/>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220"/>
              <w:spacing w:after="0" w:line="199" w:lineRule="exact"/>
              <w:rPr>
                <w:sz w:val="20"/>
                <w:szCs w:val="20"/>
                <w:color w:val="auto"/>
              </w:rPr>
            </w:pPr>
            <w:r>
              <w:rPr>
                <w:rFonts w:ascii="Arial" w:cs="Arial" w:eastAsia="Arial" w:hAnsi="Arial"/>
                <w:sz w:val="18"/>
                <w:szCs w:val="18"/>
                <w:color w:val="auto"/>
              </w:rPr>
              <w:t>acquisition of HelloSign</w:t>
            </w:r>
            <w:r>
              <w:rPr>
                <w:rFonts w:ascii="Arial" w:cs="Arial" w:eastAsia="Arial" w:hAnsi="Arial"/>
                <w:sz w:val="23"/>
                <w:szCs w:val="23"/>
                <w:color w:val="auto"/>
                <w:vertAlign w:val="superscript"/>
              </w:rPr>
              <w:t>(2)</w:t>
            </w:r>
          </w:p>
        </w:tc>
        <w:tc>
          <w:tcPr>
            <w:tcW w:w="1000" w:type="dxa"/>
            <w:vAlign w:val="bottom"/>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2" w:lineRule="exact"/>
        <w:rPr>
          <w:sz w:val="20"/>
          <w:szCs w:val="20"/>
          <w:color w:val="auto"/>
        </w:rPr>
      </w:pPr>
    </w:p>
    <w:p>
      <w:pPr>
        <w:ind w:left="-6" w:right="280" w:firstLine="6"/>
        <w:spacing w:after="0" w:line="270" w:lineRule="auto"/>
        <w:tabs>
          <w:tab w:leader="none" w:pos="154"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Capital expenditures include cash outflows related to the build-out of our corporate headquarters in San Francisco, CA. Net cash provided by operating activities include tenant improvement allowances related to our corporate headquarters, and represents cash received from our landlord to partially offset this build-out. These amounts are presented net in the table above.</w:t>
      </w:r>
    </w:p>
    <w:p>
      <w:pPr>
        <w:spacing w:after="0" w:line="201" w:lineRule="exact"/>
        <w:rPr>
          <w:rFonts w:ascii="Arial" w:cs="Arial" w:eastAsia="Arial" w:hAnsi="Arial"/>
          <w:sz w:val="18"/>
          <w:szCs w:val="18"/>
          <w:color w:val="auto"/>
          <w:vertAlign w:val="superscript"/>
        </w:rPr>
      </w:pPr>
    </w:p>
    <w:p>
      <w:pPr>
        <w:ind w:left="-6" w:right="60" w:firstLine="6"/>
        <w:spacing w:after="0" w:line="270" w:lineRule="auto"/>
        <w:tabs>
          <w:tab w:leader="none" w:pos="154"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As part of our acquisition of HelloSign in 2019, we have employee holdback agreements with key HelloSign personnel consisting of $48.5 million in cash payments subject to on-going employee service. The related expenses are recognized within research and development expenses over the required service period of three years. The payments began in the first quarter of 2020, and will be paid evenly in quarterly installments over the remaining required service period.</w:t>
      </w:r>
    </w:p>
    <w:p>
      <w:pPr>
        <w:sectPr>
          <w:pgSz w:w="11900" w:h="16838" w:orient="portrait"/>
          <w:cols w:equalWidth="0" w:num="1">
            <w:col w:w="11214"/>
          </w:cols>
          <w:pgMar w:left="326" w:top="874"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About Non-GAAP Financial Measures</w:t>
      </w:r>
    </w:p>
    <w:p>
      <w:pPr>
        <w:spacing w:after="0" w:line="251"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To provide investors and others with additional information regarding Dropbox's results, we have disclosed the following non-GAAP financial measures: revenue growth and Total ARR growth excluding foreign exchange effect, which we refer to as on a constant currency basis, non-GAAP cost of revenue, non-GAAP gross profit, non-GAAP operating expenses (including research and development, sales and marketing and general and administrative), non-GAAP income from operations, non-GAAP net income, free cash flow ("FCF") and non-GAAP diluted net income per share. Dropbox has provided a reconciliation of each non-GAAP financial measure used in this earnings release to the most directly comparable GAAP financial measure. Non-GAAP cost of revenue, gross profit, operating expenses, income from operations, and net income differ from GAAP in that they exclude stock-based compensation expense, amortization of acquired intangible assets, other acquisition-related expenses, which include third-party diligence costs and expenses related to key employee holdback agreements, and impairment charges related to real estate assets. Non-GAAP net income also excludes net gains and losses on equity investments, and includes the income tax effect of the aforementioned adjustments. FCF differs from GAAP net cash provided by operating activities in that it treats capital expenditures as a reduction to net cash provided by operating activities. Free cash flow margin is calculated as FCF divided by revenue. Non-GAAP diluted net income per share differs from GAAP diluted net loss per share in that the numerator utilizes the non-GAAP net income as described above, and the weighted average shares used in the computation include certain shares that are excluded from the GAAP diluted net loss per share calculation because their effect would have been anti-dilutive. For periods that we are in a GAAP net income position, the weighted average shares used in the computation are the same as the shares used in our non-GAAP diluted net income per share computation. In order to present revenue on a constant currency basis for the fiscal year and quarter ended December 31, 2020, Dropbox calculates constant currency revenue growth rates by applying the prior period weighted average exchange rates to current period results. Dropbox calculates constant currency Total ARR growth rates by applying the current period rate to prior period results. Dropbox presents constant currency information to provide a framework for assessing how our underlying business performed excluding the effect of foreign currency rate fluctuations.</w:t>
      </w:r>
    </w:p>
    <w:p>
      <w:pPr>
        <w:spacing w:after="0" w:line="399"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color w:val="auto"/>
        </w:rPr>
        <w:t>Dropbox's management uses these non-GAAP financial measures to understand and compare operating results across accounting periods, for internal budgeting and forecasting purposes, for short and long-term operating plans, and to evaluate Dropbox's financial performance and the ability to generate cash from operations. Management believes these non-GAAP financial measures reflect Dropbox's ongoing business in a manner that allows for meaningful period-to-period comparisons and analysis of trends in Dropbox's business, as they exclude expenses that are not reflective of ongoing operating results. Management also believes that these non-GAAP financial measures provide useful supplemental information to investors and others in understanding and evaluating Dropbox's operating results and future prospects in the same manner as management and in comparing financial results across accounting periods and to those of peer companies.</w:t>
      </w:r>
    </w:p>
    <w:p>
      <w:pPr>
        <w:spacing w:after="0" w:line="22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believe that the non-GAAP financial measures, non-GAAP cost of revenue, gross profit, operating expenses, income from operations, net income, and diluted net income per share are meaningful to investors because they help identify underlying trends in our business that could otherwise be masked by the effect of the expenses that we exclude.</w:t>
      </w:r>
    </w:p>
    <w:p>
      <w:pPr>
        <w:spacing w:after="0" w:line="214"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We believe that FCF is an indicator of our liquidity over the long term, and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finance leases, includes capital expenditures related to our corporate headquarters, and may be calculated differently by other companies in our industry, limiting its usefulness as a comparative measure.</w:t>
      </w:r>
    </w:p>
    <w:p>
      <w:pPr>
        <w:spacing w:after="0" w:line="210"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The use of non-GAAP cost of revenue, gross profit, operating expenses, income from operations, net income, free cash flow, and diluted net income per share measures has certain limitations as they do not reflect all items of income, expense, and cash expenditures, as applicable, that affect Dropbox's operations. Dropbox mitigates these limitations by reconciling the non-GAAP financial measures to the most comparable GAAP financial measures. Additionally, we have provided supplemental disclosures in our reconciliation of net cash provided by operating activities to free cash flow to include capital expenditures related to our corporate headquarters, net of tenant improvement allowances and key employee holdback payments related to the acquisition of HelloSign. These non-GAAP financial measures should be considered in addition to, not as a substitute for or in isolation from, measures prepared in accordance with GAAP. Further, these non-GAAP measures may differ from the non-GAAP information used by other companies, including peer companies, and therefore comparability may be limited. Management encourages investors and others to review Dropbox's financial information in its entirety and not rely on a single financial measure.</w:t>
      </w:r>
    </w:p>
    <w:p>
      <w:pPr>
        <w:sectPr>
          <w:pgSz w:w="11900" w:h="16838" w:orient="portrait"/>
          <w:cols w:equalWidth="0" w:num="1">
            <w:col w:w="11240"/>
          </w:cols>
          <w:pgMar w:left="320" w:top="87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Contacts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Rob Bradley</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ir@dropbox.com</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Tessa Chen</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press@dropbox.com</w:t>
      </w:r>
    </w:p>
    <w:sectPr>
      <w:pgSz w:w="11900" w:h="16838" w:orient="portrait"/>
      <w:cols w:equalWidth="0" w:num="1">
        <w:col w:w="10139"/>
      </w:cols>
      <w:pgMar w:left="320" w:top="87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decimal"/>
    </w:lvl>
    <w:lvl w:ilvl="1">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2"/>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2021-02-18T15:09:39Z</dcterms:created>
  <dcterms:modified xsi:type="dcterms:W3CDTF">2021-02-18T15:09:39Z</dcterms:modified>
</cp:coreProperties>
</file>