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45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5719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Rangan Yamini</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7"/>
        <w:spacing w:after="0"/>
        <w:rPr>
          <w:sz w:val="20"/>
          <w:szCs w:val="20"/>
          <w:color w:val="auto"/>
        </w:rPr>
      </w:pPr>
      <w:r>
        <w:rPr>
          <w:rFonts w:ascii="Arial" w:cs="Arial" w:eastAsia="Arial" w:hAnsi="Arial"/>
          <w:sz w:val="17"/>
          <w:szCs w:val="17"/>
          <w:color w:val="0000FF"/>
        </w:rPr>
        <w:t>Chief Customer Officer</w:t>
      </w:r>
    </w:p>
    <w:p>
      <w:pPr>
        <w:spacing w:after="0" w:line="33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6"/>
          </w:tcPr>
          <w:p>
            <w:pPr>
              <w:jc w:val="center"/>
              <w:ind w:right="54"/>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11/15/2018</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5,251</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208,465</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11/15/2018</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5,917</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23.56</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202,548</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jc w:val="right"/>
              <w:ind w:right="395"/>
              <w:spacing w:after="0"/>
              <w:rPr>
                <w:sz w:val="20"/>
                <w:szCs w:val="20"/>
                <w:color w:val="auto"/>
              </w:rPr>
            </w:pPr>
            <w:r>
              <w:rPr>
                <w:rFonts w:ascii="Arial" w:cs="Arial" w:eastAsia="Arial" w:hAnsi="Arial"/>
                <w:sz w:val="12"/>
                <w:szCs w:val="12"/>
                <w:b w:val="1"/>
                <w:bCs w:val="1"/>
                <w:color w:val="auto"/>
                <w:w w:val="99"/>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(1)</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5,251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46,829</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11/15/2018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C</w:t>
            </w:r>
          </w:p>
        </w:tc>
        <w:tc>
          <w:tcPr>
            <w:tcW w:w="1020" w:type="dxa"/>
            <w:vAlign w:val="bottom"/>
          </w:tcPr>
          <w:p>
            <w:pPr>
              <w:jc w:val="right"/>
              <w:ind w:right="119"/>
              <w:spacing w:after="0" w:line="148" w:lineRule="exact"/>
              <w:rPr>
                <w:sz w:val="20"/>
                <w:szCs w:val="20"/>
                <w:color w:val="auto"/>
              </w:rPr>
            </w:pPr>
            <w:r>
              <w:rPr>
                <w:rFonts w:ascii="Arial" w:cs="Arial" w:eastAsia="Arial" w:hAnsi="Arial"/>
                <w:sz w:val="13"/>
                <w:szCs w:val="13"/>
                <w:color w:val="0000FF"/>
              </w:rPr>
              <w:t>5,251</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9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3"/>
                <w:szCs w:val="13"/>
                <w:color w:val="0000FF"/>
              </w:rPr>
              <w:t>5,165</w:t>
            </w:r>
            <w:r>
              <w:rPr>
                <w:rFonts w:ascii="Arial" w:cs="Arial" w:eastAsia="Arial" w:hAnsi="Arial"/>
                <w:sz w:val="22"/>
                <w:szCs w:val="22"/>
                <w:color w:val="008000"/>
                <w:vertAlign w:val="superscript"/>
              </w:rPr>
              <w:t>(3)</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5,165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41,664</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11/15/2018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5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23.56</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5,251 shares of Class B Common Stock were converted into 5,251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August 15, 2022. In the event the Reporting Person ceases to be a Service Provider, the unvested restricted stock units will be cancelled by the Issuer.</w:t>
      </w:r>
    </w:p>
    <w:p>
      <w:pPr>
        <w:spacing w:after="0" w:line="11" w:lineRule="exact"/>
        <w:rPr>
          <w:rFonts w:ascii="Arial" w:cs="Arial" w:eastAsia="Arial" w:hAnsi="Arial"/>
          <w:sz w:val="13"/>
          <w:szCs w:val="13"/>
          <w:color w:val="008000"/>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40" w:right="3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November 15, 2019. In the event the Reporting Person ceases to be a Service Provider, the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6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11/19/2018</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40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2019-12-24T07:50:27Z</dcterms:created>
  <dcterms:modified xsi:type="dcterms:W3CDTF">2019-12-24T07:50:27Z</dcterms:modified>
</cp:coreProperties>
</file>