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677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Houston Andrew</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11/15/2021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00" w:type="dxa"/>
            <w:vAlign w:val="bottom"/>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46"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60" w:type="dxa"/>
            <w:vAlign w:val="bottom"/>
            <w:tcBorders>
              <w:top w:val="single" w:sz="8" w:color="2C2C2C"/>
              <w:bottom w:val="single" w:sz="8" w:color="2C2C2C"/>
            </w:tcBorders>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tcBorders>
              <w:top w:val="single" w:sz="8" w:color="2C2C2C"/>
              <w:bottom w:val="single" w:sz="8" w:color="2C2C2C"/>
            </w:tcBorders>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gridSpan w:val="6"/>
            <w:vMerge w:val="continue"/>
          </w:tcPr>
          <w:p>
            <w:pPr>
              <w:spacing w:after="0" w:line="20" w:lineRule="exact"/>
              <w:rPr>
                <w:sz w:val="1"/>
                <w:szCs w:val="1"/>
                <w:color w:val="auto"/>
              </w:rPr>
            </w:pPr>
          </w:p>
        </w:tc>
        <w:tc>
          <w:tcPr>
            <w:tcW w:w="3660" w:type="dxa"/>
            <w:vAlign w:val="bottom"/>
            <w:gridSpan w:val="9"/>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60" w:type="dxa"/>
            <w:vAlign w:val="bottom"/>
            <w:gridSpan w:val="6"/>
            <w:vMerge w:val="continue"/>
          </w:tcPr>
          <w:p>
            <w:pPr>
              <w:spacing w:after="0"/>
              <w:rPr>
                <w:sz w:val="12"/>
                <w:szCs w:val="12"/>
                <w:color w:val="auto"/>
              </w:rPr>
            </w:pPr>
          </w:p>
        </w:tc>
        <w:tc>
          <w:tcPr>
            <w:tcW w:w="3660" w:type="dxa"/>
            <w:vAlign w:val="bottom"/>
            <w:gridSpan w:val="9"/>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00" w:type="dxa"/>
            <w:vAlign w:val="bottom"/>
            <w:gridSpan w:val="4"/>
            <w:vMerge w:val="restart"/>
          </w:tcPr>
          <w:p>
            <w:pPr>
              <w:ind w:left="44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9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spacing w:after="0" w:line="173" w:lineRule="exact"/>
              <w:rPr>
                <w:sz w:val="20"/>
                <w:szCs w:val="20"/>
                <w:color w:val="auto"/>
              </w:rPr>
            </w:pPr>
            <w:r>
              <w:rPr>
                <w:rFonts w:ascii="Arial" w:cs="Arial" w:eastAsia="Arial" w:hAnsi="Arial"/>
                <w:sz w:val="17"/>
                <w:szCs w:val="17"/>
                <w:color w:val="0000FF"/>
              </w:rPr>
              <w:t>FRANCISCO</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tcPr>
          <w:p>
            <w:pPr>
              <w:ind w:left="180"/>
              <w:spacing w:after="0" w:line="101" w:lineRule="exact"/>
              <w:rPr>
                <w:sz w:val="20"/>
                <w:szCs w:val="20"/>
                <w:color w:val="auto"/>
              </w:rPr>
            </w:pPr>
            <w:r>
              <w:rPr>
                <w:rFonts w:ascii="Arial" w:cs="Arial" w:eastAsia="Arial" w:hAnsi="Arial"/>
                <w:sz w:val="11"/>
                <w:szCs w:val="11"/>
                <w:color w:val="auto"/>
              </w:rPr>
              <w:t>Person</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20" w:type="dxa"/>
            <w:vAlign w:val="bottom"/>
            <w:tcBorders>
              <w:bottom w:val="single" w:sz="8" w:color="2C2C2C"/>
            </w:tcBorders>
            <w:gridSpan w:val="2"/>
          </w:tcPr>
          <w:p>
            <w:pPr>
              <w:spacing w:after="0"/>
              <w:rPr>
                <w:sz w:val="11"/>
                <w:szCs w:val="11"/>
                <w:color w:val="auto"/>
              </w:rPr>
            </w:pPr>
          </w:p>
        </w:tc>
        <w:tc>
          <w:tcPr>
            <w:tcW w:w="116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90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0"/>
                <w:szCs w:val="10"/>
                <w:color w:val="auto"/>
              </w:rPr>
            </w:pP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tcBorders>
              <w:bottom w:val="single" w:sz="8" w:color="2C2C2C"/>
            </w:tcBorders>
            <w:gridSpan w:val="3"/>
          </w:tcPr>
          <w:p>
            <w:pPr>
              <w:ind w:left="640"/>
              <w:spacing w:after="0"/>
              <w:rPr>
                <w:sz w:val="20"/>
                <w:szCs w:val="20"/>
                <w:color w:val="auto"/>
              </w:rPr>
            </w:pPr>
            <w:r>
              <w:rPr>
                <w:rFonts w:ascii="Arial" w:cs="Arial" w:eastAsia="Arial" w:hAnsi="Arial"/>
                <w:sz w:val="17"/>
                <w:szCs w:val="17"/>
                <w:color w:val="0000FF"/>
                <w:w w:val="89"/>
              </w:rPr>
              <w:t>11/15/2021</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9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1,036,216</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1940" w:type="dxa"/>
            <w:vAlign w:val="bottom"/>
            <w:tcBorders>
              <w:bottom w:val="single" w:sz="8" w:color="2C2C2C"/>
            </w:tcBorders>
            <w:gridSpan w:val="5"/>
          </w:tcPr>
          <w:p>
            <w:pPr>
              <w:ind w:left="2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26.672</w:t>
            </w:r>
            <w:r>
              <w:rPr>
                <w:rFonts w:ascii="Arial" w:cs="Arial" w:eastAsia="Arial" w:hAnsi="Arial"/>
                <w:sz w:val="22"/>
                <w:szCs w:val="22"/>
                <w:color w:val="008000"/>
                <w:w w:val="99"/>
                <w:vertAlign w:val="superscript"/>
              </w:rPr>
              <w:t>(2)</w:t>
            </w:r>
            <w:r>
              <w:rPr>
                <w:rFonts w:ascii="Arial" w:cs="Arial" w:eastAsia="Arial" w:hAnsi="Arial"/>
                <w:sz w:val="17"/>
                <w:szCs w:val="17"/>
                <w:color w:val="auto"/>
                <w:w w:val="99"/>
              </w:rPr>
              <w:t xml:space="preserve">    </w:t>
            </w:r>
            <w:r>
              <w:rPr>
                <w:rFonts w:ascii="Arial" w:cs="Arial" w:eastAsia="Arial" w:hAnsi="Arial"/>
                <w:sz w:val="17"/>
                <w:szCs w:val="17"/>
                <w:color w:val="0000FF"/>
                <w:w w:val="99"/>
              </w:rPr>
              <w:t>9,297,117</w:t>
            </w:r>
            <w:r>
              <w:rPr>
                <w:rFonts w:ascii="Arial" w:cs="Arial" w:eastAsia="Arial" w:hAnsi="Arial"/>
                <w:sz w:val="22"/>
                <w:szCs w:val="22"/>
                <w:color w:val="008000"/>
                <w:w w:val="99"/>
                <w:vertAlign w:val="superscript"/>
              </w:rPr>
              <w:t>(3)</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3"/>
            <w:vMerge w:val="restart"/>
          </w:tcPr>
          <w:p>
            <w:pPr>
              <w:ind w:left="420"/>
              <w:spacing w:after="0"/>
              <w:rPr>
                <w:sz w:val="20"/>
                <w:szCs w:val="20"/>
                <w:color w:val="auto"/>
              </w:rPr>
            </w:pPr>
            <w:r>
              <w:rPr>
                <w:rFonts w:ascii="Arial" w:cs="Arial" w:eastAsia="Arial" w:hAnsi="Arial"/>
                <w:sz w:val="17"/>
                <w:szCs w:val="17"/>
                <w:color w:val="0000FF"/>
              </w:rPr>
              <w:t>500,000</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3"/>
            <w:vMerge w:val="restart"/>
          </w:tcPr>
          <w:p>
            <w:pPr>
              <w:ind w:left="420"/>
              <w:spacing w:after="0"/>
              <w:rPr>
                <w:sz w:val="20"/>
                <w:szCs w:val="20"/>
                <w:color w:val="auto"/>
              </w:rPr>
            </w:pPr>
            <w:r>
              <w:rPr>
                <w:rFonts w:ascii="Arial" w:cs="Arial" w:eastAsia="Arial" w:hAnsi="Arial"/>
                <w:sz w:val="17"/>
                <w:szCs w:val="17"/>
                <w:color w:val="0000FF"/>
              </w:rPr>
              <w:t>716,728</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were sold to cover tax withholding obligations in connection with the vesting of restricted stock awards previously reported.</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$26.42 to $27.18.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4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restricted stock awards of Class A Common Stock. The restricted stock awards vest over a period of up to ten years following the closing of the Issuer's initial public offering of Class A Common Stock, or March 27, 2028, upon achievement of service-based, market-based, and liquidity event-related performance vesting conditions.</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Andrew Houston Revocable Trust u/a/d 9/7/2011, for which the Reporting Person serves as trustee.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Houston Remainder Trust u/a/d 12/30/2010, for which the Reporting Person serves as trustee.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11/17/2021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left="120" w:right="4179" w:hanging="103"/>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w:t>
      </w:r>
    </w:p>
    <w:p>
      <w:pPr>
        <w:spacing w:after="0" w:line="201" w:lineRule="exact"/>
        <w:rPr>
          <w:sz w:val="20"/>
          <w:szCs w:val="20"/>
          <w:color w:val="auto"/>
        </w:rPr>
      </w:pPr>
    </w:p>
    <w:p>
      <w:pPr>
        <w:ind w:left="120" w:right="3959"/>
        <w:spacing w:after="0" w:line="249" w:lineRule="auto"/>
        <w:rPr>
          <w:sz w:val="20"/>
          <w:szCs w:val="20"/>
          <w:color w:val="auto"/>
        </w:rPr>
      </w:pPr>
      <w:r>
        <w:rPr>
          <w:rFonts w:ascii="Courier New" w:cs="Courier New" w:eastAsia="Courier New" w:hAnsi="Courier New"/>
          <w:sz w:val="17"/>
          <w:szCs w:val="17"/>
          <w:color w:val="auto"/>
        </w:rPr>
        <w:t>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0" w:lineRule="exact"/>
        <w:rPr>
          <w:sz w:val="20"/>
          <w:szCs w:val="20"/>
          <w:color w:val="auto"/>
        </w:rPr>
      </w:pPr>
    </w:p>
    <w:p>
      <w:pPr>
        <w:ind w:left="120" w:right="4479" w:hanging="103"/>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1" w:lineRule="exact"/>
        <w:rPr>
          <w:sz w:val="20"/>
          <w:szCs w:val="20"/>
          <w:color w:val="auto"/>
        </w:rPr>
      </w:pPr>
    </w:p>
    <w:p>
      <w:pPr>
        <w:ind w:left="120" w:right="4379" w:hanging="103"/>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w:t>
      </w:r>
    </w:p>
    <w:p>
      <w:pPr>
        <w:ind w:left="120"/>
        <w:spacing w:after="0"/>
        <w:rPr>
          <w:sz w:val="20"/>
          <w:szCs w:val="20"/>
          <w:color w:val="auto"/>
        </w:rPr>
      </w:pPr>
      <w:r>
        <w:rPr>
          <w:rFonts w:ascii="Courier New" w:cs="Courier New" w:eastAsia="Courier New" w:hAnsi="Courier New"/>
          <w:sz w:val="17"/>
          <w:szCs w:val="17"/>
          <w:color w:val="auto"/>
        </w:rPr>
        <w:t>to the foregoing attorneys-in-fact.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Limited Power of Attorney is executed as of</w:t>
      </w:r>
    </w:p>
    <w:p>
      <w:pPr>
        <w:spacing w:after="0" w:line="7"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the date set forth below.</w:t>
      </w:r>
    </w:p>
    <w:p>
      <w:pPr>
        <w:spacing w:after="0" w:line="200" w:lineRule="exact"/>
        <w:rPr>
          <w:sz w:val="20"/>
          <w:szCs w:val="20"/>
          <w:color w:val="auto"/>
        </w:rPr>
      </w:pPr>
    </w:p>
    <w:p>
      <w:pPr>
        <w:spacing w:after="0" w:line="20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Andrew Houston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Andrew Houston</w:t>
      </w:r>
    </w:p>
    <w:p>
      <w:pPr>
        <w:spacing w:after="0" w:line="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Dated:</w:t>
        <w:tab/>
        <w:t>1/22/2021</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563"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2021-11-17T17:13:05Z</dcterms:created>
  <dcterms:modified xsi:type="dcterms:W3CDTF">2021-11-17T17:13:05Z</dcterms:modified>
</cp:coreProperties>
</file>