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64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476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Rice Condoleezza</w:t>
              </w:r>
            </w:hyperlink>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60" w:type="dxa"/>
            <w:vAlign w:val="bottom"/>
            <w:gridSpan w:val="6"/>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333 BRANNAN STREET</w:t>
            </w:r>
          </w:p>
        </w:tc>
        <w:tc>
          <w:tcPr>
            <w:tcW w:w="1140" w:type="dxa"/>
            <w:vAlign w:val="bottom"/>
          </w:tcPr>
          <w:p>
            <w:pPr>
              <w:spacing w:after="0"/>
              <w:rPr>
                <w:sz w:val="19"/>
                <w:szCs w:val="19"/>
                <w:color w:val="auto"/>
              </w:rPr>
            </w:pPr>
          </w:p>
        </w:tc>
        <w:tc>
          <w:tcPr>
            <w:tcW w:w="1700" w:type="dxa"/>
            <w:vAlign w:val="bottom"/>
            <w:gridSpan w:val="5"/>
          </w:tcPr>
          <w:p>
            <w:pPr>
              <w:ind w:left="260"/>
              <w:spacing w:after="0"/>
              <w:rPr>
                <w:sz w:val="20"/>
                <w:szCs w:val="20"/>
                <w:color w:val="auto"/>
              </w:rPr>
            </w:pPr>
            <w:r>
              <w:rPr>
                <w:rFonts w:ascii="Arial" w:cs="Arial" w:eastAsia="Arial" w:hAnsi="Arial"/>
                <w:sz w:val="17"/>
                <w:szCs w:val="17"/>
                <w:color w:val="0000FF"/>
              </w:rPr>
              <w:t>04/27/2018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3"/>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gridSpan w:val="3"/>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7"/>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4"/>
                <w:szCs w:val="4"/>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40" w:type="dxa"/>
            <w:vAlign w:val="bottom"/>
            <w:gridSpan w:val="8"/>
            <w:vMerge w:val="continue"/>
          </w:tcPr>
          <w:p>
            <w:pPr>
              <w:spacing w:after="0"/>
              <w:rPr>
                <w:sz w:val="11"/>
                <w:szCs w:val="11"/>
                <w:color w:val="auto"/>
              </w:rPr>
            </w:pPr>
          </w:p>
        </w:tc>
        <w:tc>
          <w:tcPr>
            <w:tcW w:w="220" w:type="dxa"/>
            <w:vAlign w:val="bottom"/>
          </w:tcPr>
          <w:p>
            <w:pPr>
              <w:spacing w:after="0"/>
              <w:rPr>
                <w:sz w:val="11"/>
                <w:szCs w:val="11"/>
                <w:color w:val="auto"/>
              </w:rPr>
            </w:pPr>
          </w:p>
        </w:tc>
        <w:tc>
          <w:tcPr>
            <w:tcW w:w="35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600" w:type="dxa"/>
            <w:vAlign w:val="bottom"/>
          </w:tcPr>
          <w:p>
            <w:pPr>
              <w:spacing w:after="0"/>
              <w:rPr>
                <w:sz w:val="18"/>
                <w:szCs w:val="18"/>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spacing w:after="0"/>
              <w:rPr>
                <w:sz w:val="20"/>
                <w:szCs w:val="20"/>
                <w:color w:val="auto"/>
              </w:rPr>
            </w:pPr>
            <w:r>
              <w:rPr>
                <w:rFonts w:ascii="Arial" w:cs="Arial" w:eastAsia="Arial" w:hAnsi="Arial"/>
                <w:sz w:val="17"/>
                <w:szCs w:val="17"/>
                <w:color w:val="0000FF"/>
              </w:rPr>
              <w:t>94107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35"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7"/>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gridSpan w:val="6"/>
          </w:tcPr>
          <w:p>
            <w:pPr>
              <w:ind w:left="4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jc w:val="right"/>
              <w:ind w:right="176"/>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900" w:type="dxa"/>
            <w:vAlign w:val="bottom"/>
            <w:tcBorders>
              <w:bottom w:val="single" w:sz="8" w:color="2C2C2C"/>
            </w:tcBorders>
            <w:gridSpan w:val="5"/>
          </w:tcPr>
          <w:p>
            <w:pPr>
              <w:jc w:val="center"/>
              <w:ind w:left="572"/>
              <w:spacing w:after="0"/>
              <w:rPr>
                <w:sz w:val="20"/>
                <w:szCs w:val="20"/>
                <w:color w:val="auto"/>
              </w:rPr>
            </w:pPr>
            <w:r>
              <w:rPr>
                <w:rFonts w:ascii="Arial" w:cs="Arial" w:eastAsia="Arial" w:hAnsi="Arial"/>
                <w:sz w:val="17"/>
                <w:szCs w:val="17"/>
                <w:color w:val="0000FF"/>
                <w:w w:val="91"/>
              </w:rPr>
              <w:t>04/27/2018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24,433</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(1)</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38,719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7"/>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80" w:type="dxa"/>
            <w:vAlign w:val="bottom"/>
            <w:gridSpan w:val="14"/>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3"/>
            <w:vMerge w:val="restart"/>
          </w:tcPr>
          <w:p>
            <w:pPr>
              <w:ind w:left="32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4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24,433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53,333</w:t>
            </w:r>
            <w:r>
              <w:rPr>
                <w:rFonts w:ascii="Arial" w:cs="Arial" w:eastAsia="Arial" w:hAnsi="Arial"/>
                <w:sz w:val="22"/>
                <w:szCs w:val="22"/>
                <w:color w:val="008000"/>
                <w:vertAlign w:val="superscript"/>
              </w:rPr>
              <w:t>(3)</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53"/>
              <w:spacing w:after="0" w:line="148" w:lineRule="exact"/>
              <w:rPr>
                <w:sz w:val="20"/>
                <w:szCs w:val="20"/>
                <w:color w:val="auto"/>
              </w:rPr>
            </w:pPr>
            <w:r>
              <w:rPr>
                <w:rFonts w:ascii="Arial" w:cs="Arial" w:eastAsia="Arial" w:hAnsi="Arial"/>
                <w:sz w:val="13"/>
                <w:szCs w:val="13"/>
                <w:color w:val="0000FF"/>
              </w:rPr>
              <w:t>04/27/2018</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ind w:left="80"/>
              <w:spacing w:after="0" w:line="148" w:lineRule="exact"/>
              <w:rPr>
                <w:sz w:val="20"/>
                <w:szCs w:val="20"/>
                <w:color w:val="auto"/>
              </w:rPr>
            </w:pPr>
            <w:r>
              <w:rPr>
                <w:rFonts w:ascii="Arial" w:cs="Arial" w:eastAsia="Arial" w:hAnsi="Arial"/>
                <w:sz w:val="13"/>
                <w:szCs w:val="13"/>
                <w:color w:val="0000FF"/>
              </w:rPr>
              <w:t>C</w:t>
            </w:r>
          </w:p>
        </w:tc>
        <w:tc>
          <w:tcPr>
            <w:tcW w:w="940" w:type="dxa"/>
            <w:vAlign w:val="bottom"/>
          </w:tcPr>
          <w:p>
            <w:pPr>
              <w:ind w:left="480"/>
              <w:spacing w:after="0" w:line="148" w:lineRule="exact"/>
              <w:rPr>
                <w:sz w:val="20"/>
                <w:szCs w:val="20"/>
                <w:color w:val="auto"/>
              </w:rPr>
            </w:pPr>
            <w:r>
              <w:rPr>
                <w:rFonts w:ascii="Arial" w:cs="Arial" w:eastAsia="Arial" w:hAnsi="Arial"/>
                <w:sz w:val="13"/>
                <w:szCs w:val="13"/>
                <w:color w:val="0000FF"/>
              </w:rPr>
              <w:t>24,433</w:t>
            </w:r>
          </w:p>
        </w:tc>
        <w:tc>
          <w:tcPr>
            <w:tcW w:w="86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tcPr>
          <w:p>
            <w:pPr>
              <w:spacing w:after="0" w:line="148"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24,433 shares of Class B Common Stock were converted into 24,433 shares of Class A Common Stock at the election of the Reporting Person. The Issuer's Class B Common Stock is convertible into the Issuer's Class A Common Stock on a one-for-one basis at the Reporting Person's election and has no expiration date.</w:t>
      </w:r>
    </w:p>
    <w:p>
      <w:pPr>
        <w:spacing w:after="0" w:line="10" w:lineRule="exact"/>
        <w:rPr>
          <w:rFonts w:ascii="Arial" w:cs="Arial" w:eastAsia="Arial" w:hAnsi="Arial"/>
          <w:sz w:val="13"/>
          <w:szCs w:val="13"/>
          <w:color w:val="008000"/>
        </w:rPr>
      </w:pPr>
    </w:p>
    <w:p>
      <w:pPr>
        <w:ind w:left="40" w:right="20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the earlier of May 15, 2019 or the date of the Issuer's next annual meeting of stockholders. In the event the Reporting Person ceases to be a Service Provider, the unvested restricted stock units will be cancelled by the Issuer.</w:t>
      </w:r>
    </w:p>
    <w:p>
      <w:pPr>
        <w:spacing w:after="0" w:line="22" w:lineRule="exact"/>
        <w:rPr>
          <w:rFonts w:ascii="Arial" w:cs="Arial" w:eastAsia="Arial" w:hAnsi="Arial"/>
          <w:sz w:val="13"/>
          <w:szCs w:val="13"/>
          <w:color w:val="008000"/>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May 15, 2018. In the event the Reporting Person ceases to be a Service Provider, the unvested restricted stock units will be cancelled by the Issuer.</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Bart E. Volkmer, Attorney-</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05/01/2018</w:t>
            </w:r>
          </w:p>
        </w:tc>
        <w:tc>
          <w:tcPr>
            <w:tcW w:w="0" w:type="dxa"/>
            <w:vAlign w:val="bottom"/>
          </w:tcPr>
          <w:p>
            <w:pPr>
              <w:spacing w:after="0"/>
              <w:rPr>
                <w:sz w:val="1"/>
                <w:szCs w:val="1"/>
                <w:color w:val="auto"/>
              </w:rPr>
            </w:pPr>
          </w:p>
        </w:tc>
      </w:tr>
      <w:tr>
        <w:trPr>
          <w:trHeight w:val="92"/>
        </w:trPr>
        <w:tc>
          <w:tcPr>
            <w:tcW w:w="520" w:type="dxa"/>
            <w:vAlign w:val="bottom"/>
            <w:vMerge w:val="restart"/>
          </w:tcPr>
          <w:p>
            <w:pPr>
              <w:spacing w:after="0"/>
              <w:rPr>
                <w:sz w:val="20"/>
                <w:szCs w:val="20"/>
                <w:color w:val="auto"/>
              </w:rPr>
            </w:pPr>
            <w:r>
              <w:rPr>
                <w:rFonts w:ascii="Arial" w:cs="Arial" w:eastAsia="Arial" w:hAnsi="Arial"/>
                <w:sz w:val="17"/>
                <w:szCs w:val="17"/>
                <w:color w:val="0000FF"/>
                <w:w w:val="94"/>
              </w:rPr>
              <w:t>In-Fact</w:t>
            </w:r>
          </w:p>
        </w:tc>
        <w:tc>
          <w:tcPr>
            <w:tcW w:w="178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38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2019-12-07T16:38:19Z</dcterms:created>
  <dcterms:modified xsi:type="dcterms:W3CDTF">2019-12-07T16:38:19Z</dcterms:modified>
</cp:coreProperties>
</file>