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93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Rangan Yamini</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08/15/2019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7"/>
        <w:spacing w:after="0"/>
        <w:rPr>
          <w:sz w:val="20"/>
          <w:szCs w:val="20"/>
          <w:color w:val="auto"/>
        </w:rPr>
      </w:pPr>
      <w:r>
        <w:rPr>
          <w:rFonts w:ascii="Arial" w:cs="Arial" w:eastAsia="Arial" w:hAnsi="Arial"/>
          <w:sz w:val="17"/>
          <w:szCs w:val="17"/>
          <w:color w:val="0000FF"/>
        </w:rPr>
        <w:t>Chief Customer Officer</w:t>
      </w:r>
    </w:p>
    <w:p>
      <w:pPr>
        <w:spacing w:after="0" w:line="571"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right="26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4"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500" w:lineRule="exact"/>
        <w:rPr>
          <w:sz w:val="24"/>
          <w:szCs w:val="24"/>
          <w:color w:val="auto"/>
        </w:rPr>
      </w:pPr>
    </w:p>
    <w:p>
      <w:pPr>
        <w:sectPr>
          <w:pgSz w:w="11900" w:h="16838" w:orient="portrait"/>
          <w:cols w:equalWidth="0" w:num="2">
            <w:col w:w="3360" w:space="72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60" w:type="dxa"/>
            <w:vAlign w:val="bottom"/>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2"/>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jc w:val="center"/>
              <w:ind w:right="75"/>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08/15/2019</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10,063</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17.57</w:t>
            </w:r>
          </w:p>
        </w:tc>
        <w:tc>
          <w:tcPr>
            <w:tcW w:w="134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278,569</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08/15/2019</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5,251</w:t>
            </w:r>
            <w:r>
              <w:rPr>
                <w:rFonts w:ascii="Arial" w:cs="Arial" w:eastAsia="Arial" w:hAnsi="Arial"/>
                <w:sz w:val="22"/>
                <w:szCs w:val="22"/>
                <w:color w:val="008000"/>
                <w:vertAlign w:val="superscript"/>
              </w:rPr>
              <w:t>(3)</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4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283,820</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8"/>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60" w:type="dxa"/>
            <w:vAlign w:val="bottom"/>
          </w:tcPr>
          <w:p>
            <w:pPr>
              <w:ind w:left="1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   Derivative</w:t>
            </w:r>
          </w:p>
        </w:tc>
        <w:tc>
          <w:tcPr>
            <w:tcW w:w="15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Code (Instr.</w:t>
            </w: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6"/>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ind w:right="35"/>
              <w:spacing w:after="0" w:line="134"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0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ind w:right="15"/>
              <w:spacing w:after="0"/>
              <w:rPr>
                <w:sz w:val="20"/>
                <w:szCs w:val="20"/>
                <w:color w:val="auto"/>
              </w:rPr>
            </w:pPr>
            <w:r>
              <w:rPr>
                <w:rFonts w:ascii="Arial" w:cs="Arial" w:eastAsia="Arial" w:hAnsi="Arial"/>
                <w:sz w:val="11"/>
                <w:szCs w:val="11"/>
                <w:color w:val="008000"/>
                <w:w w:val="88"/>
              </w:rPr>
              <w:t>(3)</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5,251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15,581</w:t>
            </w:r>
            <w:r>
              <w:rPr>
                <w:rFonts w:ascii="Arial" w:cs="Arial" w:eastAsia="Arial" w:hAnsi="Arial"/>
                <w:sz w:val="22"/>
                <w:szCs w:val="22"/>
                <w:color w:val="008000"/>
                <w:vertAlign w:val="superscript"/>
              </w:rPr>
              <w:t>(4)</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right"/>
              <w:ind w:right="157"/>
              <w:spacing w:after="0" w:line="148" w:lineRule="exact"/>
              <w:rPr>
                <w:sz w:val="20"/>
                <w:szCs w:val="20"/>
                <w:color w:val="auto"/>
              </w:rPr>
            </w:pPr>
            <w:r>
              <w:rPr>
                <w:rFonts w:ascii="Arial" w:cs="Arial" w:eastAsia="Arial" w:hAnsi="Arial"/>
                <w:sz w:val="13"/>
                <w:szCs w:val="13"/>
                <w:color w:val="0000FF"/>
              </w:rPr>
              <w:t>08/15/2019</w:t>
            </w:r>
          </w:p>
        </w:tc>
        <w:tc>
          <w:tcPr>
            <w:tcW w:w="1160" w:type="dxa"/>
            <w:vAlign w:val="bottom"/>
          </w:tcPr>
          <w:p>
            <w:pPr>
              <w:spacing w:after="0"/>
              <w:rPr>
                <w:sz w:val="12"/>
                <w:szCs w:val="12"/>
                <w:color w:val="auto"/>
              </w:rPr>
            </w:pPr>
          </w:p>
        </w:tc>
        <w:tc>
          <w:tcPr>
            <w:tcW w:w="740" w:type="dxa"/>
            <w:vAlign w:val="bottom"/>
          </w:tcPr>
          <w:p>
            <w:pPr>
              <w:ind w:left="180"/>
              <w:spacing w:after="0" w:line="148" w:lineRule="exact"/>
              <w:rPr>
                <w:sz w:val="20"/>
                <w:szCs w:val="20"/>
                <w:color w:val="auto"/>
              </w:rPr>
            </w:pPr>
            <w:r>
              <w:rPr>
                <w:rFonts w:ascii="Arial" w:cs="Arial" w:eastAsia="Arial" w:hAnsi="Arial"/>
                <w:sz w:val="13"/>
                <w:szCs w:val="13"/>
                <w:color w:val="0000FF"/>
              </w:rPr>
              <w:t>C</w:t>
            </w:r>
          </w:p>
        </w:tc>
        <w:tc>
          <w:tcPr>
            <w:tcW w:w="1060" w:type="dxa"/>
            <w:vAlign w:val="bottom"/>
          </w:tcPr>
          <w:p>
            <w:pPr>
              <w:jc w:val="right"/>
              <w:ind w:right="139"/>
              <w:spacing w:after="0" w:line="148" w:lineRule="exact"/>
              <w:rPr>
                <w:sz w:val="20"/>
                <w:szCs w:val="20"/>
                <w:color w:val="auto"/>
              </w:rPr>
            </w:pPr>
            <w:r>
              <w:rPr>
                <w:rFonts w:ascii="Arial" w:cs="Arial" w:eastAsia="Arial" w:hAnsi="Arial"/>
                <w:sz w:val="13"/>
                <w:szCs w:val="13"/>
                <w:color w:val="0000FF"/>
              </w:rPr>
              <w:t>5,251</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2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vMerge w:val="restart"/>
          </w:tcPr>
          <w:p>
            <w:pPr>
              <w:jc w:val="center"/>
              <w:ind w:right="59"/>
              <w:spacing w:after="0"/>
              <w:rPr>
                <w:sz w:val="20"/>
                <w:szCs w:val="20"/>
                <w:color w:val="auto"/>
              </w:rPr>
            </w:pPr>
            <w:r>
              <w:rPr>
                <w:rFonts w:ascii="Arial" w:cs="Arial" w:eastAsia="Arial" w:hAnsi="Arial"/>
                <w:sz w:val="13"/>
                <w:szCs w:val="13"/>
                <w:color w:val="0000FF"/>
              </w:rPr>
              <w:t>5,165</w:t>
            </w:r>
            <w:r>
              <w:rPr>
                <w:rFonts w:ascii="Arial" w:cs="Arial" w:eastAsia="Arial" w:hAnsi="Arial"/>
                <w:sz w:val="22"/>
                <w:szCs w:val="22"/>
                <w:color w:val="008000"/>
                <w:vertAlign w:val="superscript"/>
              </w:rPr>
              <w:t>(1)</w:t>
            </w: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jc w:val="center"/>
              <w:ind w:right="15"/>
              <w:spacing w:after="0"/>
              <w:rPr>
                <w:sz w:val="20"/>
                <w:szCs w:val="20"/>
                <w:color w:val="auto"/>
              </w:rPr>
            </w:pPr>
            <w:r>
              <w:rPr>
                <w:rFonts w:ascii="Arial" w:cs="Arial" w:eastAsia="Arial" w:hAnsi="Arial"/>
                <w:sz w:val="11"/>
                <w:szCs w:val="11"/>
                <w:color w:val="008000"/>
                <w:w w:val="88"/>
              </w:rPr>
              <w:t>(5)</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5,165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10,416</w:t>
            </w:r>
            <w:r>
              <w:rPr>
                <w:rFonts w:ascii="Arial" w:cs="Arial" w:eastAsia="Arial" w:hAnsi="Arial"/>
                <w:sz w:val="22"/>
                <w:szCs w:val="22"/>
                <w:color w:val="008000"/>
                <w:vertAlign w:val="superscript"/>
              </w:rPr>
              <w:t>(4)</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right"/>
              <w:ind w:right="157"/>
              <w:spacing w:after="0" w:line="148" w:lineRule="exact"/>
              <w:rPr>
                <w:sz w:val="20"/>
                <w:szCs w:val="20"/>
                <w:color w:val="auto"/>
              </w:rPr>
            </w:pPr>
            <w:r>
              <w:rPr>
                <w:rFonts w:ascii="Arial" w:cs="Arial" w:eastAsia="Arial" w:hAnsi="Arial"/>
                <w:sz w:val="13"/>
                <w:szCs w:val="13"/>
                <w:color w:val="0000FF"/>
              </w:rPr>
              <w:t>08/15/2019</w:t>
            </w:r>
          </w:p>
        </w:tc>
        <w:tc>
          <w:tcPr>
            <w:tcW w:w="1160" w:type="dxa"/>
            <w:vAlign w:val="bottom"/>
          </w:tcPr>
          <w:p>
            <w:pPr>
              <w:spacing w:after="0"/>
              <w:rPr>
                <w:sz w:val="12"/>
                <w:szCs w:val="12"/>
                <w:color w:val="auto"/>
              </w:rPr>
            </w:pPr>
          </w:p>
        </w:tc>
        <w:tc>
          <w:tcPr>
            <w:tcW w:w="740" w:type="dxa"/>
            <w:vAlign w:val="bottom"/>
          </w:tcPr>
          <w:p>
            <w:pPr>
              <w:ind w:left="200"/>
              <w:spacing w:after="0" w:line="148" w:lineRule="exact"/>
              <w:rPr>
                <w:sz w:val="20"/>
                <w:szCs w:val="20"/>
                <w:color w:val="auto"/>
              </w:rPr>
            </w:pPr>
            <w:r>
              <w:rPr>
                <w:rFonts w:ascii="Arial" w:cs="Arial" w:eastAsia="Arial" w:hAnsi="Arial"/>
                <w:sz w:val="13"/>
                <w:szCs w:val="13"/>
                <w:color w:val="0000FF"/>
              </w:rPr>
              <w:t>F</w:t>
            </w:r>
          </w:p>
        </w:tc>
        <w:tc>
          <w:tcPr>
            <w:tcW w:w="10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1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17.57</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1" w:lineRule="exact"/>
        <w:rPr>
          <w:rFonts w:ascii="Arial" w:cs="Arial" w:eastAsia="Arial" w:hAnsi="Arial"/>
          <w:sz w:val="13"/>
          <w:szCs w:val="13"/>
          <w:color w:val="008000"/>
        </w:rPr>
      </w:pPr>
    </w:p>
    <w:p>
      <w:pPr>
        <w:ind w:left="40" w:right="2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February 15, 2023. In the event the Reporting Person ceases to be a Service Provider, the unvested restricted stock units will be cancelled by the Issuer.</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5,165 shares of Class B Common Stock were converted into 5,165 shares of Class A Common Stock at the election of the Reporting Person and had no expiration date.</w:t>
      </w:r>
    </w:p>
    <w:p>
      <w:pPr>
        <w:spacing w:after="0" w:line="50" w:lineRule="exact"/>
        <w:rPr>
          <w:rFonts w:ascii="Arial" w:cs="Arial" w:eastAsia="Arial" w:hAnsi="Arial"/>
          <w:sz w:val="13"/>
          <w:szCs w:val="13"/>
          <w:color w:val="008000"/>
        </w:rPr>
      </w:pPr>
    </w:p>
    <w:p>
      <w:pPr>
        <w:ind w:left="40" w:right="3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B Common Stock, subject to the applicable vesting schedule through November 15, 2019. In the event the Reporting Person ceases to be a Service Provider, the unvested restricted stock units will be cancelled by the Issuer.</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Mary Anne Becking,</w:t>
            </w:r>
          </w:p>
        </w:tc>
        <w:tc>
          <w:tcPr>
            <w:tcW w:w="6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08/19/2019</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3409"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2019-12-24T07:57:05Z</dcterms:created>
  <dcterms:modified xsi:type="dcterms:W3CDTF">2019-12-24T07:57:05Z</dcterms:modified>
</cp:coreProperties>
</file>