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6507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03/23/2018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7"/>
        <w:spacing w:after="0"/>
        <w:rPr>
          <w:sz w:val="20"/>
          <w:szCs w:val="20"/>
          <w:color w:val="auto"/>
        </w:rPr>
      </w:pPr>
      <w:r>
        <w:rPr>
          <w:rFonts w:ascii="Arial" w:cs="Arial" w:eastAsia="Arial" w:hAnsi="Arial"/>
          <w:sz w:val="17"/>
          <w:szCs w:val="17"/>
          <w:color w:val="0000FF"/>
        </w:rPr>
        <w:t>Chief Accounting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8"/>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5"/>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jc w:val="center"/>
              <w:ind w:left="5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restart"/>
          </w:tcPr>
          <w:p>
            <w:pPr>
              <w:ind w:left="460"/>
              <w:spacing w:after="0"/>
              <w:rPr>
                <w:sz w:val="20"/>
                <w:szCs w:val="20"/>
                <w:color w:val="auto"/>
              </w:rPr>
            </w:pPr>
            <w:r>
              <w:rPr>
                <w:rFonts w:ascii="Arial" w:cs="Arial" w:eastAsia="Arial" w:hAnsi="Arial"/>
                <w:sz w:val="13"/>
                <w:szCs w:val="13"/>
                <w:color w:val="0000FF"/>
              </w:rPr>
              <w:t>2,162</w:t>
            </w:r>
            <w:r>
              <w:rPr>
                <w:rFonts w:ascii="Arial" w:cs="Arial" w:eastAsia="Arial" w:hAnsi="Arial"/>
                <w:sz w:val="22"/>
                <w:szCs w:val="22"/>
                <w:color w:val="008000"/>
                <w:vertAlign w:val="superscript"/>
              </w:rPr>
              <w:t>(2)</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00" w:type="dxa"/>
            <w:vAlign w:val="bottom"/>
            <w:vMerge w:val="restart"/>
          </w:tcPr>
          <w:p>
            <w:pPr>
              <w:ind w:left="60"/>
              <w:spacing w:after="0"/>
              <w:rPr>
                <w:sz w:val="20"/>
                <w:szCs w:val="20"/>
                <w:color w:val="auto"/>
              </w:rPr>
            </w:pPr>
            <w:r>
              <w:rPr>
                <w:rFonts w:ascii="Arial" w:cs="Arial" w:eastAsia="Arial" w:hAnsi="Arial"/>
                <w:sz w:val="17"/>
                <w:szCs w:val="17"/>
                <w:color w:val="0000FF"/>
                <w:w w:val="98"/>
              </w:rPr>
              <w:t>2,162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97,838</w:t>
            </w:r>
            <w:r>
              <w:rPr>
                <w:rFonts w:ascii="Arial" w:cs="Arial" w:eastAsia="Arial" w:hAnsi="Arial"/>
                <w:sz w:val="22"/>
                <w:szCs w:val="22"/>
                <w:color w:val="008000"/>
                <w:vertAlign w:val="superscript"/>
              </w:rPr>
              <w:t>(3)</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03/23/2018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12"/>
                <w:szCs w:val="12"/>
                <w:color w:val="auto"/>
              </w:rPr>
            </w:pPr>
          </w:p>
        </w:tc>
        <w:tc>
          <w:tcPr>
            <w:tcW w:w="820" w:type="dxa"/>
            <w:vAlign w:val="bottom"/>
            <w:gridSpan w:val="3"/>
          </w:tcPr>
          <w:p>
            <w:pPr>
              <w:jc w:val="right"/>
              <w:ind w:right="25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w:t>
            </w:r>
          </w:p>
        </w:tc>
        <w:tc>
          <w:tcPr>
            <w:tcW w:w="90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50" w:lineRule="exact"/>
        <w:rPr>
          <w:rFonts w:ascii="Arial" w:cs="Arial" w:eastAsia="Arial" w:hAnsi="Arial"/>
          <w:sz w:val="13"/>
          <w:szCs w:val="13"/>
          <w:color w:val="008000"/>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B Common Stock, subject to the applicable vesting schedule through November 15, 2020. In the event the Reporting Person ceases to be a Service Provider, any then unvested restricted stock units will be cancelled by the Issuer.</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Bart E. Volkmer, Attorney-</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03/27/2018</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2019-12-07T16:01:04Z</dcterms:created>
  <dcterms:modified xsi:type="dcterms:W3CDTF">2019-12-07T16:01:04Z</dcterms:modified>
</cp:coreProperties>
</file>