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120"/>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w:t>
      </w:r>
    </w:p>
    <w:p>
      <w:pPr>
        <w:spacing w:after="0" w:line="8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11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ind w:left="4600"/>
        <w:spacing w:after="0"/>
        <w:rPr>
          <w:sz w:val="20"/>
          <w:szCs w:val="20"/>
          <w:color w:val="auto"/>
        </w:rPr>
      </w:pPr>
      <w:r>
        <w:rPr>
          <w:rFonts w:ascii="Arial" w:cs="Arial" w:eastAsia="Arial" w:hAnsi="Arial"/>
          <w:sz w:val="22"/>
          <w:szCs w:val="22"/>
          <w:color w:val="auto"/>
        </w:rPr>
        <w:t>_________________</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06"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4"/>
          <w:szCs w:val="14"/>
          <w:b w:val="1"/>
          <w:bCs w:val="1"/>
          <w:color w:val="auto"/>
        </w:rPr>
      </w:pPr>
      <w:r>
        <w:rPr>
          <w:rFonts w:ascii="Arial" w:cs="Arial" w:eastAsia="Arial" w:hAnsi="Arial"/>
          <w:sz w:val="18"/>
          <w:szCs w:val="18"/>
          <w:color w:val="auto"/>
        </w:rPr>
        <w:t>Preliminary Proxy Statement</w:t>
      </w:r>
    </w:p>
    <w:p>
      <w:pPr>
        <w:spacing w:after="0" w:line="158"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§240.14a-11(c) or §240.14a-2</w:t>
      </w: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360" w:hanging="334"/>
        <w:spacing w:after="0"/>
        <w:tabs>
          <w:tab w:leader="none" w:pos="360" w:val="left"/>
        </w:tabs>
        <w:numPr>
          <w:ilvl w:val="0"/>
          <w:numId w:val="3"/>
        </w:numPr>
        <w:rPr>
          <w:rFonts w:ascii="Wingdings" w:cs="Wingdings" w:eastAsia="Wingdings" w:hAnsi="Wingdings"/>
          <w:sz w:val="20"/>
          <w:szCs w:val="20"/>
          <w:b w:val="1"/>
          <w:bCs w:val="1"/>
          <w:color w:val="auto"/>
        </w:rPr>
      </w:pPr>
      <w:r>
        <w:rPr>
          <w:rFonts w:ascii="Arial" w:cs="Arial" w:eastAsia="Arial" w:hAnsi="Arial"/>
          <w:sz w:val="18"/>
          <w:szCs w:val="18"/>
          <w:color w:val="auto"/>
        </w:rPr>
        <w:t>No fee required.</w:t>
      </w:r>
    </w:p>
    <w:p>
      <w:pPr>
        <w:spacing w:after="0" w:line="129" w:lineRule="exact"/>
        <w:rPr>
          <w:sz w:val="24"/>
          <w:szCs w:val="24"/>
          <w:color w:val="auto"/>
        </w:rPr>
      </w:pPr>
    </w:p>
    <w:p>
      <w:pPr>
        <w:ind w:left="360" w:hanging="334"/>
        <w:spacing w:after="0"/>
        <w:tabs>
          <w:tab w:leader="none" w:pos="36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3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4"/>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792480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21"/>
          <w:szCs w:val="21"/>
          <w:b w:val="1"/>
          <w:bCs w:val="1"/>
          <w:color w:val="EE0000"/>
        </w:rPr>
        <w:t>PRELIMINARY PROXY STATEMENT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123190</wp:posOffset>
            </wp:positionV>
            <wp:extent cx="4011930"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11930" cy="788670"/>
                    </a:xfrm>
                    <a:prstGeom prst="rect">
                      <a:avLst/>
                    </a:prstGeom>
                    <a:noFill/>
                  </pic:spPr>
                </pic:pic>
              </a:graphicData>
            </a:graphic>
          </wp:anchor>
        </w:drawing>
      </w:r>
    </w:p>
    <w:p>
      <w:pPr>
        <w:spacing w:after="0" w:line="385"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1800 OWENS STREET</w:t>
      </w:r>
    </w:p>
    <w:p>
      <w:pPr>
        <w:ind w:left="8500"/>
        <w:spacing w:after="0" w:line="234" w:lineRule="auto"/>
        <w:rPr>
          <w:sz w:val="20"/>
          <w:szCs w:val="20"/>
          <w:color w:val="auto"/>
        </w:rPr>
      </w:pPr>
      <w:r>
        <w:rPr>
          <w:rFonts w:ascii="Arial" w:cs="Arial" w:eastAsia="Arial" w:hAnsi="Arial"/>
          <w:sz w:val="18"/>
          <w:szCs w:val="18"/>
          <w:color w:val="auto"/>
        </w:rPr>
        <w:t>SAN FRANCISCO,</w:t>
      </w:r>
    </w:p>
    <w:p>
      <w:pPr>
        <w:spacing w:after="0" w:line="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CALIFORNIA 94158</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w:t>
      </w: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0063A6"/>
        </w:rPr>
        <w:t>NOTICE OF ANNUAL MEETING OF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29"/>
          <w:szCs w:val="29"/>
          <w:b w:val="1"/>
          <w:bCs w:val="1"/>
          <w:color w:val="0063A6"/>
        </w:rPr>
        <w:t>to be held at 9:00 am Pacific Time on Thursday, May 21, 2026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Stockholders of Dropbox, Inc.:</w:t>
      </w:r>
    </w:p>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cordially invite you to attend the 2026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of Dropbox, Inc., a Nevada corporation, to be held on May 21, 2026 at 9:00 am Pacific Time. The Annual Meeting will be conducted virtually via live audio webcast. You will be able to attend the Annual Meeting virtually by visiting www.virtualshareholdermeeting.com/DBX2026, where you will be able to listen to the meeting live, submit questions and vote online.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meeting. Therefore, we urge you to promptly vote and submit your proxy via the Internet, by telephone, or by mail.</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w:t>
      </w:r>
    </w:p>
    <w:p>
      <w:pPr>
        <w:spacing w:after="0" w:line="16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seven directors to serve until the next annual meeting of stockholders and until their successors are duly elected and qualified;</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our fiscal year ending December 31, 2026;</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w:t>
      </w:r>
    </w:p>
    <w:p>
      <w:pPr>
        <w:spacing w:after="0" w:line="153" w:lineRule="exact"/>
        <w:rPr>
          <w:rFonts w:ascii="Arial" w:cs="Arial" w:eastAsia="Arial" w:hAnsi="Arial"/>
          <w:sz w:val="16"/>
          <w:szCs w:val="16"/>
          <w:color w:val="auto"/>
        </w:rPr>
      </w:pPr>
    </w:p>
    <w:p>
      <w:pPr>
        <w:ind w:left="340" w:right="720" w:hanging="332"/>
        <w:spacing w:after="0" w:line="28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an amendment and restatement of our articles of incorporation (our "</w:t>
      </w:r>
      <w:r>
        <w:rPr>
          <w:rFonts w:ascii="Arial" w:cs="Arial" w:eastAsia="Arial" w:hAnsi="Arial"/>
          <w:sz w:val="16"/>
          <w:szCs w:val="16"/>
          <w:b w:val="1"/>
          <w:bCs w:val="1"/>
          <w:i w:val="1"/>
          <w:iCs w:val="1"/>
          <w:color w:val="auto"/>
        </w:rPr>
        <w:t>Articles</w:t>
      </w:r>
      <w:r>
        <w:rPr>
          <w:rFonts w:ascii="Arial" w:cs="Arial" w:eastAsia="Arial" w:hAnsi="Arial"/>
          <w:sz w:val="16"/>
          <w:szCs w:val="16"/>
          <w:color w:val="auto"/>
        </w:rPr>
        <w:t>") to waive jury trials for internal actions, together with contextual and other ministerial changes; and</w:t>
      </w:r>
    </w:p>
    <w:p>
      <w:pPr>
        <w:spacing w:after="0" w:line="101"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board of directors has fixed the close of business on March 26, 2026 as the record date for the Annual Meeting. Stockholders of record on March 26, 2026 are entitled to notice of and to vote at the Annual Meeting. Further information regarding voting rights and the matters to be voted upon is presented in the accompanying proxy statement.</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accompanying proxy statement and our annual report can be accessed by visiting: www.proxyvote.com. You will be asked to enter the 16-digit control number located on your proxy card.</w:t>
      </w:r>
    </w:p>
    <w:p>
      <w:pPr>
        <w:spacing w:after="0" w:line="1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1765935" cy="69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593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W. Houston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Co-Founder, and Chair of the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[_____], 2026</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9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540" w:type="dxa"/>
            <w:vAlign w:val="bottom"/>
            <w:gridSpan w:val="31"/>
          </w:tcPr>
          <w:p>
            <w:pPr>
              <w:spacing w:after="0"/>
              <w:rPr>
                <w:sz w:val="20"/>
                <w:szCs w:val="20"/>
                <w:color w:val="auto"/>
              </w:rPr>
            </w:pPr>
            <w:r>
              <w:rPr>
                <w:rFonts w:ascii="Arial" w:cs="Arial" w:eastAsia="Arial" w:hAnsi="Arial"/>
                <w:sz w:val="22"/>
                <w:szCs w:val="22"/>
                <w:b w:val="1"/>
                <w:bCs w:val="1"/>
                <w:color w:val="0000FF"/>
              </w:rPr>
              <w:t>GENERAL INFORMATION</w:t>
            </w:r>
          </w:p>
        </w:tc>
        <w:tc>
          <w:tcPr>
            <w:tcW w:w="680" w:type="dxa"/>
            <w:vAlign w:val="bottom"/>
            <w:gridSpan w:val="5"/>
          </w:tcPr>
          <w:p>
            <w:pPr>
              <w:jc w:val="right"/>
              <w:ind w:right="20"/>
              <w:spacing w:after="0"/>
              <w:rPr>
                <w:sz w:val="20"/>
                <w:szCs w:val="20"/>
                <w:color w:val="auto"/>
              </w:rPr>
            </w:pPr>
            <w:r>
              <w:rPr>
                <w:rFonts w:ascii="Arial" w:cs="Arial" w:eastAsia="Arial" w:hAnsi="Arial"/>
                <w:sz w:val="22"/>
                <w:szCs w:val="22"/>
                <w:b w:val="1"/>
                <w:bCs w:val="1"/>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31"/>
          </w:tcPr>
          <w:p>
            <w:pPr>
              <w:spacing w:after="0"/>
              <w:rPr>
                <w:sz w:val="20"/>
                <w:szCs w:val="20"/>
                <w:color w:val="auto"/>
              </w:rPr>
            </w:pPr>
            <w:r>
              <w:rPr>
                <w:rFonts w:ascii="Arial" w:cs="Arial" w:eastAsia="Arial" w:hAnsi="Arial"/>
                <w:sz w:val="22"/>
                <w:szCs w:val="22"/>
                <w:b w:val="1"/>
                <w:bCs w:val="1"/>
                <w:color w:val="0000FF"/>
              </w:rPr>
              <w:t>BOARD OF DIRECTORS AND CORPORATE GOVERNANCE</w:t>
            </w:r>
          </w:p>
        </w:tc>
        <w:tc>
          <w:tcPr>
            <w:tcW w:w="680" w:type="dxa"/>
            <w:vAlign w:val="bottom"/>
            <w:gridSpan w:val="5"/>
          </w:tcPr>
          <w:p>
            <w:pPr>
              <w:jc w:val="right"/>
              <w:ind w:right="20"/>
              <w:spacing w:after="0"/>
              <w:rPr>
                <w:sz w:val="20"/>
                <w:szCs w:val="20"/>
                <w:color w:val="auto"/>
              </w:rPr>
            </w:pPr>
            <w:r>
              <w:rPr>
                <w:rFonts w:ascii="Arial" w:cs="Arial" w:eastAsia="Arial" w:hAnsi="Arial"/>
                <w:sz w:val="22"/>
                <w:szCs w:val="22"/>
                <w:b w:val="1"/>
                <w:bCs w:val="1"/>
                <w:color w:val="0000FF"/>
              </w:rPr>
              <w:t>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Nominees for Director</w:t>
            </w:r>
          </w:p>
        </w:tc>
        <w:tc>
          <w:tcPr>
            <w:tcW w:w="4200" w:type="dxa"/>
            <w:vAlign w:val="bottom"/>
            <w:tcBorders>
              <w:top w:val="single" w:sz="8" w:color="0000FF"/>
            </w:tcBorders>
            <w:gridSpan w:val="20"/>
          </w:tcPr>
          <w:p>
            <w:pPr>
              <w:spacing w:after="0"/>
              <w:rPr>
                <w:sz w:val="24"/>
                <w:szCs w:val="24"/>
                <w:color w:val="auto"/>
              </w:rPr>
            </w:pPr>
          </w:p>
        </w:tc>
        <w:tc>
          <w:tcPr>
            <w:tcW w:w="4500" w:type="dxa"/>
            <w:vAlign w:val="bottom"/>
            <w:gridSpan w:val="4"/>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9"/>
          </w:tcPr>
          <w:p>
            <w:pPr>
              <w:spacing w:after="0"/>
              <w:rPr>
                <w:sz w:val="20"/>
                <w:szCs w:val="20"/>
                <w:color w:val="auto"/>
              </w:rPr>
            </w:pPr>
            <w:r>
              <w:rPr>
                <w:rFonts w:ascii="Arial" w:cs="Arial" w:eastAsia="Arial" w:hAnsi="Arial"/>
                <w:sz w:val="16"/>
                <w:szCs w:val="16"/>
                <w:color w:val="0000FF"/>
              </w:rPr>
              <w:t>Non-Continuing Director</w:t>
            </w:r>
          </w:p>
        </w:tc>
        <w:tc>
          <w:tcPr>
            <w:tcW w:w="8540" w:type="dxa"/>
            <w:vAlign w:val="bottom"/>
            <w:gridSpan w:val="21"/>
          </w:tcPr>
          <w:p>
            <w:pPr>
              <w:spacing w:after="0"/>
              <w:rPr>
                <w:sz w:val="24"/>
                <w:szCs w:val="24"/>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6"/>
                <w:szCs w:val="16"/>
                <w:b w:val="1"/>
                <w:bCs w:val="1"/>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Director Independence</w:t>
            </w:r>
          </w:p>
        </w:tc>
        <w:tc>
          <w:tcPr>
            <w:tcW w:w="100" w:type="dxa"/>
            <w:vAlign w:val="bottom"/>
            <w:gridSpan w:val="2"/>
          </w:tcPr>
          <w:p>
            <w:pPr>
              <w:spacing w:after="0"/>
              <w:rPr>
                <w:sz w:val="24"/>
                <w:szCs w:val="24"/>
                <w:color w:val="auto"/>
              </w:rPr>
            </w:pPr>
          </w:p>
        </w:tc>
        <w:tc>
          <w:tcPr>
            <w:tcW w:w="8540" w:type="dxa"/>
            <w:vAlign w:val="bottom"/>
            <w:gridSpan w:val="21"/>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Board Leadership Structure and Role of the Lead Independent Director</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9"/>
              </w:rPr>
              <w:t>Board Committees</w:t>
            </w:r>
          </w:p>
        </w:tc>
        <w:tc>
          <w:tcPr>
            <w:tcW w:w="3740" w:type="dxa"/>
            <w:vAlign w:val="bottom"/>
            <w:tcBorders>
              <w:top w:val="single" w:sz="8" w:color="0000FF"/>
            </w:tcBorders>
            <w:gridSpan w:val="18"/>
          </w:tcPr>
          <w:p>
            <w:pPr>
              <w:spacing w:after="0"/>
              <w:rPr>
                <w:sz w:val="24"/>
                <w:szCs w:val="24"/>
                <w:color w:val="auto"/>
              </w:rPr>
            </w:pPr>
          </w:p>
        </w:tc>
        <w:tc>
          <w:tcPr>
            <w:tcW w:w="5200" w:type="dxa"/>
            <w:vAlign w:val="bottom"/>
            <w:gridSpan w:val="7"/>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Attendance at Board and Stockholder Meetings</w:t>
            </w:r>
          </w:p>
        </w:tc>
        <w:tc>
          <w:tcPr>
            <w:tcW w:w="6880" w:type="dxa"/>
            <w:vAlign w:val="bottom"/>
            <w:gridSpan w:val="12"/>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Compensation Committee Interlocks and Insider Participation</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6"/>
                <w:szCs w:val="16"/>
                <w:color w:val="0000FF"/>
              </w:rPr>
              <w:t>Considerations in Evaluating Director Nominees</w:t>
            </w:r>
          </w:p>
        </w:tc>
        <w:tc>
          <w:tcPr>
            <w:tcW w:w="940" w:type="dxa"/>
            <w:vAlign w:val="bottom"/>
            <w:tcBorders>
              <w:top w:val="single" w:sz="8" w:color="0000FF"/>
            </w:tcBorders>
          </w:tcPr>
          <w:p>
            <w:pPr>
              <w:spacing w:after="0"/>
              <w:rPr>
                <w:sz w:val="24"/>
                <w:szCs w:val="24"/>
                <w:color w:val="auto"/>
              </w:rPr>
            </w:pPr>
          </w:p>
        </w:tc>
        <w:tc>
          <w:tcPr>
            <w:tcW w:w="5900" w:type="dxa"/>
            <w:vAlign w:val="bottom"/>
            <w:gridSpan w:val="10"/>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Board Evaluations</w:t>
            </w:r>
          </w:p>
        </w:tc>
        <w:tc>
          <w:tcPr>
            <w:tcW w:w="8960" w:type="dxa"/>
            <w:vAlign w:val="bottom"/>
            <w:gridSpan w:val="26"/>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Stockholder Recommendations and Nominations to the Board of Directors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6"/>
                <w:szCs w:val="16"/>
                <w:color w:val="0000FF"/>
              </w:rPr>
              <w:t>Communications with the Board of Directors</w:t>
            </w:r>
          </w:p>
        </w:tc>
        <w:tc>
          <w:tcPr>
            <w:tcW w:w="2140" w:type="dxa"/>
            <w:vAlign w:val="bottom"/>
            <w:tcBorders>
              <w:top w:val="single" w:sz="8" w:color="0000FF"/>
            </w:tcBorders>
            <w:gridSpan w:val="8"/>
          </w:tcPr>
          <w:p>
            <w:pPr>
              <w:spacing w:after="0"/>
              <w:rPr>
                <w:sz w:val="24"/>
                <w:szCs w:val="24"/>
                <w:color w:val="auto"/>
              </w:rPr>
            </w:pPr>
          </w:p>
        </w:tc>
        <w:tc>
          <w:tcPr>
            <w:tcW w:w="4980" w:type="dxa"/>
            <w:vAlign w:val="bottom"/>
            <w:gridSpan w:val="6"/>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color w:val="0000FF"/>
              </w:rPr>
              <w:t>Corporate Governance Guidelines and Code of Business Conduct and Ethics</w:t>
            </w:r>
          </w:p>
        </w:tc>
        <w:tc>
          <w:tcPr>
            <w:tcW w:w="4740" w:type="dxa"/>
            <w:vAlign w:val="bottom"/>
            <w:gridSpan w:val="5"/>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Stock Ownership Guidelines</w:t>
            </w:r>
          </w:p>
        </w:tc>
        <w:tc>
          <w:tcPr>
            <w:tcW w:w="8240" w:type="dxa"/>
            <w:vAlign w:val="bottom"/>
            <w:gridSpan w:val="18"/>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Role of Board in Risk Oversight Process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Cybersecurity and Data Privacy Governance</w:t>
            </w:r>
          </w:p>
        </w:tc>
        <w:tc>
          <w:tcPr>
            <w:tcW w:w="7080" w:type="dxa"/>
            <w:vAlign w:val="bottom"/>
            <w:gridSpan w:val="13"/>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9"/>
              </w:rPr>
              <w:t>Corporate Responsibility</w:t>
            </w:r>
          </w:p>
        </w:tc>
        <w:tc>
          <w:tcPr>
            <w:tcW w:w="8520" w:type="dxa"/>
            <w:vAlign w:val="bottom"/>
            <w:gridSpan w:val="20"/>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Director Compensation</w:t>
            </w:r>
          </w:p>
        </w:tc>
        <w:tc>
          <w:tcPr>
            <w:tcW w:w="8620" w:type="dxa"/>
            <w:vAlign w:val="bottom"/>
            <w:gridSpan w:val="22"/>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840" w:type="dxa"/>
            <w:vAlign w:val="bottom"/>
            <w:tcBorders>
              <w:bottom w:val="single" w:sz="8" w:color="0000FF"/>
            </w:tcBorders>
            <w:gridSpan w:val="22"/>
          </w:tcPr>
          <w:p>
            <w:pPr>
              <w:spacing w:after="0"/>
              <w:rPr>
                <w:sz w:val="20"/>
                <w:szCs w:val="20"/>
                <w:color w:val="auto"/>
              </w:rPr>
            </w:pPr>
            <w:r>
              <w:rPr>
                <w:rFonts w:ascii="Arial" w:cs="Arial" w:eastAsia="Arial" w:hAnsi="Arial"/>
                <w:sz w:val="22"/>
                <w:szCs w:val="22"/>
                <w:b w:val="1"/>
                <w:bCs w:val="1"/>
                <w:color w:val="0000FF"/>
                <w:w w:val="97"/>
              </w:rPr>
              <w:t>PROPOSAL NO. 1—ELECTION OF DIRECTORS</w:t>
            </w:r>
          </w:p>
        </w:tc>
        <w:tc>
          <w:tcPr>
            <w:tcW w:w="57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b w:val="1"/>
                <w:bCs w:val="1"/>
                <w:color w:val="0000FF"/>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Nominees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Vote Required</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9840" w:type="dxa"/>
            <w:vAlign w:val="bottom"/>
            <w:tcBorders>
              <w:bottom w:val="single" w:sz="8" w:color="0000FF"/>
            </w:tcBorders>
            <w:gridSpan w:val="29"/>
          </w:tcPr>
          <w:p>
            <w:pPr>
              <w:spacing w:after="0"/>
              <w:rPr>
                <w:sz w:val="20"/>
                <w:szCs w:val="20"/>
                <w:color w:val="auto"/>
              </w:rPr>
            </w:pPr>
            <w:r>
              <w:rPr>
                <w:rFonts w:ascii="Arial" w:cs="Arial" w:eastAsia="Arial" w:hAnsi="Arial"/>
                <w:sz w:val="22"/>
                <w:szCs w:val="22"/>
                <w:b w:val="1"/>
                <w:bCs w:val="1"/>
                <w:color w:val="0000FF"/>
                <w:w w:val="97"/>
              </w:rPr>
              <w:t>PROPOSAL NO. 2—RATIFICATION OF APPOINTMENT OF INDEPENDENT REGISTERED PUBLIC</w:t>
            </w:r>
          </w:p>
        </w:tc>
        <w:tc>
          <w:tcPr>
            <w:tcW w:w="700" w:type="dxa"/>
            <w:vAlign w:val="bottom"/>
            <w:gridSpan w:val="2"/>
          </w:tcPr>
          <w:p>
            <w:pPr>
              <w:spacing w:after="0"/>
              <w:rPr>
                <w:sz w:val="24"/>
                <w:szCs w:val="24"/>
                <w:color w:val="auto"/>
              </w:rPr>
            </w:pPr>
          </w:p>
        </w:tc>
        <w:tc>
          <w:tcPr>
            <w:tcW w:w="66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Borders>
              <w:bottom w:val="single" w:sz="8" w:color="0000FF"/>
            </w:tcBorders>
            <w:gridSpan w:val="12"/>
          </w:tcPr>
          <w:p>
            <w:pPr>
              <w:spacing w:after="0" w:line="209" w:lineRule="exact"/>
              <w:rPr>
                <w:sz w:val="20"/>
                <w:szCs w:val="20"/>
                <w:color w:val="auto"/>
              </w:rPr>
            </w:pPr>
            <w:r>
              <w:rPr>
                <w:rFonts w:ascii="Arial" w:cs="Arial" w:eastAsia="Arial" w:hAnsi="Arial"/>
                <w:sz w:val="22"/>
                <w:szCs w:val="22"/>
                <w:b w:val="1"/>
                <w:bCs w:val="1"/>
                <w:color w:val="0000FF"/>
                <w:w w:val="97"/>
              </w:rPr>
              <w:t>ACCOUNTING FIRM</w:t>
            </w:r>
          </w:p>
        </w:tc>
        <w:tc>
          <w:tcPr>
            <w:tcW w:w="8480" w:type="dxa"/>
            <w:vAlign w:val="bottom"/>
            <w:gridSpan w:val="19"/>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rPr>
              <w:t>Fees Paid to the Independent Registered Public Accounting Firm</w:t>
            </w:r>
          </w:p>
        </w:tc>
        <w:tc>
          <w:tcPr>
            <w:tcW w:w="5620" w:type="dxa"/>
            <w:vAlign w:val="bottom"/>
            <w:gridSpan w:val="8"/>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Auditor Independence</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Audit Committee Policy on Pre-Approval of Audit and Permissible Non-Audit Services of Independent Registered Public Accounting Firm</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tcBorders>
              <w:top w:val="single" w:sz="8" w:color="0000FF"/>
            </w:tcBorders>
            <w:gridSpan w:val="29"/>
          </w:tcPr>
          <w:p>
            <w:pPr>
              <w:spacing w:after="0"/>
              <w:rPr>
                <w:sz w:val="20"/>
                <w:szCs w:val="20"/>
                <w:color w:val="auto"/>
              </w:rPr>
            </w:pPr>
            <w:r>
              <w:rPr>
                <w:rFonts w:ascii="Arial" w:cs="Arial" w:eastAsia="Arial" w:hAnsi="Arial"/>
                <w:sz w:val="16"/>
                <w:szCs w:val="16"/>
                <w:color w:val="0000FF"/>
              </w:rPr>
              <w:t>Vote Required</w:t>
            </w:r>
          </w:p>
        </w:tc>
        <w:tc>
          <w:tcPr>
            <w:tcW w:w="5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Report of the Audit Committee</w:t>
            </w:r>
          </w:p>
        </w:tc>
        <w:tc>
          <w:tcPr>
            <w:tcW w:w="8100" w:type="dxa"/>
            <w:vAlign w:val="bottom"/>
            <w:gridSpan w:val="17"/>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0540" w:type="dxa"/>
            <w:vAlign w:val="bottom"/>
            <w:gridSpan w:val="31"/>
          </w:tcPr>
          <w:p>
            <w:pPr>
              <w:spacing w:after="0"/>
              <w:rPr>
                <w:sz w:val="20"/>
                <w:szCs w:val="20"/>
                <w:color w:val="auto"/>
              </w:rPr>
            </w:pPr>
            <w:r>
              <w:rPr>
                <w:rFonts w:ascii="Arial" w:cs="Arial" w:eastAsia="Arial" w:hAnsi="Arial"/>
                <w:sz w:val="22"/>
                <w:szCs w:val="22"/>
                <w:b w:val="1"/>
                <w:bCs w:val="1"/>
                <w:color w:val="0000FF"/>
              </w:rPr>
              <w:t>PROPOSAL NO. 3—ADVISORY VOTE ON THE COMPENSATION OF OUR NAMED EXECUTIVE</w:t>
            </w:r>
          </w:p>
        </w:tc>
        <w:tc>
          <w:tcPr>
            <w:tcW w:w="66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Borders>
              <w:top w:val="single" w:sz="8" w:color="0000FF"/>
              <w:bottom w:val="single" w:sz="8" w:color="0000FF"/>
            </w:tcBorders>
            <w:gridSpan w:val="3"/>
          </w:tcPr>
          <w:p>
            <w:pPr>
              <w:spacing w:after="0" w:line="209" w:lineRule="exact"/>
              <w:rPr>
                <w:sz w:val="20"/>
                <w:szCs w:val="20"/>
                <w:color w:val="auto"/>
              </w:rPr>
            </w:pPr>
            <w:r>
              <w:rPr>
                <w:rFonts w:ascii="Arial" w:cs="Arial" w:eastAsia="Arial" w:hAnsi="Arial"/>
                <w:sz w:val="22"/>
                <w:szCs w:val="22"/>
                <w:b w:val="1"/>
                <w:bCs w:val="1"/>
                <w:color w:val="0000FF"/>
                <w:w w:val="97"/>
              </w:rPr>
              <w:t>OFFICERS</w:t>
            </w:r>
          </w:p>
        </w:tc>
        <w:tc>
          <w:tcPr>
            <w:tcW w:w="8440" w:type="dxa"/>
            <w:vAlign w:val="bottom"/>
            <w:tcBorders>
              <w:top w:val="single" w:sz="8" w:color="0000FF"/>
            </w:tcBorders>
            <w:gridSpan w:val="25"/>
          </w:tcPr>
          <w:p>
            <w:pPr>
              <w:spacing w:after="0"/>
              <w:rPr>
                <w:sz w:val="20"/>
                <w:szCs w:val="20"/>
                <w:color w:val="auto"/>
              </w:rPr>
            </w:pPr>
          </w:p>
        </w:tc>
        <w:tc>
          <w:tcPr>
            <w:tcW w:w="1000" w:type="dxa"/>
            <w:vAlign w:val="bottom"/>
            <w:gridSpan w:val="3"/>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Vote Required</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TABLE OF CONTENTS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9640" w:type="dxa"/>
            <w:vAlign w:val="bottom"/>
            <w:tcBorders>
              <w:bottom w:val="single" w:sz="8" w:color="0000FF"/>
            </w:tcBorders>
            <w:gridSpan w:val="29"/>
          </w:tcPr>
          <w:p>
            <w:pPr>
              <w:spacing w:after="0"/>
              <w:rPr>
                <w:sz w:val="20"/>
                <w:szCs w:val="20"/>
                <w:color w:val="auto"/>
              </w:rPr>
            </w:pPr>
            <w:r>
              <w:rPr>
                <w:rFonts w:ascii="Arial" w:cs="Arial" w:eastAsia="Arial" w:hAnsi="Arial"/>
                <w:sz w:val="22"/>
                <w:szCs w:val="22"/>
                <w:b w:val="1"/>
                <w:bCs w:val="1"/>
                <w:color w:val="0000FF"/>
                <w:w w:val="97"/>
              </w:rPr>
              <w:t>PROPOSAL NO. 4 - PROPOSAL TO APPROVE AN AMENDMENT AND RESTATEMENT OF OUR</w:t>
            </w:r>
          </w:p>
        </w:tc>
        <w:tc>
          <w:tcPr>
            <w:tcW w:w="900" w:type="dxa"/>
            <w:vAlign w:val="bottom"/>
          </w:tcPr>
          <w:p>
            <w:pPr>
              <w:spacing w:after="0"/>
              <w:rPr>
                <w:sz w:val="24"/>
                <w:szCs w:val="2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gridSpan w:val="30"/>
          </w:tcPr>
          <w:p>
            <w:pPr>
              <w:spacing w:after="0" w:line="209" w:lineRule="exact"/>
              <w:rPr>
                <w:sz w:val="20"/>
                <w:szCs w:val="20"/>
                <w:color w:val="auto"/>
              </w:rPr>
            </w:pPr>
            <w:r>
              <w:rPr>
                <w:rFonts w:ascii="Arial" w:cs="Arial" w:eastAsia="Arial" w:hAnsi="Arial"/>
                <w:sz w:val="22"/>
                <w:szCs w:val="22"/>
                <w:b w:val="1"/>
                <w:bCs w:val="1"/>
                <w:color w:val="0000FF"/>
              </w:rPr>
              <w:t xml:space="preserve">ARTICLES </w:t>
            </w:r>
            <w:r>
              <w:rPr>
                <w:rFonts w:ascii="Arial" w:cs="Arial" w:eastAsia="Arial" w:hAnsi="Arial"/>
                <w:sz w:val="22"/>
                <w:szCs w:val="22"/>
                <w:b w:val="1"/>
                <w:bCs w:val="1"/>
                <w:color w:val="000000"/>
              </w:rPr>
              <w:t>(JURY TRIAL WAIVER)</w:t>
            </w:r>
          </w:p>
        </w:tc>
        <w:tc>
          <w:tcPr>
            <w:tcW w:w="6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48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Overview and Background</w:t>
            </w:r>
          </w:p>
        </w:tc>
        <w:tc>
          <w:tcPr>
            <w:tcW w:w="8380" w:type="dxa"/>
            <w:vAlign w:val="bottom"/>
            <w:gridSpan w:val="21"/>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Description of Proposed Amendments</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w w:val="99"/>
              </w:rPr>
              <w:t>Text of Proposed New Article</w:t>
            </w:r>
          </w:p>
        </w:tc>
        <w:tc>
          <w:tcPr>
            <w:tcW w:w="640" w:type="dxa"/>
            <w:vAlign w:val="bottom"/>
            <w:tcBorders>
              <w:top w:val="single" w:sz="8" w:color="0000FF"/>
            </w:tcBorders>
            <w:gridSpan w:val="6"/>
          </w:tcPr>
          <w:p>
            <w:pPr>
              <w:spacing w:after="0"/>
              <w:rPr>
                <w:sz w:val="24"/>
                <w:szCs w:val="24"/>
                <w:color w:val="auto"/>
              </w:rPr>
            </w:pPr>
          </w:p>
        </w:tc>
        <w:tc>
          <w:tcPr>
            <w:tcW w:w="756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Vote Required</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540" w:type="dxa"/>
            <w:vAlign w:val="bottom"/>
            <w:gridSpan w:val="30"/>
          </w:tcPr>
          <w:p>
            <w:pPr>
              <w:spacing w:after="0"/>
              <w:rPr>
                <w:sz w:val="20"/>
                <w:szCs w:val="20"/>
                <w:color w:val="auto"/>
              </w:rPr>
            </w:pPr>
            <w:r>
              <w:rPr>
                <w:rFonts w:ascii="Arial" w:cs="Arial" w:eastAsia="Arial" w:hAnsi="Arial"/>
                <w:sz w:val="22"/>
                <w:szCs w:val="22"/>
                <w:b w:val="1"/>
                <w:bCs w:val="1"/>
                <w:color w:val="0000FF"/>
              </w:rPr>
              <w:t>EXECUTIVE OFFICERS</w:t>
            </w:r>
          </w:p>
        </w:tc>
        <w:tc>
          <w:tcPr>
            <w:tcW w:w="660" w:type="dxa"/>
            <w:vAlign w:val="bottom"/>
            <w:gridSpan w:val="2"/>
          </w:tcPr>
          <w:p>
            <w:pPr>
              <w:jc w:val="right"/>
              <w:spacing w:after="0"/>
              <w:rPr>
                <w:sz w:val="20"/>
                <w:szCs w:val="20"/>
                <w:color w:val="auto"/>
              </w:rPr>
            </w:pPr>
            <w:r>
              <w:rPr>
                <w:rFonts w:ascii="Arial" w:cs="Arial" w:eastAsia="Arial" w:hAnsi="Arial"/>
                <w:sz w:val="22"/>
                <w:szCs w:val="22"/>
                <w:b w:val="1"/>
                <w:bCs w:val="1"/>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040" w:type="dxa"/>
            <w:vAlign w:val="bottom"/>
            <w:tcBorders>
              <w:bottom w:val="single" w:sz="8" w:color="0000FF"/>
            </w:tcBorders>
            <w:gridSpan w:val="18"/>
          </w:tcPr>
          <w:p>
            <w:pPr>
              <w:spacing w:after="0"/>
              <w:rPr>
                <w:sz w:val="20"/>
                <w:szCs w:val="20"/>
                <w:color w:val="auto"/>
              </w:rPr>
            </w:pPr>
            <w:r>
              <w:rPr>
                <w:rFonts w:ascii="Arial" w:cs="Arial" w:eastAsia="Arial" w:hAnsi="Arial"/>
                <w:sz w:val="22"/>
                <w:szCs w:val="22"/>
                <w:b w:val="1"/>
                <w:bCs w:val="1"/>
                <w:color w:val="0000FF"/>
                <w:w w:val="97"/>
              </w:rPr>
              <w:t>EXECUTIVE COMPENSATION</w:t>
            </w:r>
          </w:p>
        </w:tc>
        <w:tc>
          <w:tcPr>
            <w:tcW w:w="750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9"/>
                <w:szCs w:val="19"/>
                <w:b w:val="1"/>
                <w:bCs w:val="1"/>
                <w:color w:val="0000FF"/>
                <w:w w:val="75"/>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Compensation Discussion and Analysis</w:t>
            </w:r>
          </w:p>
        </w:tc>
        <w:tc>
          <w:tcPr>
            <w:tcW w:w="744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Executive Summary</w:t>
            </w:r>
          </w:p>
        </w:tc>
        <w:tc>
          <w:tcPr>
            <w:tcW w:w="8840" w:type="dxa"/>
            <w:vAlign w:val="bottom"/>
            <w:gridSpan w:val="2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Executive Compensation Philosophy and Objectives</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Borders>
              <w:top w:val="single" w:sz="8" w:color="0000FF"/>
            </w:tcBorders>
            <w:gridSpan w:val="22"/>
          </w:tcPr>
          <w:p>
            <w:pPr>
              <w:spacing w:after="0"/>
              <w:rPr>
                <w:sz w:val="20"/>
                <w:szCs w:val="20"/>
                <w:color w:val="auto"/>
              </w:rPr>
            </w:pPr>
            <w:r>
              <w:rPr>
                <w:rFonts w:ascii="Arial" w:cs="Arial" w:eastAsia="Arial" w:hAnsi="Arial"/>
                <w:sz w:val="16"/>
                <w:szCs w:val="16"/>
                <w:color w:val="0000FF"/>
              </w:rPr>
              <w:t>Compensation-Setting Process</w:t>
            </w:r>
          </w:p>
        </w:tc>
        <w:tc>
          <w:tcPr>
            <w:tcW w:w="654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Compensation Elements</w:t>
            </w:r>
          </w:p>
        </w:tc>
        <w:tc>
          <w:tcPr>
            <w:tcW w:w="8060" w:type="dxa"/>
            <w:vAlign w:val="bottom"/>
            <w:gridSpan w:val="1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Employment Arrangements</w:t>
            </w:r>
          </w:p>
        </w:tc>
        <w:tc>
          <w:tcPr>
            <w:tcW w:w="8320" w:type="dxa"/>
            <w:vAlign w:val="bottom"/>
            <w:gridSpan w:val="20"/>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Post-Employment Compensation</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9"/>
              </w:rPr>
              <w:t>Tax and Accounting Considerations</w:t>
            </w:r>
          </w:p>
        </w:tc>
        <w:tc>
          <w:tcPr>
            <w:tcW w:w="7740" w:type="dxa"/>
            <w:vAlign w:val="bottom"/>
            <w:gridSpan w:val="15"/>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Report of the Compensation Committee</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Compensation Risk Assessment</w:t>
            </w:r>
          </w:p>
        </w:tc>
        <w:tc>
          <w:tcPr>
            <w:tcW w:w="744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w w:val="99"/>
              </w:rPr>
              <w:t>Summary Compensation Table for Fiscal Year 2025</w:t>
            </w:r>
          </w:p>
        </w:tc>
        <w:tc>
          <w:tcPr>
            <w:tcW w:w="658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Grants of Plan-Based Awards in 2025</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20" w:type="dxa"/>
            <w:vAlign w:val="bottom"/>
            <w:gridSpan w:val="8"/>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Outstanding Equity Awards at 2025 Year-End</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rPr>
              <w:t>Co-Founder Grant</w:t>
            </w:r>
          </w:p>
        </w:tc>
        <w:tc>
          <w:tcPr>
            <w:tcW w:w="1920" w:type="dxa"/>
            <w:vAlign w:val="bottom"/>
            <w:tcBorders>
              <w:top w:val="single" w:sz="8" w:color="0000FF"/>
            </w:tcBorders>
            <w:gridSpan w:val="16"/>
          </w:tcPr>
          <w:p>
            <w:pPr>
              <w:spacing w:after="0"/>
              <w:rPr>
                <w:sz w:val="24"/>
                <w:szCs w:val="24"/>
                <w:color w:val="auto"/>
              </w:rPr>
            </w:pPr>
          </w:p>
        </w:tc>
        <w:tc>
          <w:tcPr>
            <w:tcW w:w="70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Option Exercises and Stock Vested in 2025</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320" w:type="dxa"/>
            <w:vAlign w:val="bottom"/>
            <w:gridSpan w:val="12"/>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color w:val="0000FF"/>
              </w:rPr>
              <w:t>Potential Payments on Termination or Change in Control</w:t>
            </w:r>
          </w:p>
        </w:tc>
        <w:tc>
          <w:tcPr>
            <w:tcW w:w="62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CEO Pay Ratio</w:t>
            </w:r>
          </w:p>
        </w:tc>
        <w:tc>
          <w:tcPr>
            <w:tcW w:w="9180" w:type="dxa"/>
            <w:vAlign w:val="bottom"/>
            <w:gridSpan w:val="26"/>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Pay Versus Performance</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00FF"/>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23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840" w:type="dxa"/>
            <w:vAlign w:val="bottom"/>
            <w:tcBorders>
              <w:bottom w:val="single" w:sz="8" w:color="0000FF"/>
            </w:tcBorders>
            <w:gridSpan w:val="26"/>
          </w:tcPr>
          <w:p>
            <w:pPr>
              <w:spacing w:after="0"/>
              <w:rPr>
                <w:sz w:val="20"/>
                <w:szCs w:val="20"/>
                <w:color w:val="auto"/>
              </w:rPr>
            </w:pPr>
            <w:r>
              <w:rPr>
                <w:rFonts w:ascii="Arial" w:cs="Arial" w:eastAsia="Arial" w:hAnsi="Arial"/>
                <w:sz w:val="22"/>
                <w:szCs w:val="22"/>
                <w:b w:val="1"/>
                <w:bCs w:val="1"/>
                <w:color w:val="0000FF"/>
                <w:w w:val="97"/>
              </w:rPr>
              <w:t>EQUITY COMPENSATION PLAN INFORMATION</w:t>
            </w:r>
          </w:p>
        </w:tc>
        <w:tc>
          <w:tcPr>
            <w:tcW w:w="570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9"/>
                <w:szCs w:val="19"/>
                <w:b w:val="1"/>
                <w:bCs w:val="1"/>
                <w:color w:val="0000FF"/>
                <w:w w:val="75"/>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0540" w:type="dxa"/>
            <w:vAlign w:val="bottom"/>
            <w:gridSpan w:val="30"/>
          </w:tcPr>
          <w:p>
            <w:pPr>
              <w:spacing w:after="0"/>
              <w:rPr>
                <w:sz w:val="20"/>
                <w:szCs w:val="20"/>
                <w:color w:val="auto"/>
              </w:rPr>
            </w:pPr>
            <w:r>
              <w:rPr>
                <w:rFonts w:ascii="Arial" w:cs="Arial" w:eastAsia="Arial" w:hAnsi="Arial"/>
                <w:sz w:val="22"/>
                <w:szCs w:val="22"/>
                <w:b w:val="1"/>
                <w:bCs w:val="1"/>
                <w:color w:val="0000FF"/>
              </w:rPr>
              <w:t>SECURITY OWNERSHIP OF CERTAIN BENEFICIAL OWNERS AND MANAGEMENT</w:t>
            </w:r>
          </w:p>
        </w:tc>
        <w:tc>
          <w:tcPr>
            <w:tcW w:w="660" w:type="dxa"/>
            <w:vAlign w:val="bottom"/>
            <w:gridSpan w:val="2"/>
          </w:tcPr>
          <w:p>
            <w:pPr>
              <w:jc w:val="right"/>
              <w:spacing w:after="0"/>
              <w:rPr>
                <w:sz w:val="20"/>
                <w:szCs w:val="20"/>
                <w:color w:val="auto"/>
              </w:rPr>
            </w:pPr>
            <w:r>
              <w:rPr>
                <w:rFonts w:ascii="Arial" w:cs="Arial" w:eastAsia="Arial" w:hAnsi="Arial"/>
                <w:sz w:val="22"/>
                <w:szCs w:val="22"/>
                <w:b w:val="1"/>
                <w:bCs w:val="1"/>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400" w:type="dxa"/>
            <w:vAlign w:val="bottom"/>
            <w:tcBorders>
              <w:top w:val="single" w:sz="8" w:color="0000FF"/>
            </w:tcBorders>
            <w:gridSpan w:val="28"/>
          </w:tcPr>
          <w:p>
            <w:pPr>
              <w:spacing w:after="0"/>
              <w:rPr>
                <w:sz w:val="20"/>
                <w:szCs w:val="20"/>
                <w:color w:val="auto"/>
              </w:rPr>
            </w:pPr>
            <w:r>
              <w:rPr>
                <w:rFonts w:ascii="Arial" w:cs="Arial" w:eastAsia="Arial" w:hAnsi="Arial"/>
                <w:sz w:val="22"/>
                <w:szCs w:val="22"/>
                <w:b w:val="1"/>
                <w:bCs w:val="1"/>
                <w:color w:val="0000FF"/>
              </w:rPr>
              <w:t>CERTAIN RELATIONSHIPS, RELATED PARTY AND OTHER TRANSACTIONS</w:t>
            </w:r>
          </w:p>
        </w:tc>
        <w:tc>
          <w:tcPr>
            <w:tcW w:w="21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9"/>
                <w:szCs w:val="19"/>
                <w:b w:val="1"/>
                <w:bCs w:val="1"/>
                <w:color w:val="0000FF"/>
                <w:w w:val="75"/>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500" w:type="dxa"/>
            <w:vAlign w:val="bottom"/>
            <w:tcBorders>
              <w:top w:val="single" w:sz="8" w:color="0000FF"/>
            </w:tcBorders>
            <w:gridSpan w:val="26"/>
          </w:tcPr>
          <w:p>
            <w:pPr>
              <w:spacing w:after="0"/>
              <w:rPr>
                <w:sz w:val="20"/>
                <w:szCs w:val="20"/>
                <w:color w:val="auto"/>
              </w:rPr>
            </w:pPr>
            <w:r>
              <w:rPr>
                <w:rFonts w:ascii="Arial" w:cs="Arial" w:eastAsia="Arial" w:hAnsi="Arial"/>
                <w:sz w:val="16"/>
                <w:szCs w:val="16"/>
                <w:color w:val="0000FF"/>
              </w:rPr>
              <w:t>Policies and Procedures for Related Person Transactions</w:t>
            </w:r>
          </w:p>
        </w:tc>
        <w:tc>
          <w:tcPr>
            <w:tcW w:w="278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TABLE OF CONTENTS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5"/>
              </w:rPr>
              <w:t>Page</w:t>
            </w:r>
          </w:p>
        </w:tc>
      </w:tr>
      <w:tr>
        <w:trPr>
          <w:trHeight w:val="359"/>
        </w:trPr>
        <w:tc>
          <w:tcPr>
            <w:tcW w:w="20" w:type="dxa"/>
            <w:vAlign w:val="bottom"/>
          </w:tcPr>
          <w:p>
            <w:pPr>
              <w:spacing w:after="0"/>
              <w:rPr>
                <w:sz w:val="24"/>
                <w:szCs w:val="24"/>
                <w:color w:val="auto"/>
              </w:rPr>
            </w:pPr>
          </w:p>
        </w:tc>
        <w:tc>
          <w:tcPr>
            <w:tcW w:w="10540" w:type="dxa"/>
            <w:vAlign w:val="bottom"/>
            <w:gridSpan w:val="8"/>
          </w:tcPr>
          <w:p>
            <w:pPr>
              <w:spacing w:after="0"/>
              <w:rPr>
                <w:sz w:val="20"/>
                <w:szCs w:val="20"/>
                <w:color w:val="auto"/>
              </w:rPr>
            </w:pPr>
            <w:r>
              <w:rPr>
                <w:rFonts w:ascii="Arial" w:cs="Arial" w:eastAsia="Arial" w:hAnsi="Arial"/>
                <w:sz w:val="22"/>
                <w:szCs w:val="22"/>
                <w:b w:val="1"/>
                <w:bCs w:val="1"/>
                <w:color w:val="0000FF"/>
              </w:rPr>
              <w:t>OTHER MATTERS</w:t>
            </w:r>
          </w:p>
        </w:tc>
        <w:tc>
          <w:tcPr>
            <w:tcW w:w="660" w:type="dxa"/>
            <w:vAlign w:val="bottom"/>
            <w:gridSpan w:val="4"/>
          </w:tcPr>
          <w:p>
            <w:pPr>
              <w:jc w:val="right"/>
              <w:spacing w:after="0"/>
              <w:rPr>
                <w:sz w:val="20"/>
                <w:szCs w:val="20"/>
                <w:color w:val="auto"/>
              </w:rPr>
            </w:pPr>
            <w:r>
              <w:rPr>
                <w:rFonts w:ascii="Arial" w:cs="Arial" w:eastAsia="Arial" w:hAnsi="Arial"/>
                <w:sz w:val="22"/>
                <w:szCs w:val="22"/>
                <w:b w:val="1"/>
                <w:bCs w:val="1"/>
                <w:color w:val="0000FF"/>
              </w:rPr>
              <w:t>70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Section 16(a) Beneficial Ownership Reporting Compliance</w:t>
            </w:r>
          </w:p>
        </w:tc>
        <w:tc>
          <w:tcPr>
            <w:tcW w:w="6100" w:type="dxa"/>
            <w:vAlign w:val="bottom"/>
            <w:gridSpan w:val="2"/>
          </w:tcPr>
          <w:p>
            <w:pPr>
              <w:spacing w:after="0"/>
              <w:rPr>
                <w:sz w:val="24"/>
                <w:szCs w:val="24"/>
                <w:color w:val="auto"/>
              </w:rPr>
            </w:pPr>
          </w:p>
        </w:tc>
        <w:tc>
          <w:tcPr>
            <w:tcW w:w="480" w:type="dxa"/>
            <w:vAlign w:val="bottom"/>
            <w:gridSpan w:val="3"/>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70</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7"/>
          </w:tcPr>
          <w:p>
            <w:pPr>
              <w:spacing w:after="0"/>
              <w:rPr>
                <w:sz w:val="20"/>
                <w:szCs w:val="20"/>
                <w:color w:val="auto"/>
              </w:rPr>
            </w:pPr>
            <w:r>
              <w:rPr>
                <w:rFonts w:ascii="Arial" w:cs="Arial" w:eastAsia="Arial" w:hAnsi="Arial"/>
                <w:sz w:val="16"/>
                <w:szCs w:val="16"/>
                <w:color w:val="0000FF"/>
              </w:rPr>
              <w:t>Fiscal Year 2025 Annual Report and SEC Filings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70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8"/>
          </w:tcPr>
          <w:p>
            <w:pPr>
              <w:spacing w:after="0"/>
              <w:rPr>
                <w:sz w:val="20"/>
                <w:szCs w:val="20"/>
                <w:color w:val="auto"/>
              </w:rPr>
            </w:pPr>
            <w:r>
              <w:rPr>
                <w:rFonts w:ascii="Arial" w:cs="Arial" w:eastAsia="Arial" w:hAnsi="Arial"/>
                <w:sz w:val="22"/>
                <w:szCs w:val="22"/>
                <w:b w:val="1"/>
                <w:bCs w:val="1"/>
                <w:color w:val="0000FF"/>
              </w:rPr>
              <w:t>APPENDIX A</w:t>
            </w:r>
          </w:p>
        </w:tc>
        <w:tc>
          <w:tcPr>
            <w:tcW w:w="320" w:type="dxa"/>
            <w:vAlign w:val="bottom"/>
          </w:tcPr>
          <w:p>
            <w:pPr>
              <w:spacing w:after="0"/>
              <w:rPr>
                <w:sz w:val="24"/>
                <w:szCs w:val="24"/>
                <w:color w:val="auto"/>
              </w:rPr>
            </w:pPr>
          </w:p>
        </w:tc>
        <w:tc>
          <w:tcPr>
            <w:tcW w:w="360" w:type="dxa"/>
            <w:vAlign w:val="bottom"/>
            <w:gridSpan w:val="4"/>
          </w:tcPr>
          <w:p>
            <w:pPr>
              <w:jc w:val="right"/>
              <w:ind w:right="20"/>
              <w:spacing w:after="0"/>
              <w:rPr>
                <w:sz w:val="20"/>
                <w:szCs w:val="20"/>
                <w:color w:val="auto"/>
              </w:rPr>
            </w:pPr>
            <w:r>
              <w:rPr>
                <w:rFonts w:ascii="Arial" w:cs="Arial" w:eastAsia="Arial" w:hAnsi="Arial"/>
                <w:sz w:val="22"/>
                <w:szCs w:val="22"/>
                <w:b w:val="1"/>
                <w:bCs w:val="1"/>
                <w:color w:val="0000FF"/>
                <w:w w:val="90"/>
              </w:rPr>
              <w:t>A-1</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gridSpan w:val="6"/>
          </w:tcPr>
          <w:p>
            <w:pPr>
              <w:spacing w:after="0"/>
              <w:rPr>
                <w:sz w:val="20"/>
                <w:szCs w:val="20"/>
                <w:color w:val="auto"/>
              </w:rPr>
            </w:pPr>
            <w:r>
              <w:rPr>
                <w:rFonts w:ascii="Arial" w:cs="Arial" w:eastAsia="Arial" w:hAnsi="Arial"/>
                <w:sz w:val="16"/>
                <w:szCs w:val="16"/>
                <w:color w:val="0000FF"/>
              </w:rPr>
              <w:t>Reconciliation of GAAP financial measures to non-GAAP financial measures</w:t>
            </w:r>
          </w:p>
        </w:tc>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0000FF"/>
                <w:w w:val="92"/>
              </w:rPr>
              <w:t>A-1</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540" w:type="dxa"/>
            <w:vAlign w:val="bottom"/>
            <w:gridSpan w:val="8"/>
          </w:tcPr>
          <w:p>
            <w:pPr>
              <w:spacing w:after="0"/>
              <w:rPr>
                <w:sz w:val="20"/>
                <w:szCs w:val="20"/>
                <w:color w:val="auto"/>
              </w:rPr>
            </w:pPr>
            <w:r>
              <w:rPr>
                <w:rFonts w:ascii="Arial" w:cs="Arial" w:eastAsia="Arial" w:hAnsi="Arial"/>
                <w:sz w:val="22"/>
                <w:szCs w:val="22"/>
                <w:b w:val="1"/>
                <w:bCs w:val="1"/>
                <w:color w:val="0000FF"/>
              </w:rPr>
              <w:t>APPENDIX B</w:t>
            </w:r>
          </w:p>
        </w:tc>
        <w:tc>
          <w:tcPr>
            <w:tcW w:w="680" w:type="dxa"/>
            <w:vAlign w:val="bottom"/>
            <w:gridSpan w:val="5"/>
          </w:tcPr>
          <w:p>
            <w:pPr>
              <w:jc w:val="right"/>
              <w:ind w:right="20"/>
              <w:spacing w:after="0"/>
              <w:rPr>
                <w:sz w:val="20"/>
                <w:szCs w:val="20"/>
                <w:color w:val="auto"/>
              </w:rPr>
            </w:pPr>
            <w:r>
              <w:rPr>
                <w:rFonts w:ascii="Arial" w:cs="Arial" w:eastAsia="Arial" w:hAnsi="Arial"/>
                <w:sz w:val="22"/>
                <w:szCs w:val="22"/>
                <w:b w:val="1"/>
                <w:bCs w:val="1"/>
                <w:color w:val="0000FF"/>
              </w:rPr>
              <w:t>B-1</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7"/>
          </w:tcPr>
          <w:p>
            <w:pPr>
              <w:spacing w:after="0"/>
              <w:rPr>
                <w:sz w:val="20"/>
                <w:szCs w:val="20"/>
                <w:color w:val="auto"/>
              </w:rPr>
            </w:pPr>
            <w:r>
              <w:rPr>
                <w:rFonts w:ascii="Arial" w:cs="Arial" w:eastAsia="Arial" w:hAnsi="Arial"/>
                <w:sz w:val="16"/>
                <w:szCs w:val="16"/>
                <w:color w:val="0000FF"/>
              </w:rPr>
              <w:t>Redline of Proposed Amended and Restated Articles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0000FF"/>
                <w:w w:val="92"/>
              </w:rPr>
              <w:t>B-1</w:t>
            </w:r>
          </w:p>
        </w:tc>
      </w:tr>
      <w:tr>
        <w:trPr>
          <w:trHeight w:val="1216"/>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9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0063A6"/>
        </w:rPr>
        <w:t>GENERAL INFORMATION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DROPBOX, INC.</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PROXY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FOR THE 2026 ANNUAL MEETING OF STOCKHOLDERS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to be held at 9:00 am Pacific Time on Thursday,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May 21, 2026</w:t>
      </w:r>
    </w:p>
    <w:p>
      <w:pPr>
        <w:spacing w:after="0" w:line="16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This proxy statement and the enclosed form of proxy are furnished in connection with the solicitation of proxies by our board of directors for use at the 2026 annual meeting of stockholders of Dropbox, Inc., a Nevada corporation, and any postponements, adjournments or continuations thereof (the “</w:t>
      </w:r>
      <w:r>
        <w:rPr>
          <w:rFonts w:ascii="Arial" w:cs="Arial" w:eastAsia="Arial" w:hAnsi="Arial"/>
          <w:sz w:val="16"/>
          <w:szCs w:val="16"/>
          <w:b w:val="1"/>
          <w:bCs w:val="1"/>
          <w:i w:val="1"/>
          <w:iCs w:val="1"/>
          <w:color w:val="auto"/>
        </w:rPr>
        <w:t>Annual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Meeting</w:t>
      </w:r>
      <w:r>
        <w:rPr>
          <w:rFonts w:ascii="Arial" w:cs="Arial" w:eastAsia="Arial" w:hAnsi="Arial"/>
          <w:sz w:val="16"/>
          <w:szCs w:val="16"/>
          <w:color w:val="auto"/>
        </w:rPr>
        <w:t>”). The Annual Meeting will be held on Thursday, May 21, 2026 at 9:00 am Pacific Time. The Annual Meeting will be conducted virtually via live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audio webcast. You will be able to attend the Annual Meeting virtually by visiting www.virtualshareholdermeeting.com/DBX2026, where you will be able to listen to the meeting live, submit questions and vote online. Our proxy statement and 2025 annual report are first being mailed on or about [_____], 2026 to all stockholders entitled to vote at the Annual Meeting.</w:t>
      </w:r>
    </w:p>
    <w:p>
      <w:pPr>
        <w:spacing w:after="0" w:line="128"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What matters am I voting 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You are being asked to vote on:</w:t>
      </w:r>
    </w:p>
    <w:p>
      <w:pPr>
        <w:spacing w:after="0" w:line="167"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0063A6"/>
        </w:rPr>
      </w:pPr>
      <w:r>
        <w:rPr>
          <w:rFonts w:ascii="Arial" w:cs="Arial" w:eastAsia="Arial" w:hAnsi="Arial"/>
          <w:sz w:val="16"/>
          <w:szCs w:val="16"/>
          <w:color w:val="auto"/>
        </w:rPr>
        <w:t>the election of seven directors to serve until the next annual meeting of stockholders or until their successors are duly elected and qualified;</w:t>
      </w:r>
    </w:p>
    <w:p>
      <w:pPr>
        <w:spacing w:after="0" w:line="167" w:lineRule="exact"/>
        <w:rPr>
          <w:rFonts w:ascii="Arial" w:cs="Arial" w:eastAsia="Arial" w:hAnsi="Arial"/>
          <w:sz w:val="16"/>
          <w:szCs w:val="16"/>
          <w:color w:val="0063A6"/>
        </w:rPr>
      </w:pPr>
    </w:p>
    <w:p>
      <w:pPr>
        <w:ind w:left="340" w:right="100" w:hanging="332"/>
        <w:spacing w:after="0" w:line="286" w:lineRule="auto"/>
        <w:tabs>
          <w:tab w:leader="none" w:pos="329" w:val="left"/>
        </w:tabs>
        <w:numPr>
          <w:ilvl w:val="0"/>
          <w:numId w:val="6"/>
        </w:numPr>
        <w:rPr>
          <w:rFonts w:ascii="Arial" w:cs="Arial" w:eastAsia="Arial" w:hAnsi="Arial"/>
          <w:sz w:val="16"/>
          <w:szCs w:val="16"/>
          <w:color w:val="0063A6"/>
        </w:rPr>
      </w:pPr>
      <w:r>
        <w:rPr>
          <w:rFonts w:ascii="Arial" w:cs="Arial" w:eastAsia="Arial" w:hAnsi="Arial"/>
          <w:sz w:val="16"/>
          <w:szCs w:val="16"/>
          <w:color w:val="auto"/>
        </w:rPr>
        <w:t>a proposal to ratify the appointment of Ernst &amp; Young LLP as our independent registered public accounting firm for our fiscal year ending December 31, 2026;</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6"/>
        </w:numPr>
        <w:rPr>
          <w:rFonts w:ascii="Arial" w:cs="Arial" w:eastAsia="Arial" w:hAnsi="Arial"/>
          <w:sz w:val="16"/>
          <w:szCs w:val="16"/>
          <w:color w:val="0063A6"/>
        </w:rPr>
      </w:pPr>
      <w:r>
        <w:rPr>
          <w:rFonts w:ascii="Arial" w:cs="Arial" w:eastAsia="Arial" w:hAnsi="Arial"/>
          <w:sz w:val="16"/>
          <w:szCs w:val="16"/>
          <w:color w:val="auto"/>
        </w:rPr>
        <w:t>a proposal to approve, on an advisory basis, the compensation of our named executive officers;</w:t>
      </w:r>
    </w:p>
    <w:p>
      <w:pPr>
        <w:spacing w:after="0" w:line="153" w:lineRule="exact"/>
        <w:rPr>
          <w:rFonts w:ascii="Arial" w:cs="Arial" w:eastAsia="Arial" w:hAnsi="Arial"/>
          <w:sz w:val="16"/>
          <w:szCs w:val="16"/>
          <w:color w:val="0063A6"/>
        </w:rPr>
      </w:pPr>
    </w:p>
    <w:p>
      <w:pPr>
        <w:ind w:left="340" w:right="740" w:hanging="332"/>
        <w:spacing w:after="0" w:line="286" w:lineRule="auto"/>
        <w:tabs>
          <w:tab w:leader="none" w:pos="329" w:val="left"/>
        </w:tabs>
        <w:numPr>
          <w:ilvl w:val="0"/>
          <w:numId w:val="6"/>
        </w:numPr>
        <w:rPr>
          <w:rFonts w:ascii="Arial" w:cs="Arial" w:eastAsia="Arial" w:hAnsi="Arial"/>
          <w:sz w:val="16"/>
          <w:szCs w:val="16"/>
          <w:color w:val="auto"/>
        </w:rPr>
      </w:pPr>
      <w:r>
        <w:rPr>
          <w:rFonts w:ascii="Arial" w:cs="Arial" w:eastAsia="Arial" w:hAnsi="Arial"/>
          <w:sz w:val="16"/>
          <w:szCs w:val="16"/>
          <w:color w:val="auto"/>
        </w:rPr>
        <w:t>a proposal to approve an amendment and restatement of our Articles to waive jury trials for internal actions, together with contextual and other ministerial changes; and</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0063A6"/>
        </w:rPr>
      </w:pPr>
      <w:r>
        <w:rPr>
          <w:rFonts w:ascii="Arial" w:cs="Arial" w:eastAsia="Arial" w:hAnsi="Arial"/>
          <w:sz w:val="16"/>
          <w:szCs w:val="16"/>
          <w:color w:val="auto"/>
        </w:rPr>
        <w:t>any other business as may properly come before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does the board of directors recommend I vote on these proposals?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a vote:</w:t>
      </w:r>
    </w:p>
    <w:p>
      <w:pPr>
        <w:spacing w:after="0" w:line="16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“FOR” the election of each director nominee named in this proxy statement;</w:t>
      </w:r>
    </w:p>
    <w:p>
      <w:pPr>
        <w:spacing w:after="0" w:line="167" w:lineRule="exact"/>
        <w:rPr>
          <w:rFonts w:ascii="Arial" w:cs="Arial" w:eastAsia="Arial" w:hAnsi="Arial"/>
          <w:sz w:val="16"/>
          <w:szCs w:val="16"/>
          <w:color w:val="0063A6"/>
        </w:rPr>
      </w:pPr>
    </w:p>
    <w:p>
      <w:pPr>
        <w:ind w:left="340" w:right="20" w:hanging="332"/>
        <w:spacing w:after="0" w:line="286" w:lineRule="auto"/>
        <w:tabs>
          <w:tab w:leader="none" w:pos="329" w:val="left"/>
        </w:tabs>
        <w:numPr>
          <w:ilvl w:val="0"/>
          <w:numId w:val="7"/>
        </w:numPr>
        <w:rPr>
          <w:rFonts w:ascii="Arial" w:cs="Arial" w:eastAsia="Arial" w:hAnsi="Arial"/>
          <w:sz w:val="16"/>
          <w:szCs w:val="16"/>
          <w:color w:val="0063A6"/>
        </w:rPr>
      </w:pPr>
      <w:r>
        <w:rPr>
          <w:rFonts w:ascii="Arial" w:cs="Arial" w:eastAsia="Arial" w:hAnsi="Arial"/>
          <w:sz w:val="16"/>
          <w:szCs w:val="16"/>
          <w:color w:val="auto"/>
        </w:rPr>
        <w:t>“FOR” the ratification of the appointment of Ernst &amp; Young LLP as our independent registered public accounting firm for our fiscal year ending December 31, 2026;</w:t>
      </w:r>
    </w:p>
    <w:p>
      <w:pPr>
        <w:spacing w:after="0" w:line="88" w:lineRule="exact"/>
        <w:rPr>
          <w:rFonts w:ascii="Arial" w:cs="Arial" w:eastAsia="Arial" w:hAnsi="Arial"/>
          <w:sz w:val="16"/>
          <w:szCs w:val="16"/>
          <w:color w:val="0063A6"/>
        </w:rPr>
      </w:pPr>
    </w:p>
    <w:p>
      <w:pPr>
        <w:ind w:left="320" w:hanging="312"/>
        <w:spacing w:after="0"/>
        <w:tabs>
          <w:tab w:leader="none" w:pos="32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“FOR” the approval, on an advisory basis, of the compensation of our named executive officers;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amendment and restatement of our Articles to waive jury trials for internal actions, together with contextual and other ministerial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11"/>
        </w:trPr>
        <w:tc>
          <w:tcPr>
            <w:tcW w:w="109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GENERAL INFORMATION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many votes are needed for approval of each proposal?</w:t>
      </w:r>
    </w:p>
    <w:p>
      <w:pPr>
        <w:spacing w:after="0" w:line="86" w:lineRule="exact"/>
        <w:rPr>
          <w:sz w:val="20"/>
          <w:szCs w:val="20"/>
          <w:color w:val="auto"/>
        </w:rPr>
      </w:pPr>
    </w:p>
    <w:p>
      <w:pPr>
        <w:ind w:left="340" w:right="100" w:hanging="332"/>
        <w:spacing w:after="0" w:line="256" w:lineRule="auto"/>
        <w:tabs>
          <w:tab w:leader="none" w:pos="329" w:val="left"/>
        </w:tabs>
        <w:numPr>
          <w:ilvl w:val="0"/>
          <w:numId w:val="8"/>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1: </w:t>
      </w:r>
      <w:r>
        <w:rPr>
          <w:rFonts w:ascii="Arial" w:cs="Arial" w:eastAsia="Arial" w:hAnsi="Arial"/>
          <w:sz w:val="16"/>
          <w:szCs w:val="16"/>
          <w:color w:val="000000"/>
        </w:rPr>
        <w:t>Each director is elected by a plurality of the votes of the shares present virtually or represented by proxy at the meeting and entitled to</w:t>
      </w:r>
      <w:r>
        <w:rPr>
          <w:rFonts w:ascii="Arial" w:cs="Arial" w:eastAsia="Arial" w:hAnsi="Arial"/>
          <w:sz w:val="16"/>
          <w:szCs w:val="16"/>
          <w:b w:val="1"/>
          <w:bCs w:val="1"/>
          <w:color w:val="0063A6"/>
        </w:rPr>
        <w:t xml:space="preserve"> </w:t>
      </w:r>
      <w:r>
        <w:rPr>
          <w:rFonts w:ascii="Arial" w:cs="Arial" w:eastAsia="Arial" w:hAnsi="Arial"/>
          <w:sz w:val="16"/>
          <w:szCs w:val="16"/>
          <w:color w:val="000000"/>
        </w:rPr>
        <w:t>vote on the election of directors at the Annual Meeting. Abstentions and broker non-votes will have no effect on the outcome of the vote.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112" w:lineRule="exact"/>
        <w:rPr>
          <w:rFonts w:ascii="Arial" w:cs="Arial" w:eastAsia="Arial" w:hAnsi="Arial"/>
          <w:sz w:val="16"/>
          <w:szCs w:val="16"/>
          <w:color w:val="0063A6"/>
        </w:rPr>
      </w:pPr>
    </w:p>
    <w:p>
      <w:pPr>
        <w:ind w:left="340" w:hanging="332"/>
        <w:spacing w:after="0" w:line="256" w:lineRule="auto"/>
        <w:tabs>
          <w:tab w:leader="none" w:pos="329" w:val="left"/>
        </w:tabs>
        <w:numPr>
          <w:ilvl w:val="0"/>
          <w:numId w:val="8"/>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2: </w:t>
      </w:r>
      <w:r>
        <w:rPr>
          <w:rFonts w:ascii="Arial" w:cs="Arial" w:eastAsia="Arial" w:hAnsi="Arial"/>
          <w:sz w:val="16"/>
          <w:szCs w:val="16"/>
          <w:color w:val="000000"/>
        </w:rPr>
        <w:t>The ratification of the appointment of Ernst &amp; Young LLP as our independent registered public accounting firm for our fiscal year ending</w:t>
      </w:r>
      <w:r>
        <w:rPr>
          <w:rFonts w:ascii="Arial" w:cs="Arial" w:eastAsia="Arial" w:hAnsi="Arial"/>
          <w:sz w:val="16"/>
          <w:szCs w:val="16"/>
          <w:b w:val="1"/>
          <w:bCs w:val="1"/>
          <w:color w:val="0063A6"/>
        </w:rPr>
        <w:t xml:space="preserve"> </w:t>
      </w:r>
      <w:r>
        <w:rPr>
          <w:rFonts w:ascii="Arial" w:cs="Arial" w:eastAsia="Arial" w:hAnsi="Arial"/>
          <w:sz w:val="16"/>
          <w:szCs w:val="16"/>
          <w:color w:val="000000"/>
        </w:rPr>
        <w:t>December 31, 2026, requires the affirmative vote of a majority of the voting power of the shares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12" w:lineRule="exact"/>
        <w:rPr>
          <w:rFonts w:ascii="Arial" w:cs="Arial" w:eastAsia="Arial" w:hAnsi="Arial"/>
          <w:sz w:val="16"/>
          <w:szCs w:val="16"/>
          <w:color w:val="0063A6"/>
        </w:rPr>
      </w:pPr>
    </w:p>
    <w:p>
      <w:pPr>
        <w:ind w:left="340" w:right="20" w:hanging="332"/>
        <w:spacing w:after="0" w:line="251" w:lineRule="auto"/>
        <w:tabs>
          <w:tab w:leader="none" w:pos="329" w:val="left"/>
        </w:tabs>
        <w:numPr>
          <w:ilvl w:val="0"/>
          <w:numId w:val="8"/>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3: </w:t>
      </w:r>
      <w:r>
        <w:rPr>
          <w:rFonts w:ascii="Arial" w:cs="Arial" w:eastAsia="Arial" w:hAnsi="Arial"/>
          <w:sz w:val="16"/>
          <w:szCs w:val="16"/>
          <w:color w:val="000000"/>
        </w:rPr>
        <w:t>The approval, on an advisory basis, of the compensation of our named executive officers requires the affirmative vote of a majority of</w:t>
      </w:r>
      <w:r>
        <w:rPr>
          <w:rFonts w:ascii="Arial" w:cs="Arial" w:eastAsia="Arial" w:hAnsi="Arial"/>
          <w:sz w:val="16"/>
          <w:szCs w:val="16"/>
          <w:b w:val="1"/>
          <w:bCs w:val="1"/>
          <w:color w:val="0063A6"/>
        </w:rPr>
        <w:t xml:space="preserve"> </w:t>
      </w:r>
      <w:r>
        <w:rPr>
          <w:rFonts w:ascii="Arial" w:cs="Arial" w:eastAsia="Arial" w:hAnsi="Arial"/>
          <w:sz w:val="16"/>
          <w:szCs w:val="16"/>
          <w:color w:val="000000"/>
        </w:rPr>
        <w:t>the voting power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talent and compensation committee will consider the outcome of the vote when determining named executive officer compensation.</w:t>
      </w:r>
    </w:p>
    <w:p>
      <w:pPr>
        <w:spacing w:after="0" w:line="127" w:lineRule="exact"/>
        <w:rPr>
          <w:rFonts w:ascii="Arial" w:cs="Arial" w:eastAsia="Arial" w:hAnsi="Arial"/>
          <w:sz w:val="16"/>
          <w:szCs w:val="16"/>
          <w:color w:val="0063A6"/>
        </w:rPr>
      </w:pPr>
    </w:p>
    <w:p>
      <w:pPr>
        <w:ind w:left="340" w:right="80" w:hanging="332"/>
        <w:spacing w:after="0" w:line="259" w:lineRule="auto"/>
        <w:tabs>
          <w:tab w:leader="none" w:pos="32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063A6"/>
        </w:rPr>
        <w:t xml:space="preserve">Proposal No. 4: </w:t>
      </w:r>
      <w:r>
        <w:rPr>
          <w:rFonts w:ascii="Arial" w:cs="Arial" w:eastAsia="Arial" w:hAnsi="Arial"/>
          <w:sz w:val="16"/>
          <w:szCs w:val="16"/>
          <w:color w:val="000000"/>
        </w:rPr>
        <w:t>The approval of the amendment and restatement of our Articles to waive jury trials for internal actions, together with contextual and</w:t>
      </w:r>
      <w:r>
        <w:rPr>
          <w:rFonts w:ascii="Arial" w:cs="Arial" w:eastAsia="Arial" w:hAnsi="Arial"/>
          <w:sz w:val="16"/>
          <w:szCs w:val="16"/>
          <w:b w:val="1"/>
          <w:bCs w:val="1"/>
          <w:color w:val="0063A6"/>
        </w:rPr>
        <w:t xml:space="preserve"> </w:t>
      </w:r>
      <w:r>
        <w:rPr>
          <w:rFonts w:ascii="Arial" w:cs="Arial" w:eastAsia="Arial" w:hAnsi="Arial"/>
          <w:sz w:val="16"/>
          <w:szCs w:val="16"/>
          <w:color w:val="000000"/>
        </w:rPr>
        <w:t>other ministerial changes, requires the affirmative vote of the holders of at least two-thirds of the voting power of the outstanding shares of our common stock entitled to vote thereon, voting together as a single class. As a result, abstentions and broker non-votes will have the same effect as a vote “Against” this proposal. You may vote “For,” “Against,” or “Abstain” with respect to this proposal.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Who is entitled to vote?</w:t>
      </w:r>
    </w:p>
    <w:p>
      <w:pPr>
        <w:spacing w:after="0" w:line="10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Holders of our Class A and Class B common stock as of the close of business on March 26, 2026, the record date for the Annual Meeting, may vote at the Annual Meeting. As of the record date, there were [__] shares of our Class A common stock outstanding and [__]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2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color w:val="0063A6"/>
        </w:rPr>
        <w:t xml:space="preserve">Registered Stockholders. </w:t>
      </w:r>
      <w:r>
        <w:rPr>
          <w:rFonts w:ascii="Arial" w:cs="Arial" w:eastAsia="Arial" w:hAnsi="Arial"/>
          <w:sz w:val="16"/>
          <w:szCs w:val="16"/>
          <w:color w:val="000000"/>
        </w:rPr>
        <w:t>If shares of our common stock are registered directly in your name with our transfer agent, Computershare Trust Company, N.A.,</w:t>
      </w:r>
      <w:r>
        <w:rPr>
          <w:rFonts w:ascii="Arial" w:cs="Arial" w:eastAsia="Arial" w:hAnsi="Arial"/>
          <w:sz w:val="16"/>
          <w:szCs w:val="16"/>
          <w:b w:val="1"/>
          <w:bCs w:val="1"/>
          <w:color w:val="0063A6"/>
        </w:rPr>
        <w:t xml:space="preserve"> </w:t>
      </w:r>
      <w:r>
        <w:rPr>
          <w:rFonts w:ascii="Arial" w:cs="Arial" w:eastAsia="Arial" w:hAnsi="Arial"/>
          <w:sz w:val="16"/>
          <w:szCs w:val="16"/>
          <w:color w:val="000000"/>
        </w:rPr>
        <w:t>you are considered the stockholder of record with respect to those shares, and the proxy materials were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2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b w:val="1"/>
          <w:bCs w:val="1"/>
          <w:color w:val="0063A6"/>
        </w:rPr>
        <w:t xml:space="preserve">Street Name Stockholders. </w:t>
      </w:r>
      <w:r>
        <w:rPr>
          <w:rFonts w:ascii="Arial" w:cs="Arial" w:eastAsia="Arial" w:hAnsi="Arial"/>
          <w:sz w:val="16"/>
          <w:szCs w:val="16"/>
          <w:color w:val="000000"/>
        </w:rPr>
        <w:t>If shares of our common stock are held on your behalf in a brokerage account or by a bank or other nominee, you are</w:t>
      </w:r>
      <w:r>
        <w:rPr>
          <w:rFonts w:ascii="Arial" w:cs="Arial" w:eastAsia="Arial" w:hAnsi="Arial"/>
          <w:sz w:val="16"/>
          <w:szCs w:val="16"/>
          <w:b w:val="1"/>
          <w:bCs w:val="1"/>
          <w:color w:val="0063A6"/>
        </w:rPr>
        <w:t xml:space="preserve"> </w:t>
      </w:r>
      <w:r>
        <w:rPr>
          <w:rFonts w:ascii="Arial" w:cs="Arial" w:eastAsia="Arial" w:hAnsi="Arial"/>
          <w:sz w:val="16"/>
          <w:szCs w:val="16"/>
          <w:color w:val="000000"/>
        </w:rPr>
        <w:t>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Are a certain number of shares required to be present in order to hold the Annual Meeting?</w:t>
      </w:r>
    </w:p>
    <w:p>
      <w:pPr>
        <w:spacing w:after="0" w:line="100"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A quorum is the minimum number of voting power required to be present at the Annual Meeting to properly hold an annual meeting of stockholders and conduct business under our bylaws and Nevada law. The presence, virtually or by proxy (regardless of whether the proxy has authority to vote on any matter),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200" w:lineRule="exact"/>
        <w:rPr>
          <w:sz w:val="20"/>
          <w:szCs w:val="20"/>
          <w:color w:val="auto"/>
        </w:rPr>
      </w:pPr>
    </w:p>
    <w:p>
      <w:pPr>
        <w:spacing w:after="0" w:line="310" w:lineRule="exact"/>
        <w:rPr>
          <w:sz w:val="20"/>
          <w:szCs w:val="20"/>
          <w:color w:val="auto"/>
        </w:rPr>
      </w:pPr>
    </w:p>
    <w:p>
      <w:pPr>
        <w:ind w:left="580" w:hanging="554"/>
        <w:spacing w:after="0"/>
        <w:tabs>
          <w:tab w:leader="none" w:pos="58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GENERAL INFORMATION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do I vote?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there are several ways to vote:</w:t>
      </w:r>
    </w:p>
    <w:p>
      <w:pPr>
        <w:spacing w:after="0" w:line="167" w:lineRule="exact"/>
        <w:rPr>
          <w:sz w:val="20"/>
          <w:szCs w:val="20"/>
          <w:color w:val="auto"/>
        </w:rPr>
      </w:pPr>
    </w:p>
    <w:p>
      <w:pPr>
        <w:ind w:left="340" w:hanging="332"/>
        <w:spacing w:after="0" w:line="266" w:lineRule="auto"/>
        <w:tabs>
          <w:tab w:leader="none" w:pos="329" w:val="left"/>
        </w:tabs>
        <w:numPr>
          <w:ilvl w:val="0"/>
          <w:numId w:val="10"/>
        </w:numPr>
        <w:rPr>
          <w:rFonts w:ascii="Arial" w:cs="Arial" w:eastAsia="Arial" w:hAnsi="Arial"/>
          <w:sz w:val="16"/>
          <w:szCs w:val="16"/>
          <w:color w:val="0063A6"/>
        </w:rPr>
      </w:pPr>
      <w:r>
        <w:rPr>
          <w:rFonts w:ascii="Arial" w:cs="Arial" w:eastAsia="Arial" w:hAnsi="Arial"/>
          <w:sz w:val="16"/>
          <w:szCs w:val="16"/>
          <w:color w:val="auto"/>
        </w:rPr>
        <w:t>by Internet prior to the Annual Meeting at www.proxyvote.com, 24 hours a day, seven days a week, until 11:59 p.m. Eastern Time on May 20, 2026 for shares held directly and by 11:59 p.m. Eastern Time on May 18, 2026 for shares held in a Dropbox, Inc. employee stock ownership plan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(have your proxy card in hand when you visit the website);</w:t>
      </w:r>
    </w:p>
    <w:p>
      <w:pPr>
        <w:spacing w:after="0" w:line="117" w:lineRule="exact"/>
        <w:rPr>
          <w:rFonts w:ascii="Arial" w:cs="Arial" w:eastAsia="Arial" w:hAnsi="Arial"/>
          <w:sz w:val="16"/>
          <w:szCs w:val="16"/>
          <w:color w:val="0063A6"/>
        </w:rPr>
      </w:pPr>
    </w:p>
    <w:p>
      <w:pPr>
        <w:ind w:left="340" w:right="360" w:hanging="332"/>
        <w:spacing w:after="0" w:line="268" w:lineRule="auto"/>
        <w:tabs>
          <w:tab w:leader="none" w:pos="329" w:val="left"/>
        </w:tabs>
        <w:numPr>
          <w:ilvl w:val="0"/>
          <w:numId w:val="10"/>
        </w:numPr>
        <w:rPr>
          <w:rFonts w:ascii="Arial" w:cs="Arial" w:eastAsia="Arial" w:hAnsi="Arial"/>
          <w:sz w:val="16"/>
          <w:szCs w:val="16"/>
          <w:color w:val="0063A6"/>
        </w:rPr>
      </w:pPr>
      <w:r>
        <w:rPr>
          <w:rFonts w:ascii="Arial" w:cs="Arial" w:eastAsia="Arial" w:hAnsi="Arial"/>
          <w:sz w:val="16"/>
          <w:szCs w:val="16"/>
          <w:color w:val="auto"/>
        </w:rPr>
        <w:t>by toll-free telephone at 1-800-690-6903, until 11:59 p.m. Eastern Time on May 20, 2026 for shares held directly and by 11:59 p.m. Eastern Time on May 18, 2026 for shares held in a Plan (have your proxy card in hand when you call);</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10"/>
        </w:numPr>
        <w:rPr>
          <w:rFonts w:ascii="Arial" w:cs="Arial" w:eastAsia="Arial" w:hAnsi="Arial"/>
          <w:sz w:val="16"/>
          <w:szCs w:val="16"/>
          <w:color w:val="0063A6"/>
        </w:rPr>
      </w:pPr>
      <w:r>
        <w:rPr>
          <w:rFonts w:ascii="Arial" w:cs="Arial" w:eastAsia="Arial" w:hAnsi="Arial"/>
          <w:sz w:val="16"/>
          <w:szCs w:val="16"/>
          <w:color w:val="auto"/>
        </w:rPr>
        <w:t>by completing and mailing your proxy card; or</w:t>
      </w:r>
    </w:p>
    <w:p>
      <w:pPr>
        <w:spacing w:after="0" w:line="167"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10"/>
        </w:numPr>
        <w:rPr>
          <w:rFonts w:ascii="Arial" w:cs="Arial" w:eastAsia="Arial" w:hAnsi="Arial"/>
          <w:sz w:val="16"/>
          <w:szCs w:val="16"/>
          <w:color w:val="0063A6"/>
        </w:rPr>
      </w:pPr>
      <w:r>
        <w:rPr>
          <w:rFonts w:ascii="Arial" w:cs="Arial" w:eastAsia="Arial" w:hAnsi="Arial"/>
          <w:sz w:val="16"/>
          <w:szCs w:val="16"/>
          <w:color w:val="auto"/>
        </w:rPr>
        <w:t>by attending the Annual Meeting by visiting www.virtualshareholdermeeting.com/DBX2026, where you may vote and submit questions during the meeting (please have your proxy card in hand when you visit the website).</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Even if you plan to attend the Annual Meeting, we recommend that you also vote by proxy so that your vote will be counted if you later decide not to attend the Annual Meeting.</w:t>
      </w:r>
    </w:p>
    <w:p>
      <w:pPr>
        <w:spacing w:after="0" w:line="11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may my brokerage firm or other intermediary vote my shares if I fail to provide timely directions?</w:t>
      </w:r>
    </w:p>
    <w:p>
      <w:pPr>
        <w:spacing w:after="0" w:line="8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2026. Your broker will not have discretion to vote on any other proposals, which are “non-routine” matters, absent direction from you (and failure to provide instructions on these matters will result in a “broker non-vote”).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Can I change my vote?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Yes. If you are a stockholder of record, you can change your vote or revoke your proxy any time before the Annual Meeting by:</w:t>
      </w:r>
    </w:p>
    <w:p>
      <w:pPr>
        <w:spacing w:after="0" w:line="16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entering a new vote by Internet or by telephone;</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completing and returning a later-dated proxy card;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notifying the Corporate Secretary of Dropbox, Inc., in writing, at Dropbox, Inc., 1800 Owens Street, San Francisco, California 94158; or</w:t>
      </w:r>
    </w:p>
    <w:p>
      <w:pPr>
        <w:spacing w:after="0" w:line="167" w:lineRule="exact"/>
        <w:rPr>
          <w:rFonts w:ascii="Arial" w:cs="Arial" w:eastAsia="Arial" w:hAnsi="Arial"/>
          <w:sz w:val="16"/>
          <w:szCs w:val="16"/>
          <w:color w:val="0063A6"/>
        </w:rPr>
      </w:pPr>
    </w:p>
    <w:p>
      <w:pPr>
        <w:ind w:left="340" w:right="260" w:hanging="332"/>
        <w:spacing w:after="0" w:line="286" w:lineRule="auto"/>
        <w:tabs>
          <w:tab w:leader="none" w:pos="329"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you may also change your vote by attending and voting at the Annual Meeting (although attendance at the Annual Meeting will not, by itself, revoke a proxy).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street name stockholder, your broker, bank, or other nominee can provide you with instructions on how to change your vote.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What do I need to do to attend the Annual Meeting?</w:t>
      </w:r>
    </w:p>
    <w:p>
      <w:pPr>
        <w:spacing w:after="0" w:line="10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You will be able to attend and participate in the Annual Meeting virtually, submit your questions during the meeting and vote your shares electronically at the meeting by visiting www.virtualshareholdermeeting.com/DBX2026 and by entering the control number included on your proxy card. The Annual Meeting webcast will begin promptly at 9:00 am Pacific Time. We encourage you to access the meeting prior to the start time. Online check-in will begin at 8:45 am Pacific Time, and you should allow ample time for the check-in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11"/>
        </w:trPr>
        <w:tc>
          <w:tcPr>
            <w:tcW w:w="109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GENERAL INFORMATION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What is the effect of giving a proxy?</w:t>
      </w:r>
    </w:p>
    <w:p>
      <w:pPr>
        <w:spacing w:after="0" w:line="16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Proxies are solicited by and on behalf of our board of directors. Andrew W. Houston and Ross Tennenbaum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postponed or adjourned, the proxy holders can vote the shares at the postponed or adjourned Annual Meeting as well, unless you have properly revoked your proxy,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are proxies solicited for the Annual Meeting?</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Where can I find the voting results of the Annual Meeting?</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that we will file with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16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0063A6"/>
        </w:rPr>
        <w:t>I share an address with another stockholder, and we received only one paper copy of the proxy materials. How may I obtain an additional copy of the proxy materials?</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w:t>
      </w:r>
    </w:p>
    <w:p>
      <w:pPr>
        <w:spacing w:after="0" w:line="18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Dropbox, Inc.</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Attention: Corporate Secretary</w:t>
      </w:r>
    </w:p>
    <w:p>
      <w:pPr>
        <w:jc w:val="center"/>
        <w:ind w:right="-39"/>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IR@dropbox.com</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21"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b w:val="1"/>
          <w:bCs w:val="1"/>
          <w:color w:val="0063A6"/>
        </w:rPr>
        <w:t>What is the deadline to propose actions for consideration at next year’s annual meeting of stockholders or to nominate individuals to serve as directors?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w:t>
      </w:r>
    </w:p>
    <w:p>
      <w:pPr>
        <w:spacing w:after="0" w:line="16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Stockholders may present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2027 annual meeting of stockholders, our Corporate Secretary must receive the written proposal at our principal executive offices not later than [December 8, 2026]. In addition, stockholder proposals must comply with the requirements of Rule 14a-8 regarding the inclusion of stockholder proposals in company-sponsored proxy materials. Stockholder proposals should be addressed to the Corporate Secretary at the company's headquarters. The current address for our headquarters is: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Dropbox,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IR@dropbox.com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 w:hanging="554"/>
        <w:spacing w:after="0"/>
        <w:tabs>
          <w:tab w:leader="none" w:pos="58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GENERAL INFORMATION (continued)</w:t>
      </w:r>
    </w:p>
    <w:p>
      <w:pPr>
        <w:spacing w:after="0" w:line="200" w:lineRule="exact"/>
        <w:rPr>
          <w:sz w:val="20"/>
          <w:szCs w:val="20"/>
          <w:color w:val="auto"/>
        </w:rPr>
      </w:pPr>
    </w:p>
    <w:p>
      <w:pPr>
        <w:spacing w:after="0" w:line="2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notice of annual meeting (or any supplement thereto),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bylaws. To be timely for the 2027 annual meeting of stockholders, our Corporate Secretary must receive the written notice at our principal executive offices:</w:t>
      </w:r>
    </w:p>
    <w:p>
      <w:pPr>
        <w:spacing w:after="0" w:line="12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not earlier than [January 22], 2027;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not later than [February 21], 2027.</w:t>
      </w:r>
    </w:p>
    <w:p>
      <w:pPr>
        <w:spacing w:after="0" w:line="154"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In the event that we hold the 2027 annual meeting of stockholders more than 30 days before or more than 60 days after the one-year anniversary of the Annual Meeting, a notice of a stockholder proposal that is not intended to be included in our proxy statement must be received no earlier than the close of business on the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before the 2027 annual meeting of stockholders and no later than the close of business on the later of the following two dates:</w:t>
      </w:r>
    </w:p>
    <w:p>
      <w:pPr>
        <w:spacing w:after="0" w:line="43"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the 90th day prior to the 2027 annual meeting of stockholders; or</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the 10th day following the day on which public announcement of the date of the 2027 annual meeting of stockholders is first made.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or Nomination of Director Candidates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w:t>
      </w:r>
      <w:r>
        <w:rPr>
          <w:rFonts w:ascii="Arial" w:cs="Arial" w:eastAsia="Arial" w:hAnsi="Arial"/>
          <w:sz w:val="16"/>
          <w:szCs w:val="16"/>
          <w:i w:val="1"/>
          <w:iCs w:val="1"/>
          <w:color w:val="auto"/>
        </w:rPr>
        <w:t>Board of Directors and Corporate Governance—Stockholder Recommendations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Nominations to the Board of Directors</w:t>
      </w:r>
      <w:r>
        <w:rPr>
          <w:rFonts w:ascii="Arial" w:cs="Arial" w:eastAsia="Arial" w:hAnsi="Arial"/>
          <w:sz w:val="16"/>
          <w:szCs w:val="16"/>
          <w:color w:val="auto"/>
        </w:rPr>
        <w:t>.”</w:t>
      </w:r>
    </w:p>
    <w:p>
      <w:pPr>
        <w:spacing w:after="0" w:line="12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Information—What is the deadline to propose actions for consideration at next year’s annual meeting of stockholders or to nominate individuals to serve as directors?</w:t>
      </w:r>
      <w:r>
        <w:rPr>
          <w:rFonts w:ascii="Arial" w:cs="Arial" w:eastAsia="Arial" w:hAnsi="Arial"/>
          <w:sz w:val="16"/>
          <w:szCs w:val="16"/>
          <w:color w:val="auto"/>
        </w:rPr>
        <w:t>—</w:t>
      </w:r>
      <w:r>
        <w:rPr>
          <w:rFonts w:ascii="Arial" w:cs="Arial" w:eastAsia="Arial" w:hAnsi="Arial"/>
          <w:sz w:val="16"/>
          <w:szCs w:val="16"/>
          <w:i w:val="1"/>
          <w:iCs w:val="1"/>
          <w:color w:val="auto"/>
        </w:rPr>
        <w:t>Stockholder Proposals</w:t>
      </w:r>
      <w:r>
        <w:rPr>
          <w:rFonts w:ascii="Arial" w:cs="Arial" w:eastAsia="Arial" w:hAnsi="Arial"/>
          <w:sz w:val="16"/>
          <w:szCs w:val="16"/>
          <w:color w:val="auto"/>
        </w:rPr>
        <w:t>” for stockholder proposals that are not intended to be included in a proxy statement.</w:t>
      </w:r>
    </w:p>
    <w:p>
      <w:pPr>
        <w:spacing w:after="0" w:line="12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 addition, a stockholder who desires to nominate director candidates for election at the 2027 Annual Meeting, which is expected to be held in or about May 2027, must comply with the requirements of the recently enacted Rule 14a-19 by notifying our Corporate Secretary with regard to the intent to solicit proxies in support of director nominees (other than our nominees) as required by Rule 14a-19 no later than March 22, 2027. Please note that the notice requirement under Rule 14a-19 is in addition to the applicable notice requirements under the advance notice provisions of our bylaws as described above.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Bylaws</w:t>
      </w:r>
    </w:p>
    <w:p>
      <w:pPr>
        <w:spacing w:after="0" w:line="16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 copy of our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8"/>
        </w:trPr>
        <w:tc>
          <w:tcPr>
            <w:tcW w:w="109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BOARD OF DIRECTORS AND CORPORATE GOVERNANCE</w:t>
      </w:r>
    </w:p>
    <w:p>
      <w:pPr>
        <w:spacing w:after="0" w:line="200" w:lineRule="exact"/>
        <w:rPr>
          <w:sz w:val="20"/>
          <w:szCs w:val="20"/>
          <w:color w:val="auto"/>
        </w:rPr>
      </w:pPr>
    </w:p>
    <w:p>
      <w:pPr>
        <w:spacing w:after="0" w:line="2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business affairs are managed under the direction of our board of directors. Our board of directors consists of eight directors, seven of whom qualified as “independent” under the listing rules of the Nasdaq Stock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w:t>
      </w:r>
    </w:p>
    <w:p>
      <w:pPr>
        <w:spacing w:after="0" w:line="10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determining the composition of our board, our board of directors and nominating and corporate governance committee are committed to ensuring that our directors maintain effective and independent oversight of our business and that they capably represent the interests of our company and our stockholders. In addition, our nominating and corporate governance committee strives to maintain a balance of tenure on our board. Long-serving directors bring valuable experience and institutional knowledge, while newer directors contribute fresh perspectives and viewpoints. The following charts provide summary information about our continuing directors and director nominees with respect to independence and tenure. For additional information regarding our criteria for evaluating director nominees, see the section titled “</w:t>
      </w:r>
      <w:r>
        <w:rPr>
          <w:rFonts w:ascii="Arial" w:cs="Arial" w:eastAsia="Arial" w:hAnsi="Arial"/>
          <w:sz w:val="16"/>
          <w:szCs w:val="16"/>
          <w:i w:val="1"/>
          <w:iCs w:val="1"/>
          <w:color w:val="auto"/>
        </w:rPr>
        <w:t>Board of Directors and Corporate Governance—Considerations in Evaluating Director Nominees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245110</wp:posOffset>
            </wp:positionV>
            <wp:extent cx="6035040" cy="2057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50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140" w:type="dxa"/>
        <w:tblCellMar>
          <w:top w:w="0" w:type="dxa"/>
          <w:left w:w="0" w:type="dxa"/>
          <w:bottom w:w="0" w:type="dxa"/>
          <w:right w:w="0" w:type="dxa"/>
        </w:tblCellMar>
      </w:tblPr>
      <w:tr>
        <w:trPr>
          <w:trHeight w:val="239"/>
        </w:trPr>
        <w:tc>
          <w:tcPr>
            <w:tcW w:w="3540" w:type="dxa"/>
            <w:vAlign w:val="bottom"/>
          </w:tcPr>
          <w:p>
            <w:pPr>
              <w:jc w:val="center"/>
              <w:ind w:right="2102"/>
              <w:spacing w:after="0"/>
              <w:rPr>
                <w:sz w:val="20"/>
                <w:szCs w:val="20"/>
                <w:color w:val="auto"/>
              </w:rPr>
            </w:pPr>
            <w:r>
              <w:rPr>
                <w:rFonts w:ascii="Arial" w:cs="Arial" w:eastAsia="Arial" w:hAnsi="Arial"/>
                <w:sz w:val="18"/>
                <w:szCs w:val="18"/>
                <w:color w:val="0063A6"/>
                <w:w w:val="97"/>
              </w:rPr>
              <w:t>6 of 7</w:t>
            </w:r>
          </w:p>
        </w:tc>
        <w:tc>
          <w:tcPr>
            <w:tcW w:w="3320" w:type="dxa"/>
            <w:vAlign w:val="bottom"/>
          </w:tcPr>
          <w:p>
            <w:pPr>
              <w:jc w:val="center"/>
              <w:ind w:left="2102"/>
              <w:spacing w:after="0"/>
              <w:rPr>
                <w:sz w:val="20"/>
                <w:szCs w:val="20"/>
                <w:color w:val="auto"/>
              </w:rPr>
            </w:pPr>
            <w:r>
              <w:rPr>
                <w:rFonts w:ascii="Arial" w:cs="Arial" w:eastAsia="Arial" w:hAnsi="Arial"/>
                <w:sz w:val="18"/>
                <w:szCs w:val="18"/>
                <w:color w:val="0063A6"/>
                <w:w w:val="95"/>
              </w:rPr>
              <w:t>6.4 Years</w:t>
            </w:r>
          </w:p>
        </w:tc>
      </w:tr>
      <w:tr>
        <w:trPr>
          <w:trHeight w:val="145"/>
        </w:trPr>
        <w:tc>
          <w:tcPr>
            <w:tcW w:w="3540" w:type="dxa"/>
            <w:vAlign w:val="bottom"/>
          </w:tcPr>
          <w:p>
            <w:pPr>
              <w:jc w:val="center"/>
              <w:ind w:right="2102"/>
              <w:spacing w:after="0" w:line="145" w:lineRule="exact"/>
              <w:rPr>
                <w:sz w:val="20"/>
                <w:szCs w:val="20"/>
                <w:color w:val="auto"/>
              </w:rPr>
            </w:pPr>
            <w:r>
              <w:rPr>
                <w:rFonts w:ascii="Arial" w:cs="Arial" w:eastAsia="Arial" w:hAnsi="Arial"/>
                <w:sz w:val="14"/>
                <w:szCs w:val="14"/>
                <w:color w:val="0063A6"/>
              </w:rPr>
              <w:t>Director nominees</w:t>
            </w:r>
          </w:p>
        </w:tc>
        <w:tc>
          <w:tcPr>
            <w:tcW w:w="3320" w:type="dxa"/>
            <w:vAlign w:val="bottom"/>
          </w:tcPr>
          <w:p>
            <w:pPr>
              <w:jc w:val="center"/>
              <w:ind w:left="2102"/>
              <w:spacing w:after="0" w:line="145" w:lineRule="exact"/>
              <w:rPr>
                <w:sz w:val="20"/>
                <w:szCs w:val="20"/>
                <w:color w:val="auto"/>
              </w:rPr>
            </w:pPr>
            <w:r>
              <w:rPr>
                <w:rFonts w:ascii="Arial" w:cs="Arial" w:eastAsia="Arial" w:hAnsi="Arial"/>
                <w:sz w:val="14"/>
                <w:szCs w:val="14"/>
                <w:color w:val="0063A6"/>
              </w:rPr>
              <w:t>Average tenure of</w:t>
            </w:r>
          </w:p>
        </w:tc>
      </w:tr>
      <w:tr>
        <w:trPr>
          <w:trHeight w:val="190"/>
        </w:trPr>
        <w:tc>
          <w:tcPr>
            <w:tcW w:w="3540" w:type="dxa"/>
            <w:vAlign w:val="bottom"/>
          </w:tcPr>
          <w:p>
            <w:pPr>
              <w:jc w:val="center"/>
              <w:ind w:right="2122"/>
              <w:spacing w:after="0"/>
              <w:rPr>
                <w:sz w:val="20"/>
                <w:szCs w:val="20"/>
                <w:color w:val="auto"/>
              </w:rPr>
            </w:pPr>
            <w:r>
              <w:rPr>
                <w:rFonts w:ascii="Arial" w:cs="Arial" w:eastAsia="Arial" w:hAnsi="Arial"/>
                <w:sz w:val="14"/>
                <w:szCs w:val="14"/>
                <w:color w:val="0063A6"/>
              </w:rPr>
              <w:t>who are independent</w:t>
            </w:r>
          </w:p>
        </w:tc>
        <w:tc>
          <w:tcPr>
            <w:tcW w:w="3320" w:type="dxa"/>
            <w:vAlign w:val="bottom"/>
          </w:tcPr>
          <w:p>
            <w:pPr>
              <w:jc w:val="center"/>
              <w:ind w:left="2102"/>
              <w:spacing w:after="0"/>
              <w:rPr>
                <w:sz w:val="20"/>
                <w:szCs w:val="20"/>
                <w:color w:val="auto"/>
              </w:rPr>
            </w:pPr>
            <w:r>
              <w:rPr>
                <w:rFonts w:ascii="Arial" w:cs="Arial" w:eastAsia="Arial" w:hAnsi="Arial"/>
                <w:sz w:val="14"/>
                <w:szCs w:val="14"/>
                <w:color w:val="0063A6"/>
              </w:rPr>
              <w:t>director nominees</w:t>
            </w:r>
          </w:p>
        </w:tc>
      </w:tr>
    </w:tbl>
    <w:p>
      <w:pPr>
        <w:spacing w:after="0" w:line="200" w:lineRule="exact"/>
        <w:rPr>
          <w:sz w:val="20"/>
          <w:szCs w:val="20"/>
          <w:color w:val="auto"/>
        </w:rPr>
      </w:pPr>
    </w:p>
    <w:p>
      <w:pPr>
        <w:spacing w:after="0" w:line="397" w:lineRule="exact"/>
        <w:rPr>
          <w:sz w:val="20"/>
          <w:szCs w:val="20"/>
          <w:color w:val="auto"/>
        </w:rPr>
      </w:pPr>
    </w:p>
    <w:p>
      <w:pPr>
        <w:ind w:left="580" w:hanging="554"/>
        <w:spacing w:after="0"/>
        <w:tabs>
          <w:tab w:leader="none" w:pos="5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56" w:lineRule="exact"/>
        <w:rPr>
          <w:sz w:val="20"/>
          <w:szCs w:val="20"/>
          <w:color w:val="auto"/>
        </w:rPr>
      </w:pPr>
    </w:p>
    <w:p>
      <w:pPr>
        <w:spacing w:after="0"/>
        <w:rPr>
          <w:sz w:val="20"/>
          <w:szCs w:val="20"/>
          <w:color w:val="auto"/>
        </w:rPr>
      </w:pPr>
      <w:r>
        <w:rPr>
          <w:rFonts w:ascii="Arial" w:cs="Arial" w:eastAsia="Arial" w:hAnsi="Arial"/>
          <w:sz w:val="26"/>
          <w:szCs w:val="26"/>
          <w:color w:val="0063A6"/>
        </w:rPr>
        <w:t>Nominees for Director</w:t>
      </w:r>
    </w:p>
    <w:p>
      <w:pPr>
        <w:spacing w:after="0" w:line="219"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Our board of directors has nominated seven nominees for election at the Annual Meeting. Dr. Jacobs, whose term will end at the Annual Meeting, will not be standing for reelection. He will continue to serve as a director and as a member of the talent and compensation committee of the board of directors until the expiration of his term. The following provides summary information about each of our director nominees as of March 31, 2026:</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1491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1491615"/>
                    </a:xfrm>
                    <a:prstGeom prst="rect">
                      <a:avLst/>
                    </a:prstGeom>
                    <a:noFill/>
                  </pic:spPr>
                </pic:pic>
              </a:graphicData>
            </a:graphic>
          </wp:anchor>
        </w:drawing>
      </w:r>
    </w:p>
    <w:p>
      <w:pPr>
        <w:spacing w:after="0" w:line="228"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CHAIR OF THE BOARD</w:t>
      </w:r>
    </w:p>
    <w:p>
      <w:pPr>
        <w:spacing w:after="0" w:line="100" w:lineRule="exact"/>
        <w:rPr>
          <w:sz w:val="20"/>
          <w:szCs w:val="20"/>
          <w:color w:val="auto"/>
        </w:rPr>
      </w:pPr>
    </w:p>
    <w:p>
      <w:pPr>
        <w:ind w:left="2960" w:right="140"/>
        <w:spacing w:after="0" w:line="251"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Houston is one of our co-founders and has served as a member of our board of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our Chief Executive Officer since June 2007. Mr. Houston also currently serves as a member of the board of directors of Meta Platforms, Inc. (Nasdaq: META). Mr. Houston holds a B.S. in Electrical Engineering and Computer Science from the Massachusetts Institute of Technology. Mr. Houston was selected to serve on our board of directors because of the perspective and experience he brings as our Chief Executive Officer and as one of our co-founders.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LISA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337310" cy="1457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Nominating &amp; Corporate Governance (</w:t>
      </w:r>
      <w:r>
        <w:rPr>
          <w:rFonts w:ascii="Arial" w:cs="Arial" w:eastAsia="Arial" w:hAnsi="Arial"/>
          <w:sz w:val="16"/>
          <w:szCs w:val="16"/>
          <w:i w:val="1"/>
          <w:iCs w:val="1"/>
          <w:color w:val="auto"/>
        </w:rPr>
        <w:t>Chair</w:t>
      </w:r>
      <w:r>
        <w:rPr>
          <w:rFonts w:ascii="Arial" w:cs="Arial" w:eastAsia="Arial" w:hAnsi="Arial"/>
          <w:sz w:val="16"/>
          <w:szCs w:val="16"/>
          <w:color w:val="auto"/>
        </w:rPr>
        <w:t>); Audit</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00" w:lineRule="exact"/>
        <w:rPr>
          <w:sz w:val="20"/>
          <w:szCs w:val="20"/>
          <w:color w:val="auto"/>
        </w:rPr>
      </w:pPr>
    </w:p>
    <w:p>
      <w:pPr>
        <w:ind w:left="2960" w:right="2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Campbell has served as a member of our board of directors since August 2019. From July</w:t>
      </w:r>
      <w:r>
        <w:rPr>
          <w:rFonts w:ascii="Arial" w:cs="Arial" w:eastAsia="Arial" w:hAnsi="Arial"/>
          <w:sz w:val="16"/>
          <w:szCs w:val="16"/>
          <w:b w:val="1"/>
          <w:bCs w:val="1"/>
          <w:color w:val="auto"/>
        </w:rPr>
        <w:t xml:space="preserve"> </w:t>
      </w:r>
      <w:r>
        <w:rPr>
          <w:rFonts w:ascii="Arial" w:cs="Arial" w:eastAsia="Arial" w:hAnsi="Arial"/>
          <w:sz w:val="16"/>
          <w:szCs w:val="16"/>
          <w:color w:val="auto"/>
        </w:rPr>
        <w:t>2021 to August 2024, Ms. Campbell served as Chief Marketing Officer and Partner for OneTrust. From August 2017 to July 2021, Ms. Campbell served as Chief Marketing Officer and Executive Vice President of Business Strategy for Autodesk, Inc. From January 2015 to August 2017, Ms. Campbell served as Vice President, Industry Strategy and Marketing – Manufacturing at Autodesk, and she served as its Vice President, Industry Strategy and Marketing – Architecture, Engineering and Construction from February 2012 through January 2015. She has also held other senior positions at Autodesk, including managing its Global eCommerce business and Autodesk.com, and managing its Geospatial Business and infrastructure business. Prior to joining Autodesk in 2003, Ms. Campbell served in executive-level marketing positions at Evolve (now Oracle), Sterling Software Inc., and Digital Equipment Corporation. Ms. Campbell currently serves as a member of the board of directors for Dynatrace, Inc. (NYSE: DT), an application performance management software company, Similarweb Ltd. (NYSE: SMWB), a digital data and analytics company, and Quickbase, a Vista Equity company. Ms. Campbell holds an M.B.A. from Babson College and a B.A. in Mathematics and Computer Science from Boston College. She was selected to serve on our board of directors because of her valuable expertise in business, industry, and marketing strategy.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12"/>
        </w:trPr>
        <w:tc>
          <w:tcPr>
            <w:tcW w:w="109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4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WARREN JENSON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0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337310" cy="1448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7310" cy="144843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w:t>
      </w:r>
      <w:r>
        <w:rPr>
          <w:rFonts w:ascii="Arial" w:cs="Arial" w:eastAsia="Arial" w:hAnsi="Arial"/>
          <w:sz w:val="16"/>
          <w:szCs w:val="16"/>
          <w:i w:val="1"/>
          <w:iCs w:val="1"/>
          <w:color w:val="auto"/>
        </w:rPr>
        <w:t>Chair</w:t>
      </w:r>
      <w:r>
        <w:rPr>
          <w:rFonts w:ascii="Arial" w:cs="Arial" w:eastAsia="Arial" w:hAnsi="Arial"/>
          <w:sz w:val="16"/>
          <w:szCs w:val="16"/>
          <w:color w:val="auto"/>
        </w:rPr>
        <w:t>); Nominating and Corporate Governance</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Jenson has served as a member of our board of directors since January 2025. Mr. Jenson</w:t>
      </w:r>
      <w:r>
        <w:rPr>
          <w:rFonts w:ascii="Arial" w:cs="Arial" w:eastAsia="Arial" w:hAnsi="Arial"/>
          <w:sz w:val="16"/>
          <w:szCs w:val="16"/>
          <w:b w:val="1"/>
          <w:bCs w:val="1"/>
          <w:color w:val="auto"/>
        </w:rPr>
        <w:t xml:space="preserve"> </w:t>
      </w:r>
      <w:r>
        <w:rPr>
          <w:rFonts w:ascii="Arial" w:cs="Arial" w:eastAsia="Arial" w:hAnsi="Arial"/>
          <w:sz w:val="16"/>
          <w:szCs w:val="16"/>
          <w:color w:val="auto"/>
        </w:rPr>
        <w:t>most recently acted as President and Chief Financial Officer of Nielsen Holdings plc, a firm specializing in audience measurement, data, and analytics, where he served from April 2023 to December 2024. From February 2012 to April 2023, Mr. Jenson worked at LiveRamp Holdings, Inc. (formerly known as Acxiom), a software-as-a-service company that provides identity and data connectivity services, where he most recently served as President, Chief Financial Officer and Executive Managing Director of International. Mr. Jenson has also held numerous C-suite positions with Electronic Arts (EA), Amazon.com, Delta Airlines, and NBC. Mr. Jenson currently serves as a member of the board of directors of DigitalOcean Holdings, Inc. (NYSE: DOCN), a cloud service provider, Delivery Hero German SE, a multinational online food ordering and delivery platform, and Ripple Labs, Inc., a provider of cryptocurrency solutions for businesses. Mr. Jenson has a B.S. in Accounting and a Master of Accountancy – Business Taxation from Brigham Young University. Mr. Jenson was selected to serve on our board of directors because of his breadth of experience leading and scaling companies through periods of transition and his track record of operational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ANDREW MOORE,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320165" cy="1448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0165" cy="1448435"/>
                    </a:xfrm>
                    <a:prstGeom prst="rect">
                      <a:avLst/>
                    </a:prstGeom>
                    <a:noFill/>
                  </pic:spPr>
                </pic:pic>
              </a:graphicData>
            </a:graphic>
          </wp:anchor>
        </w:drawing>
      </w:r>
    </w:p>
    <w:p>
      <w:pPr>
        <w:spacing w:after="0" w:line="8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2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Moore has served as a member of our board of directors since December 2023. Since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2023, Dr. Moore has served as the Founder and CEO of Lovelace AI, a startup AI company building products for national security. From January 2019 to January 2023, Dr. Moore served as General Manager and VP of Google Cloud Artificial Intelligence &amp; Industry Solutions at Google LLC, a wholly owned subsidiary of Alphabet Inc., or Google. From September 2014 to January 2019, Dr. Moore served as the Dean of the School of Computer Science and as Professor of Computer Science and Robotics at Carnegie Mellon University. From October 2011 to July 2014, Dr. Moore served as VP of Engineering, Google Commerce at Google and from January 2006 to October 2011, he served as a Founding Director of Google’s Pittsburgh Engineering office. Prior to joining Google, Dr. Moore was an assistant professor and also professor of Computer Science and Robotics at Carnegie Mellon University from 1993-2006. Dr. Moore holds a Ph.D. in Computer Science and a B.A. in Mathematics and Computer Science from the University of Cambridge. Dr. Moore was selected to serve on our board of directors because of his deep academic experience, product knowledge, and engineering leadership.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hanging="554"/>
        <w:spacing w:after="0"/>
        <w:tabs>
          <w:tab w:leader="none" w:pos="5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39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ABHAY PARASNIS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337310" cy="1457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80"/>
        <w:spacing w:after="0" w:line="245"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Parasnis has served as a member of our board of directors since March 2022. Since May</w:t>
      </w:r>
      <w:r>
        <w:rPr>
          <w:rFonts w:ascii="Arial" w:cs="Arial" w:eastAsia="Arial" w:hAnsi="Arial"/>
          <w:sz w:val="16"/>
          <w:szCs w:val="16"/>
          <w:b w:val="1"/>
          <w:bCs w:val="1"/>
          <w:color w:val="auto"/>
        </w:rPr>
        <w:t xml:space="preserve"> </w:t>
      </w:r>
      <w:r>
        <w:rPr>
          <w:rFonts w:ascii="Arial" w:cs="Arial" w:eastAsia="Arial" w:hAnsi="Arial"/>
          <w:sz w:val="16"/>
          <w:szCs w:val="16"/>
          <w:color w:val="auto"/>
        </w:rPr>
        <w:t>2022, Mr. Parasnis has served as Chief Executive Officer of Typeface Inc., a company that provides enterprise AI solutions. From July 2015 to February 2022, Mr. Parasnis served as Chief Technology Officer of Adobe Inc., or Adobe, during which time Mr. Parasnis also held additional titles, including Executive Vice President from January 2016 to February 2022, Chief Strategy Officer from February 2020 to December 2020, and Chief Product Officer from December 2020 to February 2022. Prior to joining Adobe, Mr. Parasnis served in executive level positions with Kony, Inc., Oracle Corporation and Microsoft Corporation. Mr. Parasnis also serves as a member of the board of directors of Schneider Electric SE, a French digital automation and energy management company traded on the Euronext (Paris) exchange. Mr. Parasnis holds a B.S. in Electronics &amp; Telecommunications from the College of Engineering Pune in Pune, India and an Advanced Diploma in Computer Science from the National Institute of Information Technology. Mr. Parasnis was selected to serve on our board of directors because of his extensive technical, product, and operational expertise and his experience leading and growing a multi-product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KAREN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1491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149161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LEAD INDEPENDENT DIRECTOR</w:t>
      </w:r>
    </w:p>
    <w:p>
      <w:pPr>
        <w:spacing w:after="0" w:line="113" w:lineRule="exact"/>
        <w:rPr>
          <w:sz w:val="20"/>
          <w:szCs w:val="20"/>
          <w:color w:val="auto"/>
        </w:rPr>
      </w:pPr>
    </w:p>
    <w:p>
      <w:pPr>
        <w:ind w:left="2960" w:right="2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Peacock has served as a member of our board of directors since August 2019. From July 2020</w:t>
      </w:r>
      <w:r>
        <w:rPr>
          <w:rFonts w:ascii="Arial" w:cs="Arial" w:eastAsia="Arial" w:hAnsi="Arial"/>
          <w:sz w:val="16"/>
          <w:szCs w:val="16"/>
          <w:b w:val="1"/>
          <w:bCs w:val="1"/>
          <w:color w:val="auto"/>
        </w:rPr>
        <w:t xml:space="preserve"> </w:t>
      </w:r>
      <w:r>
        <w:rPr>
          <w:rFonts w:ascii="Arial" w:cs="Arial" w:eastAsia="Arial" w:hAnsi="Arial"/>
          <w:sz w:val="16"/>
          <w:szCs w:val="16"/>
          <w:color w:val="auto"/>
        </w:rPr>
        <w:t>to October 2022, Ms. Peacock served as Chief Executive Officer for Intercom, Inc., or Intercom, a corporation that develops and markets business messaging and communication software, and from May 2017 to July 2020, Ms. Peacock served as Chief Operating Officer for Intercom. From January 2016 to March 2017, Ms. Peacock served as Senior Vice President, Small Business at Intuit Inc., or Intuit, and from 2014 to January 2016, she served as VP, General Manager of Intuit’s Employee Management Solutions division. Ms. Peacock has also held other senior roles at Intuit, including Vice President of Marketing and Product Management. Prior to joining Intuit in 2002, Ms. Peacock was Director of Product Management at Allegis Corporation and prior to that, was a management consultant with the Boston Consulting Group. Ms. Peacock currently serves on the board of directors of IDEXX Laboratories Inc. (Nasdaq: IDXX), a veterinary diagnostics company, and Monzo Bank, a UK based bank and fintech company. Ms. Peacock holds an M.B.A. from Stanford Graduate School of Business and a B.A. in Applied Mathematics from Harvard University. She was selected to serve on our board of directors because of her valuable expertise in business, industry, and her extensive experience in executive-level operational roles.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211"/>
        </w:trPr>
        <w:tc>
          <w:tcPr>
            <w:tcW w:w="109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4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5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MICHAEL SEIBEL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1491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149161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spacing w:after="0" w:line="249"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Seibel has served as a member of our board of directors since December 2020. Mr. Seibel is</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Emeritus at Y Combinator, an accelerator and investment company for early-stage technology companies, where he previously was a Partner from October 2014 to March 2025, and served as Managing Director of YC Early Stage. From February 2012 to August 2012, Mr. Seibel served as Chief Executive Officer of Socialcam, Inc., a social media company, and from June 2007 to October 2011, Mr. Seibel served as Chief Executive Officer of Justin.tv (now known as Twitch.tv), an online video broadcasting company. Mr. Seibel currently serves on the board of directors of Reddit, Inc. (NYSE: RDDT), a community and discussion platform. Mr. Seibel holds a B.A. in Political Science from Yale University. Mr. Seibel was selected to serve on our board of directors because of his financial and managerial experience.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 w:hanging="554"/>
        <w:spacing w:after="0"/>
        <w:tabs>
          <w:tab w:leader="none" w:pos="58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56" w:lineRule="exact"/>
        <w:rPr>
          <w:sz w:val="20"/>
          <w:szCs w:val="20"/>
          <w:color w:val="auto"/>
        </w:rPr>
      </w:pPr>
    </w:p>
    <w:p>
      <w:pPr>
        <w:spacing w:after="0"/>
        <w:rPr>
          <w:sz w:val="20"/>
          <w:szCs w:val="20"/>
          <w:color w:val="auto"/>
        </w:rPr>
      </w:pPr>
      <w:r>
        <w:rPr>
          <w:rFonts w:ascii="Arial" w:cs="Arial" w:eastAsia="Arial" w:hAnsi="Arial"/>
          <w:sz w:val="26"/>
          <w:szCs w:val="26"/>
          <w:color w:val="0063A6"/>
        </w:rPr>
        <w:t>Non-Continuing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provides summary information about Dr. Jacobs, whose term will end at the Annual Meeting:</w:t>
      </w:r>
    </w:p>
    <w:p>
      <w:pPr>
        <w:spacing w:after="0" w:line="302"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PAUL E. JACOBS,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1551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1551305"/>
                    </a:xfrm>
                    <a:prstGeom prst="rect">
                      <a:avLst/>
                    </a:prstGeom>
                    <a:noFill/>
                  </pic:spPr>
                </pic:pic>
              </a:graphicData>
            </a:graphic>
          </wp:anchor>
        </w:drawing>
      </w:r>
    </w:p>
    <w:p>
      <w:pPr>
        <w:spacing w:after="0" w:line="296"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&amp; Compensation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8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Jacobs has served as a member of our board of directors since April 2016. Since August 2023,</w:t>
      </w:r>
      <w:r>
        <w:rPr>
          <w:rFonts w:ascii="Arial" w:cs="Arial" w:eastAsia="Arial" w:hAnsi="Arial"/>
          <w:sz w:val="16"/>
          <w:szCs w:val="16"/>
          <w:b w:val="1"/>
          <w:bCs w:val="1"/>
          <w:color w:val="auto"/>
        </w:rPr>
        <w:t xml:space="preserve"> </w:t>
      </w:r>
      <w:r>
        <w:rPr>
          <w:rFonts w:ascii="Arial" w:cs="Arial" w:eastAsia="Arial" w:hAnsi="Arial"/>
          <w:sz w:val="16"/>
          <w:szCs w:val="16"/>
          <w:color w:val="auto"/>
        </w:rPr>
        <w:t>Dr. Jacobs has served as Chief Executive Officer of Globalstar, Inc., or Globalstar, a telecom infrastructure provider. From April 2018 to May 2024, Dr. Jacobs served as Chief Executive Officer of VIREWIRX, Inc., formerly XCOM Labs, Inc., a wireless technology company. From March 2014 to March 2018, Dr. Jacobs served as Executive Chair for Qualcomm Incorporated, a semiconductor and telecommunications equipment company, or Qualcomm. From March 2009 to March 2018, Dr. Jacobs served as Chair of the board of directors for Qualcomm. From July 2005 to March 2014, Dr. Jacobs served as Chief Executive Officer for Qualcomm. Dr. Jacobs currently serves as a member of the board of directors of Globalstar (Nasdaq: GSAT), a satellite and terrestrial communication services company, and Arm Holdings plc (Nasdaq: ARM), a microchip design company. Dr. Jacobs holds a Ph.D. in Electrical Engineering and Computer Science, an M.S. in Electrical Engineering, and a B.S. in Electrical Engineering and Computer Science from the University of California, Berkeley. Dr. Jacobs was selected to serve on our board of directors because of his extensive business, operations, and management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4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56" w:lineRule="exact"/>
        <w:rPr>
          <w:sz w:val="20"/>
          <w:szCs w:val="20"/>
          <w:color w:val="auto"/>
        </w:rPr>
      </w:pPr>
    </w:p>
    <w:p>
      <w:pPr>
        <w:spacing w:after="0"/>
        <w:rPr>
          <w:sz w:val="20"/>
          <w:szCs w:val="20"/>
          <w:color w:val="auto"/>
        </w:rPr>
      </w:pPr>
      <w:r>
        <w:rPr>
          <w:rFonts w:ascii="Arial" w:cs="Arial" w:eastAsia="Arial" w:hAnsi="Arial"/>
          <w:sz w:val="26"/>
          <w:szCs w:val="26"/>
          <w:color w:val="0063A6"/>
        </w:rPr>
        <w:t>Director Independence</w:t>
      </w:r>
    </w:p>
    <w:p>
      <w:pPr>
        <w:spacing w:after="0" w:line="21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Under the listing rules of Nasdaq, independent directors must comprise a majority of a listed company’s board of directors. In addition, Nasdaq rules require that, subject to specified exceptions, each member of a listed company’s audit, talent and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2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Drs. Jacobs and Moore, Messrs. Jenson, Parasnis and Seibel, and Mss. Campbell and Peacock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if any, described in the section titled “</w:t>
      </w:r>
      <w:r>
        <w:rPr>
          <w:rFonts w:ascii="Arial" w:cs="Arial" w:eastAsia="Arial" w:hAnsi="Arial"/>
          <w:sz w:val="16"/>
          <w:szCs w:val="16"/>
          <w:i w:val="1"/>
          <w:iCs w:val="1"/>
          <w:color w:val="auto"/>
        </w:rPr>
        <w:t>Certain Relationships, Related Party and Other Transactions</w:t>
      </w:r>
      <w:r>
        <w:rPr>
          <w:rFonts w:ascii="Arial" w:cs="Arial" w:eastAsia="Arial" w:hAnsi="Arial"/>
          <w:sz w:val="16"/>
          <w:szCs w:val="16"/>
          <w:color w:val="auto"/>
        </w:rPr>
        <w:t>.”</w:t>
      </w:r>
    </w:p>
    <w:p>
      <w:pPr>
        <w:spacing w:after="0" w:line="354" w:lineRule="exact"/>
        <w:rPr>
          <w:sz w:val="20"/>
          <w:szCs w:val="20"/>
          <w:color w:val="auto"/>
        </w:rPr>
      </w:pPr>
    </w:p>
    <w:p>
      <w:pPr>
        <w:spacing w:after="0"/>
        <w:rPr>
          <w:sz w:val="20"/>
          <w:szCs w:val="20"/>
          <w:color w:val="auto"/>
        </w:rPr>
      </w:pPr>
      <w:r>
        <w:rPr>
          <w:rFonts w:ascii="Arial" w:cs="Arial" w:eastAsia="Arial" w:hAnsi="Arial"/>
          <w:sz w:val="26"/>
          <w:szCs w:val="26"/>
          <w:color w:val="0063A6"/>
        </w:rPr>
        <w:t>Board Leadership Structure and Role of the Lead Independent Director</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Mr. Houston currently serves as both the chair of our board of directors and as our Chief Executive Officer. As our co-founder, Mr. Houston is best positioned to identify strategic priorities, lead critical discussion, and execute our business plans.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Our board of directors has adopted Corporate Governance Guidelines that provide that one of our independent directors should serve as our lead independent director at any time when the chair of our board of directors is not independent, including when our Chief Executive Officer serves as the chair of our board of directors. Because Mr. Houston is our chair and is not an “independent” director as defined in Nasdaq’s listing rules, our board of directors has determined that it is advisable and in the best interests of the company and our stockholders to have a lead independent director to, among other things, preside over meetings of the independent directors and help set the agenda for board meetings. Ms. Peacock has served as lead independent director since May 2025.</w:t>
      </w:r>
    </w:p>
    <w:p>
      <w:pPr>
        <w:spacing w:after="0" w:line="32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lead independent director presides over periodic meetings of our independent directors, consults with Mr. Houston on the agenda for meetings of the board, serves as a liaison between Mr. Houston and our independent directors, and performs such additional duties as our board of directors may otherwise determine and delegate. The lead independent director’s responsibilities include:</w:t>
      </w:r>
    </w:p>
    <w:p>
      <w:pPr>
        <w:spacing w:after="0" w:line="132"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presiding over all meetings of the board of directors at which the chair is not present;</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calling separate meetings of the independent directors and determining the agenda and serving as chair of meetings of independent directors;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reporting to our Chief Executive Officer and chair regarding feedback from executive sessions;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8"/>
        </w:numPr>
        <w:rPr>
          <w:rFonts w:ascii="Arial" w:cs="Arial" w:eastAsia="Arial" w:hAnsi="Arial"/>
          <w:sz w:val="16"/>
          <w:szCs w:val="16"/>
          <w:color w:val="0063A6"/>
        </w:rPr>
      </w:pPr>
      <w:r>
        <w:rPr>
          <w:rFonts w:ascii="Arial" w:cs="Arial" w:eastAsia="Arial" w:hAnsi="Arial"/>
          <w:sz w:val="16"/>
          <w:szCs w:val="16"/>
          <w:color w:val="auto"/>
        </w:rPr>
        <w:t>serving as spokesperson for the company if requested.</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Only independent directors serve on the audit committee, the talent and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2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As a result of the board of directors’ committee system and the existence of a majority of independent directors, combined with a strong lead independent director with significant responsibilities and the company’s robust corporate governance policies and procedures, the board of directors believes it maintains effective oversight of our business operations, including independent oversight of our financial statements and risk management, executive compensation, selection of director candidates, and corporate governance programs. We believe that the leadership structure of our board of directors, including the role of a strong lead independent director, as well as the robust independent committees of our board of directors is appropriate and enhances our board of directors’ ability to effectively carry out its roles and responsibilities on behalf of the company. Mr. Houston’s combined role leverages his deep involvement with the company’s business, and his history as a co-founder of the company with knowledge of the company’s development and culture enables strong leadership, creates clear accountability and enhances our ability to communicate our message and strategy clearly and consistently to stockholders.</w:t>
      </w:r>
    </w:p>
    <w:p>
      <w:pPr>
        <w:spacing w:after="0" w:line="200" w:lineRule="exact"/>
        <w:rPr>
          <w:sz w:val="20"/>
          <w:szCs w:val="20"/>
          <w:color w:val="auto"/>
        </w:rPr>
      </w:pPr>
    </w:p>
    <w:p>
      <w:pPr>
        <w:spacing w:after="0" w:line="316" w:lineRule="exact"/>
        <w:rPr>
          <w:sz w:val="20"/>
          <w:szCs w:val="20"/>
          <w:color w:val="auto"/>
        </w:rPr>
      </w:pPr>
    </w:p>
    <w:p>
      <w:pPr>
        <w:ind w:left="580" w:hanging="554"/>
        <w:spacing w:after="0"/>
        <w:tabs>
          <w:tab w:leader="none" w:pos="58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56" w:lineRule="exact"/>
        <w:rPr>
          <w:sz w:val="20"/>
          <w:szCs w:val="20"/>
          <w:color w:val="auto"/>
        </w:rPr>
      </w:pPr>
    </w:p>
    <w:p>
      <w:pPr>
        <w:spacing w:after="0"/>
        <w:rPr>
          <w:sz w:val="20"/>
          <w:szCs w:val="20"/>
          <w:color w:val="auto"/>
        </w:rPr>
      </w:pPr>
      <w:r>
        <w:rPr>
          <w:rFonts w:ascii="Arial" w:cs="Arial" w:eastAsia="Arial" w:hAnsi="Arial"/>
          <w:sz w:val="26"/>
          <w:szCs w:val="26"/>
          <w:color w:val="0063A6"/>
        </w:rPr>
        <w:t>Board Committees</w:t>
      </w:r>
    </w:p>
    <w:p>
      <w:pPr>
        <w:spacing w:after="0" w:line="219"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Our board of directors has established an audit committee, a talent and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149465" cy="1705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0561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820" w:type="dxa"/>
            <w:vAlign w:val="bottom"/>
            <w:tcBorders>
              <w:bottom w:val="single" w:sz="8" w:color="0063A6"/>
            </w:tcBorders>
            <w:shd w:val="clear" w:color="auto" w:fill="0063A6"/>
          </w:tcPr>
          <w:p>
            <w:pPr>
              <w:ind w:left="1120"/>
              <w:spacing w:after="0"/>
              <w:rPr>
                <w:sz w:val="20"/>
                <w:szCs w:val="20"/>
                <w:color w:val="auto"/>
              </w:rPr>
            </w:pPr>
            <w:r>
              <w:rPr>
                <w:rFonts w:ascii="Arial" w:cs="Arial" w:eastAsia="Arial" w:hAnsi="Arial"/>
                <w:sz w:val="14"/>
                <w:szCs w:val="14"/>
                <w:b w:val="1"/>
                <w:bCs w:val="1"/>
                <w:color w:val="FFFFFF"/>
              </w:rPr>
              <w:t>Director</w:t>
            </w:r>
          </w:p>
        </w:tc>
        <w:tc>
          <w:tcPr>
            <w:tcW w:w="28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Audit</w:t>
            </w:r>
          </w:p>
        </w:tc>
        <w:tc>
          <w:tcPr>
            <w:tcW w:w="2580" w:type="dxa"/>
            <w:vAlign w:val="bottom"/>
            <w:tcBorders>
              <w:bottom w:val="single" w:sz="8" w:color="0063A6"/>
            </w:tcBorders>
            <w:shd w:val="clear" w:color="auto" w:fill="0063A6"/>
          </w:tcPr>
          <w:p>
            <w:pPr>
              <w:jc w:val="center"/>
              <w:ind w:left="162"/>
              <w:spacing w:after="0"/>
              <w:rPr>
                <w:sz w:val="20"/>
                <w:szCs w:val="20"/>
                <w:color w:val="auto"/>
              </w:rPr>
            </w:pPr>
            <w:r>
              <w:rPr>
                <w:rFonts w:ascii="Arial" w:cs="Arial" w:eastAsia="Arial" w:hAnsi="Arial"/>
                <w:sz w:val="14"/>
                <w:szCs w:val="14"/>
                <w:b w:val="1"/>
                <w:bCs w:val="1"/>
                <w:color w:val="FFFFFF"/>
              </w:rPr>
              <w:t>Talent and Compensation</w:t>
            </w:r>
          </w:p>
        </w:tc>
        <w:tc>
          <w:tcPr>
            <w:tcW w:w="3040" w:type="dxa"/>
            <w:vAlign w:val="bottom"/>
            <w:tcBorders>
              <w:bottom w:val="single" w:sz="8" w:color="0063A6"/>
            </w:tcBorders>
            <w:shd w:val="clear" w:color="auto" w:fill="0063A6"/>
          </w:tcPr>
          <w:p>
            <w:pPr>
              <w:jc w:val="center"/>
              <w:ind w:left="164"/>
              <w:spacing w:after="0"/>
              <w:rPr>
                <w:sz w:val="20"/>
                <w:szCs w:val="20"/>
                <w:color w:val="auto"/>
              </w:rPr>
            </w:pPr>
            <w:r>
              <w:rPr>
                <w:rFonts w:ascii="Arial" w:cs="Arial" w:eastAsia="Arial" w:hAnsi="Arial"/>
                <w:sz w:val="14"/>
                <w:szCs w:val="14"/>
                <w:b w:val="1"/>
                <w:bCs w:val="1"/>
                <w:color w:val="FFFFFF"/>
              </w:rPr>
              <w:t>Nominating and Corporate Governance</w:t>
            </w:r>
          </w:p>
        </w:tc>
      </w:tr>
      <w:tr>
        <w:trPr>
          <w:trHeight w:val="250"/>
        </w:trPr>
        <w:tc>
          <w:tcPr>
            <w:tcW w:w="28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Andrew W. Houston</w:t>
            </w:r>
          </w:p>
        </w:tc>
        <w:tc>
          <w:tcPr>
            <w:tcW w:w="2800" w:type="dxa"/>
            <w:vAlign w:val="bottom"/>
            <w:tcBorders>
              <w:bottom w:val="single" w:sz="8" w:color="F2F2F2"/>
            </w:tcBorders>
            <w:shd w:val="clear" w:color="auto" w:fill="F2F2F2"/>
          </w:tcPr>
          <w:p>
            <w:pPr>
              <w:spacing w:after="0"/>
              <w:rPr>
                <w:sz w:val="21"/>
                <w:szCs w:val="21"/>
                <w:color w:val="auto"/>
              </w:rPr>
            </w:pPr>
          </w:p>
        </w:tc>
        <w:tc>
          <w:tcPr>
            <w:tcW w:w="2580" w:type="dxa"/>
            <w:vAlign w:val="bottom"/>
            <w:tcBorders>
              <w:bottom w:val="single" w:sz="8" w:color="F2F2F2"/>
            </w:tcBorders>
            <w:shd w:val="clear" w:color="auto" w:fill="F2F2F2"/>
          </w:tcPr>
          <w:p>
            <w:pPr>
              <w:spacing w:after="0"/>
              <w:rPr>
                <w:sz w:val="21"/>
                <w:szCs w:val="21"/>
                <w:color w:val="auto"/>
              </w:rPr>
            </w:pPr>
          </w:p>
        </w:tc>
        <w:tc>
          <w:tcPr>
            <w:tcW w:w="3040" w:type="dxa"/>
            <w:vAlign w:val="bottom"/>
            <w:tcBorders>
              <w:bottom w:val="single" w:sz="8" w:color="F2F2F2"/>
            </w:tcBorders>
            <w:shd w:val="clear" w:color="auto" w:fill="F2F2F2"/>
          </w:tcPr>
          <w:p>
            <w:pPr>
              <w:spacing w:after="0"/>
              <w:rPr>
                <w:sz w:val="21"/>
                <w:szCs w:val="21"/>
                <w:color w:val="auto"/>
              </w:rPr>
            </w:pPr>
          </w:p>
        </w:tc>
      </w:tr>
      <w:tr>
        <w:trPr>
          <w:trHeight w:val="235"/>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Lisa Campbell</w:t>
            </w:r>
          </w:p>
        </w:tc>
        <w:tc>
          <w:tcPr>
            <w:tcW w:w="2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8"/>
        </w:trPr>
        <w:tc>
          <w:tcPr>
            <w:tcW w:w="28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3040" w:type="dxa"/>
            <w:vAlign w:val="bottom"/>
          </w:tcPr>
          <w:p>
            <w:pPr>
              <w:spacing w:after="0"/>
              <w:rPr>
                <w:sz w:val="4"/>
                <w:szCs w:val="4"/>
                <w:color w:val="auto"/>
              </w:rPr>
            </w:pPr>
          </w:p>
        </w:tc>
      </w:tr>
      <w:tr>
        <w:trPr>
          <w:trHeight w:val="277"/>
        </w:trPr>
        <w:tc>
          <w:tcPr>
            <w:tcW w:w="28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Paul E. Jacobs, Ph.D</w:t>
            </w:r>
          </w:p>
        </w:tc>
        <w:tc>
          <w:tcPr>
            <w:tcW w:w="2800" w:type="dxa"/>
            <w:vAlign w:val="bottom"/>
            <w:tcBorders>
              <w:bottom w:val="single" w:sz="8" w:color="F2F2F2"/>
            </w:tcBorders>
            <w:shd w:val="clear" w:color="auto" w:fill="F2F2F2"/>
          </w:tcPr>
          <w:p>
            <w:pPr>
              <w:spacing w:after="0"/>
              <w:rPr>
                <w:sz w:val="24"/>
                <w:szCs w:val="24"/>
                <w:color w:val="auto"/>
              </w:rPr>
            </w:pPr>
          </w:p>
        </w:tc>
        <w:tc>
          <w:tcPr>
            <w:tcW w:w="2580" w:type="dxa"/>
            <w:vAlign w:val="bottom"/>
            <w:tcBorders>
              <w:bottom w:val="single" w:sz="8" w:color="F2F2F2"/>
            </w:tcBorders>
            <w:shd w:val="clear" w:color="auto" w:fill="F2F2F2"/>
          </w:tcPr>
          <w:p>
            <w:pPr>
              <w:spacing w:after="0"/>
              <w:rPr>
                <w:sz w:val="24"/>
                <w:szCs w:val="24"/>
                <w:color w:val="auto"/>
              </w:rPr>
            </w:pPr>
          </w:p>
        </w:tc>
        <w:tc>
          <w:tcPr>
            <w:tcW w:w="3040" w:type="dxa"/>
            <w:vAlign w:val="bottom"/>
            <w:tcBorders>
              <w:bottom w:val="single" w:sz="8" w:color="F2F2F2"/>
            </w:tcBorders>
            <w:shd w:val="clear" w:color="auto" w:fill="F2F2F2"/>
          </w:tcPr>
          <w:p>
            <w:pPr>
              <w:spacing w:after="0"/>
              <w:rPr>
                <w:sz w:val="24"/>
                <w:szCs w:val="24"/>
                <w:color w:val="auto"/>
              </w:rPr>
            </w:pPr>
          </w:p>
        </w:tc>
      </w:tr>
      <w:tr>
        <w:trPr>
          <w:trHeight w:val="29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Warren Jenson</w:t>
            </w:r>
          </w:p>
        </w:tc>
        <w:tc>
          <w:tcPr>
            <w:tcW w:w="2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88"/>
        </w:trPr>
        <w:tc>
          <w:tcPr>
            <w:tcW w:w="28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580" w:type="dxa"/>
            <w:vAlign w:val="bottom"/>
          </w:tcPr>
          <w:p>
            <w:pPr>
              <w:spacing w:after="0"/>
              <w:rPr>
                <w:sz w:val="7"/>
                <w:szCs w:val="7"/>
                <w:color w:val="auto"/>
              </w:rPr>
            </w:pPr>
          </w:p>
        </w:tc>
        <w:tc>
          <w:tcPr>
            <w:tcW w:w="3040" w:type="dxa"/>
            <w:vAlign w:val="bottom"/>
          </w:tcPr>
          <w:p>
            <w:pPr>
              <w:spacing w:after="0"/>
              <w:rPr>
                <w:sz w:val="7"/>
                <w:szCs w:val="7"/>
                <w:color w:val="auto"/>
              </w:rPr>
            </w:pPr>
          </w:p>
        </w:tc>
      </w:tr>
      <w:tr>
        <w:trPr>
          <w:trHeight w:val="250"/>
        </w:trPr>
        <w:tc>
          <w:tcPr>
            <w:tcW w:w="28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Andrew Moore, Ph.D</w:t>
            </w:r>
          </w:p>
        </w:tc>
        <w:tc>
          <w:tcPr>
            <w:tcW w:w="2800" w:type="dxa"/>
            <w:vAlign w:val="bottom"/>
            <w:tcBorders>
              <w:bottom w:val="single" w:sz="8" w:color="F2F2F2"/>
            </w:tcBorders>
            <w:shd w:val="clear" w:color="auto" w:fill="F2F2F2"/>
          </w:tcPr>
          <w:p>
            <w:pPr>
              <w:spacing w:after="0"/>
              <w:rPr>
                <w:sz w:val="21"/>
                <w:szCs w:val="21"/>
                <w:color w:val="auto"/>
              </w:rPr>
            </w:pPr>
          </w:p>
        </w:tc>
        <w:tc>
          <w:tcPr>
            <w:tcW w:w="2580" w:type="dxa"/>
            <w:vAlign w:val="bottom"/>
            <w:tcBorders>
              <w:bottom w:val="single" w:sz="8" w:color="F2F2F2"/>
            </w:tcBorders>
            <w:shd w:val="clear" w:color="auto" w:fill="F2F2F2"/>
          </w:tcPr>
          <w:p>
            <w:pPr>
              <w:spacing w:after="0"/>
              <w:rPr>
                <w:sz w:val="21"/>
                <w:szCs w:val="21"/>
                <w:color w:val="auto"/>
              </w:rPr>
            </w:pPr>
          </w:p>
        </w:tc>
        <w:tc>
          <w:tcPr>
            <w:tcW w:w="3040" w:type="dxa"/>
            <w:vAlign w:val="bottom"/>
            <w:tcBorders>
              <w:bottom w:val="single" w:sz="8" w:color="F2F2F2"/>
            </w:tcBorders>
            <w:shd w:val="clear" w:color="auto" w:fill="F2F2F2"/>
          </w:tcPr>
          <w:p>
            <w:pPr>
              <w:spacing w:after="0"/>
              <w:rPr>
                <w:sz w:val="21"/>
                <w:szCs w:val="21"/>
                <w:color w:val="auto"/>
              </w:rPr>
            </w:pPr>
          </w:p>
        </w:tc>
      </w:tr>
      <w:tr>
        <w:trPr>
          <w:trHeight w:val="235"/>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Abhay Parasnis</w:t>
            </w:r>
          </w:p>
        </w:tc>
        <w:tc>
          <w:tcPr>
            <w:tcW w:w="2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8"/>
        </w:trPr>
        <w:tc>
          <w:tcPr>
            <w:tcW w:w="28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3040" w:type="dxa"/>
            <w:vAlign w:val="bottom"/>
          </w:tcPr>
          <w:p>
            <w:pPr>
              <w:spacing w:after="0"/>
              <w:rPr>
                <w:sz w:val="4"/>
                <w:szCs w:val="4"/>
                <w:color w:val="auto"/>
              </w:rPr>
            </w:pPr>
          </w:p>
        </w:tc>
      </w:tr>
      <w:tr>
        <w:trPr>
          <w:trHeight w:val="263"/>
        </w:trPr>
        <w:tc>
          <w:tcPr>
            <w:tcW w:w="28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Karen Peacock</w:t>
            </w:r>
          </w:p>
        </w:tc>
        <w:tc>
          <w:tcPr>
            <w:tcW w:w="2800" w:type="dxa"/>
            <w:vAlign w:val="bottom"/>
            <w:tcBorders>
              <w:bottom w:val="single" w:sz="8" w:color="F2F2F2"/>
            </w:tcBorders>
            <w:shd w:val="clear" w:color="auto" w:fill="F2F2F2"/>
          </w:tcPr>
          <w:p>
            <w:pPr>
              <w:spacing w:after="0"/>
              <w:rPr>
                <w:sz w:val="22"/>
                <w:szCs w:val="22"/>
                <w:color w:val="auto"/>
              </w:rPr>
            </w:pPr>
          </w:p>
        </w:tc>
        <w:tc>
          <w:tcPr>
            <w:tcW w:w="2580" w:type="dxa"/>
            <w:vAlign w:val="bottom"/>
            <w:tcBorders>
              <w:bottom w:val="single" w:sz="8" w:color="F2F2F2"/>
            </w:tcBorders>
            <w:shd w:val="clear" w:color="auto" w:fill="F2F2F2"/>
          </w:tcPr>
          <w:p>
            <w:pPr>
              <w:spacing w:after="0"/>
              <w:rPr>
                <w:sz w:val="22"/>
                <w:szCs w:val="22"/>
                <w:color w:val="auto"/>
              </w:rPr>
            </w:pPr>
          </w:p>
        </w:tc>
        <w:tc>
          <w:tcPr>
            <w:tcW w:w="3040" w:type="dxa"/>
            <w:vAlign w:val="bottom"/>
            <w:tcBorders>
              <w:bottom w:val="single" w:sz="8" w:color="F2F2F2"/>
            </w:tcBorders>
            <w:shd w:val="clear" w:color="auto" w:fill="F2F2F2"/>
          </w:tcPr>
          <w:p>
            <w:pPr>
              <w:spacing w:after="0"/>
              <w:rPr>
                <w:sz w:val="22"/>
                <w:szCs w:val="22"/>
                <w:color w:val="auto"/>
              </w:rPr>
            </w:pPr>
          </w:p>
        </w:tc>
      </w:tr>
      <w:tr>
        <w:trPr>
          <w:trHeight w:val="236"/>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Michael Seibel</w:t>
            </w:r>
          </w:p>
        </w:tc>
        <w:tc>
          <w:tcPr>
            <w:tcW w:w="2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83"/>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Number of Meetings</w:t>
            </w:r>
          </w:p>
        </w:tc>
        <w:tc>
          <w:tcPr>
            <w:tcW w:w="2800" w:type="dxa"/>
            <w:vAlign w:val="bottom"/>
          </w:tcPr>
          <w:p>
            <w:pPr>
              <w:jc w:val="right"/>
              <w:ind w:right="1282"/>
              <w:spacing w:after="0"/>
              <w:rPr>
                <w:sz w:val="20"/>
                <w:szCs w:val="20"/>
                <w:color w:val="auto"/>
              </w:rPr>
            </w:pPr>
            <w:r>
              <w:rPr>
                <w:rFonts w:ascii="Arial" w:cs="Arial" w:eastAsia="Arial" w:hAnsi="Arial"/>
                <w:sz w:val="16"/>
                <w:szCs w:val="16"/>
                <w:color w:val="auto"/>
              </w:rPr>
              <w:t>4</w:t>
            </w:r>
          </w:p>
        </w:tc>
        <w:tc>
          <w:tcPr>
            <w:tcW w:w="2580" w:type="dxa"/>
            <w:vAlign w:val="bottom"/>
          </w:tcPr>
          <w:p>
            <w:pPr>
              <w:jc w:val="right"/>
              <w:ind w:right="1042"/>
              <w:spacing w:after="0"/>
              <w:rPr>
                <w:sz w:val="20"/>
                <w:szCs w:val="20"/>
                <w:color w:val="auto"/>
              </w:rPr>
            </w:pPr>
            <w:r>
              <w:rPr>
                <w:rFonts w:ascii="Arial" w:cs="Arial" w:eastAsia="Arial" w:hAnsi="Arial"/>
                <w:sz w:val="16"/>
                <w:szCs w:val="16"/>
                <w:color w:val="auto"/>
              </w:rPr>
              <w:t>4</w:t>
            </w:r>
          </w:p>
        </w:tc>
        <w:tc>
          <w:tcPr>
            <w:tcW w:w="3040" w:type="dxa"/>
            <w:vAlign w:val="bottom"/>
          </w:tcPr>
          <w:p>
            <w:pPr>
              <w:jc w:val="right"/>
              <w:ind w:right="1284"/>
              <w:spacing w:after="0"/>
              <w:rPr>
                <w:sz w:val="20"/>
                <w:szCs w:val="20"/>
                <w:color w:val="auto"/>
              </w:rPr>
            </w:pPr>
            <w:r>
              <w:rPr>
                <w:rFonts w:ascii="Arial" w:cs="Arial" w:eastAsia="Arial" w:hAnsi="Arial"/>
                <w:sz w:val="16"/>
                <w:szCs w:val="16"/>
                <w:color w:val="auto"/>
              </w:rPr>
              <w:t>3</w:t>
            </w:r>
          </w:p>
        </w:tc>
      </w:tr>
      <w:tr>
        <w:trPr>
          <w:trHeight w:val="343"/>
        </w:trPr>
        <w:tc>
          <w:tcPr>
            <w:tcW w:w="2820" w:type="dxa"/>
            <w:vAlign w:val="bottom"/>
          </w:tcPr>
          <w:p>
            <w:pPr>
              <w:ind w:left="880"/>
              <w:spacing w:after="0"/>
              <w:rPr>
                <w:sz w:val="20"/>
                <w:szCs w:val="20"/>
                <w:color w:val="auto"/>
              </w:rPr>
            </w:pPr>
            <w:r>
              <w:rPr>
                <w:rFonts w:ascii="Arial" w:cs="Arial" w:eastAsia="Arial" w:hAnsi="Arial"/>
                <w:sz w:val="16"/>
                <w:szCs w:val="16"/>
                <w:color w:val="auto"/>
              </w:rPr>
              <w:t>Committee member</w:t>
            </w:r>
          </w:p>
        </w:tc>
        <w:tc>
          <w:tcPr>
            <w:tcW w:w="2800" w:type="dxa"/>
            <w:vAlign w:val="bottom"/>
          </w:tcPr>
          <w:p>
            <w:pPr>
              <w:ind w:left="960"/>
              <w:spacing w:after="0"/>
              <w:rPr>
                <w:sz w:val="20"/>
                <w:szCs w:val="20"/>
                <w:color w:val="auto"/>
              </w:rPr>
            </w:pPr>
            <w:r>
              <w:rPr>
                <w:rFonts w:ascii="Arial" w:cs="Arial" w:eastAsia="Arial" w:hAnsi="Arial"/>
                <w:sz w:val="16"/>
                <w:szCs w:val="16"/>
                <w:color w:val="auto"/>
              </w:rPr>
              <w:t>Committee chair</w:t>
            </w:r>
          </w:p>
        </w:tc>
        <w:tc>
          <w:tcPr>
            <w:tcW w:w="2580" w:type="dxa"/>
            <w:vAlign w:val="bottom"/>
          </w:tcPr>
          <w:p>
            <w:pPr>
              <w:ind w:left="1020"/>
              <w:spacing w:after="0"/>
              <w:rPr>
                <w:sz w:val="20"/>
                <w:szCs w:val="20"/>
                <w:color w:val="auto"/>
              </w:rPr>
            </w:pPr>
            <w:r>
              <w:rPr>
                <w:rFonts w:ascii="Arial" w:cs="Arial" w:eastAsia="Arial" w:hAnsi="Arial"/>
                <w:sz w:val="16"/>
                <w:szCs w:val="16"/>
                <w:color w:val="auto"/>
              </w:rPr>
              <w:t>Financial expert</w:t>
            </w: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-169545</wp:posOffset>
            </wp:positionV>
            <wp:extent cx="10287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-169545</wp:posOffset>
            </wp:positionV>
            <wp:extent cx="10287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-169545</wp:posOffset>
            </wp:positionV>
            <wp:extent cx="137160"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0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Audit Committee</w:t>
      </w:r>
    </w:p>
    <w:p>
      <w:pPr>
        <w:spacing w:after="0" w:line="16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Our audit committee consists of Mr. Jenson, Dr. Moore and Ms. Campbell, with Mr. Jenson serving as chair. Each of the members of the audit committee meets the requirements for independence of audit committee members under Nasdaq listing rules and SEC rules and regulations and also meets the financial literacy and sophistication requirements of the Nasdaq listing rules. Our board of directors has determined that Mr. Jenson is an audit committee financial expert within the meaning of Item 407(d) of Regulation S-K. Our audit committee is responsible for, among other things:</w:t>
      </w:r>
    </w:p>
    <w:p>
      <w:pPr>
        <w:spacing w:after="0" w:line="129"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helping to ensure the independence and overseeing performance of the independent registered public accounting firm;</w:t>
      </w:r>
    </w:p>
    <w:p>
      <w:pPr>
        <w:spacing w:after="0" w:line="167" w:lineRule="exact"/>
        <w:rPr>
          <w:rFonts w:ascii="Arial" w:cs="Arial" w:eastAsia="Arial" w:hAnsi="Arial"/>
          <w:sz w:val="16"/>
          <w:szCs w:val="16"/>
          <w:color w:val="0063A6"/>
        </w:rPr>
      </w:pPr>
    </w:p>
    <w:p>
      <w:pPr>
        <w:ind w:left="340" w:right="200" w:hanging="332"/>
        <w:spacing w:after="0" w:line="268" w:lineRule="auto"/>
        <w:tabs>
          <w:tab w:leader="none" w:pos="329"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reviewing and discussing the scope and results of the audit with the independent registered public accounting firm, and reviewing, with management, internal audit and the independent registered public accounting firm, our interim and year-end operating results;</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reviewing our financial statements and our critical accounting policies and estimates;</w:t>
      </w:r>
    </w:p>
    <w:p>
      <w:pPr>
        <w:spacing w:after="0" w:line="167" w:lineRule="exact"/>
        <w:rPr>
          <w:rFonts w:ascii="Arial" w:cs="Arial" w:eastAsia="Arial" w:hAnsi="Arial"/>
          <w:sz w:val="16"/>
          <w:szCs w:val="16"/>
          <w:color w:val="0063A6"/>
        </w:rPr>
      </w:pPr>
    </w:p>
    <w:p>
      <w:pPr>
        <w:ind w:left="340" w:right="40" w:hanging="332"/>
        <w:spacing w:after="0" w:line="286" w:lineRule="auto"/>
        <w:tabs>
          <w:tab w:leader="none" w:pos="329"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overseeing and monitoring the integrity of our financial statements and our compliance with legal and regulatory requirements as they relate to financial statements or accounting matters;</w:t>
      </w:r>
    </w:p>
    <w:p>
      <w:pPr>
        <w:spacing w:after="0" w:line="101" w:lineRule="exact"/>
        <w:rPr>
          <w:rFonts w:ascii="Arial" w:cs="Arial" w:eastAsia="Arial" w:hAnsi="Arial"/>
          <w:sz w:val="16"/>
          <w:szCs w:val="16"/>
          <w:color w:val="0063A6"/>
        </w:rPr>
      </w:pPr>
    </w:p>
    <w:p>
      <w:pPr>
        <w:ind w:left="340" w:right="500" w:hanging="332"/>
        <w:spacing w:after="0" w:line="268" w:lineRule="auto"/>
        <w:tabs>
          <w:tab w:leader="none" w:pos="329"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overseeing programs and policies with respect to assessing and managing risks pertaining to our operational infrastructure, particularly reliability, business continuity, cybersecurity, and data privacy;</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and approving any amendments to the internal audit charter;</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reviewing the design, implementation, adequacy, and effectiveness of our internal controls;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overseeing the performance of our internal audit department, which functionally reports to the audit committee;</w:t>
      </w:r>
    </w:p>
    <w:p>
      <w:pPr>
        <w:spacing w:after="0" w:line="167" w:lineRule="exact"/>
        <w:rPr>
          <w:rFonts w:ascii="Arial" w:cs="Arial" w:eastAsia="Arial" w:hAnsi="Arial"/>
          <w:sz w:val="16"/>
          <w:szCs w:val="16"/>
          <w:color w:val="0063A6"/>
        </w:rPr>
      </w:pPr>
    </w:p>
    <w:p>
      <w:pPr>
        <w:ind w:left="340" w:hanging="332"/>
        <w:spacing w:after="0" w:line="268" w:lineRule="auto"/>
        <w:tabs>
          <w:tab w:leader="none" w:pos="329"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establishing and overseeing procedures for employees to submit concerns anonymously about questionable accounting, internal accounting controls, or audit matters;</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overseeing management’s assessment and mitigation of enterprise risks;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overseeing compliance with our code of business conduct and ethics;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reviewing and approving related party transactions;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0"/>
        </w:numPr>
        <w:rPr>
          <w:rFonts w:ascii="Arial" w:cs="Arial" w:eastAsia="Arial" w:hAnsi="Arial"/>
          <w:sz w:val="16"/>
          <w:szCs w:val="16"/>
          <w:color w:val="0063A6"/>
        </w:rPr>
      </w:pPr>
      <w:r>
        <w:rPr>
          <w:rFonts w:ascii="Arial" w:cs="Arial" w:eastAsia="Arial" w:hAnsi="Arial"/>
          <w:sz w:val="16"/>
          <w:szCs w:val="16"/>
          <w:color w:val="auto"/>
        </w:rPr>
        <w:t>pre-approving all audit and all permissible non-audit services to be performed by the independent registered public accounting firm.</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2025, our audit committee held four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0" w:hanging="554"/>
        <w:spacing w:after="0"/>
        <w:tabs>
          <w:tab w:leader="none" w:pos="58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Talent and Compensation Committee</w:t>
      </w:r>
    </w:p>
    <w:p>
      <w:pPr>
        <w:spacing w:after="0" w:line="16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talent and compensation committee consists of Dr. Jacobs, Messrs. Parasnis and Seibel, and Ms. Peacock with Dr. Jacobs serving as chair. Upon the end of Dr. Jacobs’ term at the Annual Meeting, Mr. Seibel will succeed Dr. Jacobs as chair. Each member of the talent and compensation committee meets the requirements for independence for talent and compensation committee members under the listing standards of Nasdaq. Each member of our talent and compensation committee is also a non-employee director, as defined pursuant to Rule 16b-3 promulgated under the Securities Exchange Act of 1934, as amended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Rule 16b-3. Our talent and compensation committee is responsible for, among other things:</w:t>
      </w:r>
    </w:p>
    <w:p>
      <w:pPr>
        <w:spacing w:after="0" w:line="108" w:lineRule="exact"/>
        <w:rPr>
          <w:sz w:val="20"/>
          <w:szCs w:val="20"/>
          <w:color w:val="auto"/>
        </w:rPr>
      </w:pPr>
    </w:p>
    <w:p>
      <w:pPr>
        <w:ind w:left="340" w:right="380" w:hanging="332"/>
        <w:spacing w:after="0" w:line="286" w:lineRule="auto"/>
        <w:tabs>
          <w:tab w:leader="none" w:pos="329"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approving, and determining, or making recommendations to our board of directors regarding, the compensation of our executive officers, including our Chief Executive Officer;</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approving, and administering our incentive compensation and equity compensation plans;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and approving our overall compensation philosophy;</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making recommendations regarding non-employee director compensation to our full board of directors; and</w:t>
      </w:r>
    </w:p>
    <w:p>
      <w:pPr>
        <w:spacing w:after="0" w:line="167" w:lineRule="exact"/>
        <w:rPr>
          <w:rFonts w:ascii="Arial" w:cs="Arial" w:eastAsia="Arial" w:hAnsi="Arial"/>
          <w:sz w:val="16"/>
          <w:szCs w:val="16"/>
          <w:color w:val="0063A6"/>
        </w:rPr>
      </w:pPr>
    </w:p>
    <w:p>
      <w:pPr>
        <w:ind w:left="340" w:right="1000" w:hanging="332"/>
        <w:spacing w:after="0" w:line="286" w:lineRule="auto"/>
        <w:tabs>
          <w:tab w:leader="none" w:pos="329"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reviewing our human capital management disclosures and activities, including assisting our board with matters related to talent acquisition, management and development, and employee engagement.</w:t>
      </w:r>
    </w:p>
    <w:p>
      <w:pPr>
        <w:spacing w:after="0" w:line="102"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Our talent and compensation committee operates under a written charter that satisfies the applicable rules and regulations of the SEC and the listing standards of Nasdaq. A copy of the charter for our talent and compensation committee is available on our website at investors.dropbox.com. During 2025, our talent and compensation committee held four meetings.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Nominating and Corporate Governance Committee</w:t>
      </w:r>
    </w:p>
    <w:p>
      <w:pPr>
        <w:spacing w:after="0" w:line="167"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Our nominating and corporate governance committee consists of Ms. Campbell and Mr. Jenson, with Ms. Campbell serving as chair. Each member of the nominating and corporate governance committee meets the requirements for independence under the listing standards of Nasdaq. Our nominating and corporate governance committee is responsible for, among other things:</w:t>
      </w:r>
    </w:p>
    <w:p>
      <w:pPr>
        <w:spacing w:after="0" w:line="124" w:lineRule="exact"/>
        <w:rPr>
          <w:sz w:val="20"/>
          <w:szCs w:val="20"/>
          <w:color w:val="auto"/>
        </w:rPr>
      </w:pPr>
    </w:p>
    <w:p>
      <w:pPr>
        <w:ind w:left="340" w:right="740" w:hanging="332"/>
        <w:spacing w:after="0" w:line="286" w:lineRule="auto"/>
        <w:tabs>
          <w:tab w:leader="none" w:pos="329"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identifying, evaluating, and making recommendations to our board of directors regarding nominees for election to our board of directors and its committees;</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overseeing the evaluation of the performance of our board of directors and of individual directors;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overseeing our corporate governance practices;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succession planning processes for executive officers, including the CEO and assisting the board in the succession planning process;</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developing and making recommendations to our board of directors regarding corporate governance guidelines and matters;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overseeing compliance with corporate sustainability reporting requirements and related risks.</w:t>
      </w:r>
    </w:p>
    <w:p>
      <w:pPr>
        <w:spacing w:after="0" w:line="167"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2025, our nominating and corporate governance committee held three meetings.</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63A6"/>
        </w:rPr>
        <w:t>Attendance at Board and Stockholder Meetings</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During our fiscal year ended December 31, 2025, our board of directors held five meetings (including regularly scheduled and special meetings), and each director, with the exception of Ms. Peacock who met with management and directors between meetings,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4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strongly encourage, but do not require, our directors to attend. All of our directors who then served on the board attended our 2025 annual meeting of our stockholders.</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Committee Interlocks and Insider Participation</w:t>
      </w:r>
    </w:p>
    <w:p>
      <w:pPr>
        <w:spacing w:after="0" w:line="219"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None of the members of our talent and compensation committee is or has been an officer or employee of our company. None of our executive officers currently serves, or in the past year has served, as a member of the board of directors or talent and compensation committee (or other board committee performing equivalent functions) of any entity that has one or more of its executive officers serving on our board of directors or talent and compensation committee.</w:t>
      </w: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color w:val="0063A6"/>
        </w:rPr>
        <w:t>Considerations in Evaluating Director Nominees</w:t>
      </w:r>
    </w:p>
    <w:p>
      <w:pPr>
        <w:spacing w:after="0" w:line="233"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3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nominating and corporate governance committee considers the suitability of each director candidate, including current directors, in light of the current size and composition of our board. We do not maintain a specific policy with regards to board diversity and our board of directors believes that our board should exhibit a wide range of views and perspectives. After completing its review and evaluation of director candidates, including incumbent directors, our nominating and corporate governance committee recommends to our full board of directors the director nominees for selection.</w:t>
      </w:r>
    </w:p>
    <w:p>
      <w:pPr>
        <w:spacing w:after="0" w:line="348" w:lineRule="exact"/>
        <w:rPr>
          <w:sz w:val="20"/>
          <w:szCs w:val="20"/>
          <w:color w:val="auto"/>
        </w:rPr>
      </w:pPr>
    </w:p>
    <w:p>
      <w:pPr>
        <w:spacing w:after="0"/>
        <w:rPr>
          <w:sz w:val="20"/>
          <w:szCs w:val="20"/>
          <w:color w:val="auto"/>
        </w:rPr>
      </w:pPr>
      <w:r>
        <w:rPr>
          <w:rFonts w:ascii="Arial" w:cs="Arial" w:eastAsia="Arial" w:hAnsi="Arial"/>
          <w:sz w:val="26"/>
          <w:szCs w:val="26"/>
          <w:color w:val="0063A6"/>
        </w:rPr>
        <w:t>Board Evaluations</w:t>
      </w:r>
    </w:p>
    <w:p>
      <w:pPr>
        <w:spacing w:after="0" w:line="21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effectiveness of our board of directors and its committees is critical to our success. To maintain and improve that effectiveness, our nominating and corporate governance committee, in partnership with our lead independent director, oversees the design and implementation of an annual assessment of our board and its committees.</w:t>
      </w:r>
    </w:p>
    <w:p>
      <w:pPr>
        <w:spacing w:after="0" w:line="10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Our board of directors engaged a third-party board governance consultant (the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to help enhance this assessment process. Our board of directors believes that the third-party Consultant strengthens the board's effectiveness as the Consultant brings broad market insight and an objective, candid perspective on a wide range of governance matters, including board dynamics, structure and composition, meeting agendas, decision-making and overall effectiveness. The Consultant prepared a written survey in close partnership with our nominating and governance committee, in-house legal team, and lead independent director. This survey contained a mix of statements and open-ended questions. The Consultant then consolidated this feedback and led a discussion with the board regarding results and opportunities to increase effectiveness.</w:t>
      </w:r>
    </w:p>
    <w:p>
      <w:pPr>
        <w:spacing w:after="0" w:line="12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Our board of directors and its committees implement improvements and take further actions, as appropriate, based on opportunities identified during its evaluation.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0" w:hanging="554"/>
        <w:spacing w:after="0"/>
        <w:tabs>
          <w:tab w:leader="none" w:pos="58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194" w:lineRule="exact"/>
        <w:rPr>
          <w:sz w:val="20"/>
          <w:szCs w:val="20"/>
          <w:color w:val="auto"/>
        </w:rPr>
      </w:pPr>
    </w:p>
    <w:p>
      <w:pPr>
        <w:spacing w:after="0"/>
        <w:rPr>
          <w:sz w:val="20"/>
          <w:szCs w:val="20"/>
          <w:color w:val="auto"/>
        </w:rPr>
      </w:pPr>
      <w:r>
        <w:rPr>
          <w:rFonts w:ascii="Arial" w:cs="Arial" w:eastAsia="Arial" w:hAnsi="Arial"/>
          <w:sz w:val="26"/>
          <w:szCs w:val="26"/>
          <w:color w:val="0063A6"/>
        </w:rPr>
        <w:t>Stockholder Recommendations and Nominations to the Board of Directors</w:t>
      </w:r>
    </w:p>
    <w:p>
      <w:pPr>
        <w:spacing w:after="0" w:line="21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holding at least one percent (1%) of the fully diluted capitalization of the company continuously for at least 12 months prior to the date of the submission of the recommendation, so long as such recommendations comply with our articles of incorporation, bylaws, and applicable laws, rules and regulations, including those promulgated by the SEC. Our nominating and corporate governance committee will evaluate such recommendations in accordance with its charter, our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bylaws. Our nominating and corporate governance committee has discretion to decide which individuals to recommend for nomination as directors.</w:t>
      </w:r>
    </w:p>
    <w:p>
      <w:pPr>
        <w:spacing w:after="0" w:line="13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Under our bylaws, stockholders may also directly nominate persons for our board of directors. Any nomination must comply with the requirements set forth in our bylaws and should be sent in writing to our Corporate Secretary at Dropbox, Inc., 1800 Owens Street San Francisco, California 94158. To be timely for the 2027 annual meeting of stockholders, nominations must be received by our Corporate Secretary observing the same deadlines for stockholder proposals discussed above under “</w:t>
      </w:r>
      <w:r>
        <w:rPr>
          <w:rFonts w:ascii="Arial" w:cs="Arial" w:eastAsia="Arial" w:hAnsi="Arial"/>
          <w:sz w:val="16"/>
          <w:szCs w:val="16"/>
          <w:i w:val="1"/>
          <w:iCs w:val="1"/>
          <w:color w:val="auto"/>
        </w:rPr>
        <w:t>General Information—What is the deadline to propose actions for consideration at next year’s annual meeting of stockholders or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nominate individuals to serve as directors?—Stockholder Proposals.</w:t>
      </w:r>
      <w:r>
        <w:rPr>
          <w:rFonts w:ascii="Arial" w:cs="Arial" w:eastAsia="Arial" w:hAnsi="Arial"/>
          <w:sz w:val="16"/>
          <w:szCs w:val="16"/>
          <w:color w:val="auto"/>
        </w:rPr>
        <w:t>”</w:t>
      </w:r>
    </w:p>
    <w:p>
      <w:pPr>
        <w:spacing w:after="0" w:line="375" w:lineRule="exact"/>
        <w:rPr>
          <w:sz w:val="20"/>
          <w:szCs w:val="20"/>
          <w:color w:val="auto"/>
        </w:rPr>
      </w:pPr>
    </w:p>
    <w:p>
      <w:pPr>
        <w:spacing w:after="0"/>
        <w:rPr>
          <w:sz w:val="20"/>
          <w:szCs w:val="20"/>
          <w:color w:val="auto"/>
        </w:rPr>
      </w:pPr>
      <w:r>
        <w:rPr>
          <w:rFonts w:ascii="Arial" w:cs="Arial" w:eastAsia="Arial" w:hAnsi="Arial"/>
          <w:sz w:val="26"/>
          <w:szCs w:val="26"/>
          <w:color w:val="0063A6"/>
        </w:rPr>
        <w:t>Communications with the Board of Directors</w:t>
      </w:r>
    </w:p>
    <w:p>
      <w:pPr>
        <w:spacing w:after="0" w:line="17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pacing w:after="0" w:line="12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This procedure does not apply to (i) communications to non-management directors from our officers or directors who are stockholders or (ii) stockholder</w:t>
      </w:r>
    </w:p>
    <w:p>
      <w:pPr>
        <w:spacing w:after="0" w:line="21"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proposals submitted pursuant to Rule 14a-8 under the Exchange Act, which are discussed further in the section titled “</w:t>
      </w:r>
      <w:r>
        <w:rPr>
          <w:rFonts w:ascii="Arial" w:cs="Arial" w:eastAsia="Arial" w:hAnsi="Arial"/>
          <w:sz w:val="16"/>
          <w:szCs w:val="16"/>
          <w:i w:val="1"/>
          <w:iCs w:val="1"/>
          <w:color w:val="auto"/>
        </w:rPr>
        <w:t>What is the deadline to propose</w:t>
      </w:r>
      <w:r>
        <w:rPr>
          <w:rFonts w:ascii="Arial" w:cs="Arial" w:eastAsia="Arial" w:hAnsi="Arial"/>
          <w:sz w:val="16"/>
          <w:szCs w:val="16"/>
          <w:color w:val="auto"/>
        </w:rPr>
        <w:t xml:space="preserve"> </w:t>
      </w:r>
      <w:r>
        <w:rPr>
          <w:rFonts w:ascii="Arial" w:cs="Arial" w:eastAsia="Arial" w:hAnsi="Arial"/>
          <w:sz w:val="16"/>
          <w:szCs w:val="16"/>
          <w:i w:val="1"/>
          <w:iCs w:val="1"/>
          <w:color w:val="auto"/>
        </w:rPr>
        <w:t>actions for consideration at next year’s annual meeting of stockholders or to nominate individuals to serve as directors?—Stockholder Proposals</w:t>
      </w:r>
      <w:r>
        <w:rPr>
          <w:rFonts w:ascii="Arial" w:cs="Arial" w:eastAsia="Arial" w:hAnsi="Arial"/>
          <w:sz w:val="16"/>
          <w:szCs w:val="16"/>
          <w:color w:val="auto"/>
        </w:rPr>
        <w:t>” described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above in this proxy statement.</w:t>
      </w:r>
    </w:p>
    <w:p>
      <w:pPr>
        <w:spacing w:after="0" w:line="375" w:lineRule="exact"/>
        <w:rPr>
          <w:sz w:val="20"/>
          <w:szCs w:val="20"/>
          <w:color w:val="auto"/>
        </w:rPr>
      </w:pPr>
    </w:p>
    <w:p>
      <w:pPr>
        <w:spacing w:after="0"/>
        <w:rPr>
          <w:sz w:val="20"/>
          <w:szCs w:val="20"/>
          <w:color w:val="auto"/>
        </w:rPr>
      </w:pPr>
      <w:r>
        <w:rPr>
          <w:rFonts w:ascii="Arial" w:cs="Arial" w:eastAsia="Arial" w:hAnsi="Arial"/>
          <w:sz w:val="26"/>
          <w:szCs w:val="26"/>
          <w:color w:val="0063A6"/>
        </w:rPr>
        <w:t>Corporate Governance Guidelines and Code of Business Conduct and Ethics</w:t>
      </w:r>
    </w:p>
    <w:p>
      <w:pPr>
        <w:spacing w:after="0" w:line="233"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independent contractors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pacing w:after="0" w:line="370" w:lineRule="exact"/>
        <w:rPr>
          <w:sz w:val="20"/>
          <w:szCs w:val="20"/>
          <w:color w:val="auto"/>
        </w:rPr>
      </w:pPr>
    </w:p>
    <w:p>
      <w:pPr>
        <w:spacing w:after="0"/>
        <w:rPr>
          <w:sz w:val="20"/>
          <w:szCs w:val="20"/>
          <w:color w:val="auto"/>
        </w:rPr>
      </w:pPr>
      <w:r>
        <w:rPr>
          <w:rFonts w:ascii="Arial" w:cs="Arial" w:eastAsia="Arial" w:hAnsi="Arial"/>
          <w:sz w:val="26"/>
          <w:szCs w:val="26"/>
          <w:color w:val="0063A6"/>
        </w:rPr>
        <w:t>Stock Ownership Guidelines</w:t>
      </w:r>
    </w:p>
    <w:p>
      <w:pPr>
        <w:spacing w:after="0" w:line="16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talent and compensation committee of our board of directors has adopted stock ownership guidelines for our independent directors and executive officers. Under these guidelines, all independent directors are required to acquire and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own stock or stock equivalents in an amount equal to five times their annual cash retainers for service on the board, excluding any cash retainers for committee or chair service or service as lead independent director. For these purposes, owned stock includes any shares of stock owned directly or indirectly by the covered individual, but does not include unexercised, unvested or unearned equity awards (including unexercised stock options). Independent directors are required to meet the ownership requirements within five years of the later of (i) December 1, 2023, or such later date as specified in the stock ownership guidelines or (ii) such independent director's appointment or election date, as applicable. All of our independent directors are in compliance with the applicable ownership requirements or are not yet required to meet the applicable ownership requirements pursuant to the stock ownership guidelines. For a description of the stock ownership guidelines applicable to our executive officers, refer to the section titled "</w:t>
      </w:r>
      <w:r>
        <w:rPr>
          <w:rFonts w:ascii="Arial" w:cs="Arial" w:eastAsia="Arial" w:hAnsi="Arial"/>
          <w:sz w:val="16"/>
          <w:szCs w:val="16"/>
          <w:i w:val="1"/>
          <w:iCs w:val="1"/>
          <w:color w:val="auto"/>
        </w:rPr>
        <w:t>Executive Compensation—Compensation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Analysis—Stock Ownership Guidelines".</w:t>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color w:val="0063A6"/>
        </w:rPr>
        <w:t>Role of Board in Risk Oversight Process</w:t>
      </w:r>
    </w:p>
    <w:p>
      <w:pPr>
        <w:spacing w:after="0" w:line="21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these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and its committees regularly review our strategic and operational risks in the context of discussions with management, question and answer sessions, and reports from the management team, outside advisors, and consultants.</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addition, our board has designated standing committees with oversight of certain categories of risk and receives regular reports on significant risk-related committee activities at full board meetings. Delegated committee oversight of specific risks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419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81"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0063A6"/>
        </w:rPr>
        <w:t>Audit</w:t>
      </w:r>
    </w:p>
    <w:p>
      <w:pPr>
        <w:spacing w:after="0" w:line="1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0063A6"/>
        </w:rPr>
        <w:t>Committee</w:t>
      </w:r>
    </w:p>
    <w:p>
      <w:pPr>
        <w:spacing w:after="0" w:line="198" w:lineRule="exact"/>
        <w:rPr>
          <w:sz w:val="20"/>
          <w:szCs w:val="20"/>
          <w:color w:val="auto"/>
        </w:rPr>
      </w:pPr>
    </w:p>
    <w:p>
      <w:pPr>
        <w:ind w:left="20" w:right="80"/>
        <w:spacing w:after="0" w:line="253" w:lineRule="auto"/>
        <w:rPr>
          <w:sz w:val="20"/>
          <w:szCs w:val="20"/>
          <w:color w:val="auto"/>
        </w:rPr>
      </w:pPr>
      <w:r>
        <w:rPr>
          <w:rFonts w:ascii="Arial" w:cs="Arial" w:eastAsia="Arial" w:hAnsi="Arial"/>
          <w:sz w:val="16"/>
          <w:szCs w:val="16"/>
          <w:color w:val="auto"/>
        </w:rPr>
        <w:t>Our audit committee assists our board in fulfilling its oversight responsibilities with respect to risk management in the areas of internal control over financial reporting and disclosure controls and procedures, as well as legal and regulatory compliance. The audit committee further oversees our initiatives related to our operational infrastructure, particularly reliability, business continuity, cybersecurity, and data privacy. Our audit committee also, among other things, discusses with management and the independent auditor guidelines with respect to risk assessment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184785</wp:posOffset>
            </wp:positionV>
            <wp:extent cx="17145" cy="351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 cy="35115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80" w:type="dxa"/>
            <w:vAlign w:val="bottom"/>
            <w:shd w:val="clear" w:color="auto" w:fill="E5EFFD"/>
          </w:tcPr>
          <w:p>
            <w:pPr>
              <w:jc w:val="center"/>
              <w:ind w:left="72"/>
              <w:spacing w:after="0"/>
              <w:rPr>
                <w:sz w:val="20"/>
                <w:szCs w:val="20"/>
                <w:color w:val="auto"/>
              </w:rPr>
            </w:pPr>
            <w:r>
              <w:rPr>
                <w:rFonts w:ascii="Arial" w:cs="Arial" w:eastAsia="Arial" w:hAnsi="Arial"/>
                <w:sz w:val="22"/>
                <w:szCs w:val="22"/>
                <w:b w:val="1"/>
                <w:bCs w:val="1"/>
                <w:color w:val="0063A6"/>
                <w:w w:val="98"/>
              </w:rPr>
              <w:t>Talent and Compensation</w:t>
            </w:r>
          </w:p>
        </w:tc>
        <w:tc>
          <w:tcPr>
            <w:tcW w:w="5860" w:type="dxa"/>
            <w:vAlign w:val="bottom"/>
            <w:shd w:val="clear" w:color="auto" w:fill="E5EFFD"/>
          </w:tcPr>
          <w:p>
            <w:pPr>
              <w:jc w:val="center"/>
              <w:ind w:left="92"/>
              <w:spacing w:after="0"/>
              <w:rPr>
                <w:sz w:val="20"/>
                <w:szCs w:val="20"/>
                <w:color w:val="auto"/>
              </w:rPr>
            </w:pPr>
            <w:r>
              <w:rPr>
                <w:rFonts w:ascii="Arial" w:cs="Arial" w:eastAsia="Arial" w:hAnsi="Arial"/>
                <w:sz w:val="22"/>
                <w:szCs w:val="22"/>
                <w:b w:val="1"/>
                <w:bCs w:val="1"/>
                <w:color w:val="0063A6"/>
                <w:w w:val="97"/>
              </w:rPr>
              <w:t>Nominating and</w:t>
            </w:r>
          </w:p>
        </w:tc>
      </w:tr>
      <w:tr>
        <w:trPr>
          <w:trHeight w:val="312"/>
        </w:trPr>
        <w:tc>
          <w:tcPr>
            <w:tcW w:w="5380" w:type="dxa"/>
            <w:vAlign w:val="bottom"/>
            <w:shd w:val="clear" w:color="auto" w:fill="E5EFFD"/>
          </w:tcPr>
          <w:p>
            <w:pPr>
              <w:jc w:val="center"/>
              <w:ind w:left="132"/>
              <w:spacing w:after="0"/>
              <w:rPr>
                <w:sz w:val="20"/>
                <w:szCs w:val="20"/>
                <w:color w:val="auto"/>
              </w:rPr>
            </w:pPr>
            <w:r>
              <w:rPr>
                <w:rFonts w:ascii="Arial" w:cs="Arial" w:eastAsia="Arial" w:hAnsi="Arial"/>
                <w:sz w:val="22"/>
                <w:szCs w:val="22"/>
                <w:b w:val="1"/>
                <w:bCs w:val="1"/>
                <w:color w:val="0063A6"/>
                <w:w w:val="96"/>
              </w:rPr>
              <w:t>Committee</w:t>
            </w:r>
          </w:p>
        </w:tc>
        <w:tc>
          <w:tcPr>
            <w:tcW w:w="5860" w:type="dxa"/>
            <w:vAlign w:val="bottom"/>
            <w:shd w:val="clear" w:color="auto" w:fill="E5EFFD"/>
          </w:tcPr>
          <w:p>
            <w:pPr>
              <w:jc w:val="center"/>
              <w:ind w:left="152"/>
              <w:spacing w:after="0"/>
              <w:rPr>
                <w:sz w:val="20"/>
                <w:szCs w:val="20"/>
                <w:color w:val="auto"/>
              </w:rPr>
            </w:pPr>
            <w:r>
              <w:rPr>
                <w:rFonts w:ascii="Arial" w:cs="Arial" w:eastAsia="Arial" w:hAnsi="Arial"/>
                <w:sz w:val="22"/>
                <w:szCs w:val="22"/>
                <w:b w:val="1"/>
                <w:bCs w:val="1"/>
                <w:color w:val="0063A6"/>
                <w:w w:val="98"/>
              </w:rPr>
              <w:t>Corporate Governance Committee</w:t>
            </w:r>
          </w:p>
        </w:tc>
      </w:tr>
    </w:tbl>
    <w:p>
      <w:pPr>
        <w:spacing w:after="0" w:line="107" w:lineRule="exact"/>
        <w:rPr>
          <w:sz w:val="20"/>
          <w:szCs w:val="20"/>
          <w:color w:val="auto"/>
        </w:rPr>
      </w:pPr>
    </w:p>
    <w:p>
      <w:pPr>
        <w:sectPr>
          <w:pgSz w:w="11900" w:h="16838" w:orient="portrait"/>
          <w:cols w:equalWidth="0" w:num="1">
            <w:col w:w="11240"/>
          </w:cols>
          <w:pgMar w:left="320" w:top="114" w:right="339" w:bottom="1440" w:gutter="0" w:footer="0" w:header="0"/>
        </w:sectPr>
      </w:pPr>
    </w:p>
    <w:p>
      <w:pPr>
        <w:ind w:left="20"/>
        <w:spacing w:after="0" w:line="247" w:lineRule="auto"/>
        <w:rPr>
          <w:sz w:val="20"/>
          <w:szCs w:val="20"/>
          <w:color w:val="auto"/>
        </w:rPr>
      </w:pPr>
      <w:r>
        <w:rPr>
          <w:rFonts w:ascii="Arial" w:cs="Arial" w:eastAsia="Arial" w:hAnsi="Arial"/>
          <w:sz w:val="16"/>
          <w:szCs w:val="16"/>
          <w:color w:val="auto"/>
        </w:rPr>
        <w:t>Our talent and compensation committee assesses risks relating to our executive compensation plans and arrangements, and whether our compensation policies and programs have the potential to encourage excessive risk-taking. Our talent and compensation committee also oversees our human capital management activities and related risks.</w:t>
      </w:r>
    </w:p>
    <w:p>
      <w:pPr>
        <w:spacing w:after="0" w:line="20" w:lineRule="exact"/>
        <w:rPr>
          <w:sz w:val="20"/>
          <w:szCs w:val="20"/>
          <w:color w:val="auto"/>
        </w:rPr>
      </w:pPr>
      <w:r>
        <w:rPr>
          <w:sz w:val="20"/>
          <w:szCs w:val="20"/>
          <w:color w:val="auto"/>
        </w:rPr>
        <w:br w:type="column"/>
      </w:r>
    </w:p>
    <w:p>
      <w:pPr>
        <w:ind w:right="80"/>
        <w:spacing w:after="0" w:line="248" w:lineRule="auto"/>
        <w:rPr>
          <w:sz w:val="20"/>
          <w:szCs w:val="20"/>
          <w:color w:val="auto"/>
        </w:rPr>
      </w:pPr>
      <w:r>
        <w:rPr>
          <w:rFonts w:ascii="Arial" w:cs="Arial" w:eastAsia="Arial" w:hAnsi="Arial"/>
          <w:sz w:val="16"/>
          <w:szCs w:val="16"/>
          <w:color w:val="auto"/>
        </w:rPr>
        <w:t>Our nominating and corporate governance committee assesses risks relating to our corporate governance practices and the independence of the board. Our nominating and corporate governance committee also generally oversees our compliance with corporate sustainability reporting and related risks.</w:t>
      </w:r>
    </w:p>
    <w:p>
      <w:pPr>
        <w:spacing w:after="0" w:line="386" w:lineRule="exact"/>
        <w:rPr>
          <w:sz w:val="20"/>
          <w:szCs w:val="20"/>
          <w:color w:val="auto"/>
        </w:rPr>
      </w:pPr>
    </w:p>
    <w:p>
      <w:pPr>
        <w:sectPr>
          <w:pgSz w:w="11900" w:h="16838" w:orient="portrait"/>
          <w:cols w:equalWidth="0" w:num="2">
            <w:col w:w="5520" w:space="120"/>
            <w:col w:w="5600"/>
          </w:cols>
          <w:pgMar w:left="320" w:top="114"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believes its current leadership structure supports the risk oversight function of the board.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6"/>
          <w:szCs w:val="26"/>
          <w:color w:val="0063A6"/>
        </w:rPr>
        <w:t>Cybersecurity and Data Privacy Governance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Our Guiding Value</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Being Worthy of Trust is our guiding value and serves as the foundation of our relationship with the millions of people and businesses around the world who rely on Dropbox to protect their most valuable content. Protecting our users’ information through robust data privacy and cybersecurity programs is one of our top priorities. Effective governance of these programs is a priority for our board.</w:t>
      </w:r>
    </w:p>
    <w:p>
      <w:pPr>
        <w:spacing w:after="0" w:line="200" w:lineRule="exact"/>
        <w:rPr>
          <w:sz w:val="20"/>
          <w:szCs w:val="20"/>
          <w:color w:val="auto"/>
        </w:rPr>
      </w:pPr>
    </w:p>
    <w:p>
      <w:pPr>
        <w:spacing w:after="0" w:line="307" w:lineRule="exact"/>
        <w:rPr>
          <w:sz w:val="20"/>
          <w:szCs w:val="20"/>
          <w:color w:val="auto"/>
        </w:rPr>
      </w:pPr>
    </w:p>
    <w:p>
      <w:pPr>
        <w:ind w:left="580" w:hanging="554"/>
        <w:spacing w:after="0"/>
        <w:tabs>
          <w:tab w:leader="none" w:pos="58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Board and Management Oversight</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w:t>
      </w:r>
    </w:p>
    <w:p>
      <w:pPr>
        <w:spacing w:after="0" w:line="12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have also established a cross-functional leadership team to oversee our information security and privacy programs and practices, as well as to assess, identify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Legal Officer, who also serves as our Chief Privacy Officer, our Chief Technology Officer and our Head of Security.</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Members of senior leadership are informed about and monitor the prevention, mitigation, detection, and remediation of cybersecurity incidents through their management of, and participation in, our cybersecurity risk management and strategy processes, including the operation of our incident response plan. Additionally, all employees are required to complete annual information security and privacy training, which are reviewed and updated annually. They also receive ongoing security awareness education via informational emails, talks and presentations, and resources available on our intranet.</w:t>
      </w:r>
    </w:p>
    <w:p>
      <w:pPr>
        <w:spacing w:after="0" w:line="110"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We also have a Data Protection Officer who provides independent oversight of our privacy program and guidance on privacy issues. Our Data Protection Officer acts as the single point of contact for privacy-related requests for users subject to the General Data Protection Regulation, as well as for regulatory authorities. Our Data Protection Officer reports periodically to executive management, the board of directors, and the audit committee on privacy risks to provide an independent assessment of our privacy program.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External Auditing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Several of our security and privacy management systems are independently examined and/or certified according to internationally recognized standards:</w:t>
      </w:r>
    </w:p>
    <w:p>
      <w:pPr>
        <w:spacing w:after="0" w:line="167"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Our primary information security management system is independently examined on an annual basis and is ISO 27001 certified.</w:t>
      </w:r>
    </w:p>
    <w:p>
      <w:pPr>
        <w:spacing w:after="0" w:line="167" w:lineRule="exact"/>
        <w:rPr>
          <w:rFonts w:ascii="Arial" w:cs="Arial" w:eastAsia="Arial" w:hAnsi="Arial"/>
          <w:sz w:val="16"/>
          <w:szCs w:val="16"/>
          <w:color w:val="0063A6"/>
        </w:rPr>
      </w:pPr>
    </w:p>
    <w:p>
      <w:pPr>
        <w:ind w:left="640" w:hanging="308"/>
        <w:spacing w:after="0"/>
        <w:tabs>
          <w:tab w:leader="none" w:pos="640"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Our primary privacy information management system is independently examined on an annual basis and is ISO 27701 certified.</w:t>
      </w:r>
    </w:p>
    <w:p>
      <w:pPr>
        <w:spacing w:after="0" w:line="167" w:lineRule="exact"/>
        <w:rPr>
          <w:rFonts w:ascii="Arial" w:cs="Arial" w:eastAsia="Arial" w:hAnsi="Arial"/>
          <w:sz w:val="16"/>
          <w:szCs w:val="16"/>
          <w:color w:val="0063A6"/>
        </w:rPr>
      </w:pPr>
    </w:p>
    <w:p>
      <w:pPr>
        <w:ind w:left="640" w:hanging="308"/>
        <w:spacing w:after="0"/>
        <w:tabs>
          <w:tab w:leader="none" w:pos="640"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Our primary incident-response policies and procedures are examined as part of SOC 2, ISO 27001, and other security assessments.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Employee Training</w:t>
      </w:r>
    </w:p>
    <w:p>
      <w:pPr>
        <w:spacing w:after="0" w:line="15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All employees are required to complete annual information security and privacy training. They also receive ongoing security awareness education via informational emails, talks and presentations, and resources available on our intranet.</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Corporate Responsibility</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At Dropbox, our mission is to create a more enlightened way of working. We believe Dropbox’s long-term success will be strengthened by helping to create a better world for our stakeholders.</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We are committed to conducting business in an ethical and transparent way, and to being accountable to our customers, our employees, our stockholders, the communities in which we operate, and all our other stakeholders for the manner in which we run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Wellness and Development</w:t>
      </w:r>
    </w:p>
    <w:p>
      <w:pPr>
        <w:spacing w:after="0" w:line="152" w:lineRule="exact"/>
        <w:rPr>
          <w:sz w:val="20"/>
          <w:szCs w:val="20"/>
          <w:color w:val="auto"/>
        </w:rPr>
      </w:pPr>
    </w:p>
    <w:p>
      <w:pPr>
        <w:ind w:left="340" w:right="100" w:hanging="332"/>
        <w:spacing w:after="0" w:line="286" w:lineRule="auto"/>
        <w:tabs>
          <w:tab w:leader="none" w:pos="329"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We operate under a Virtual First work model where remote work is the primary experience for all of our employees; as part of our Virtual First workforce strategy, we strive to support our employees by:</w:t>
      </w:r>
    </w:p>
    <w:p>
      <w:pPr>
        <w:spacing w:after="0" w:line="101" w:lineRule="exact"/>
        <w:rPr>
          <w:rFonts w:ascii="Arial" w:cs="Arial" w:eastAsia="Arial" w:hAnsi="Arial"/>
          <w:sz w:val="16"/>
          <w:szCs w:val="16"/>
          <w:color w:val="0063A6"/>
        </w:rPr>
      </w:pPr>
    </w:p>
    <w:p>
      <w:pPr>
        <w:ind w:left="740" w:right="480" w:hanging="327"/>
        <w:spacing w:after="0" w:line="286" w:lineRule="auto"/>
        <w:tabs>
          <w:tab w:leader="none" w:pos="729" w:val="left"/>
        </w:tabs>
        <w:numPr>
          <w:ilvl w:val="1"/>
          <w:numId w:val="27"/>
        </w:numPr>
        <w:rPr>
          <w:rFonts w:ascii="Arial" w:cs="Arial" w:eastAsia="Arial" w:hAnsi="Arial"/>
          <w:sz w:val="16"/>
          <w:szCs w:val="16"/>
          <w:color w:val="0063A6"/>
        </w:rPr>
      </w:pPr>
      <w:r>
        <w:rPr>
          <w:rFonts w:ascii="Arial" w:cs="Arial" w:eastAsia="Arial" w:hAnsi="Arial"/>
          <w:sz w:val="16"/>
          <w:szCs w:val="16"/>
          <w:color w:val="auto"/>
        </w:rPr>
        <w:t>Providing a quarterly allowance that gives employees the flexibility to focus this benefit towards what really matters to them; this may include health and wellness, family and caregiver support, productivity and ergonomics, learning and development programs or financial wellness.</w:t>
      </w:r>
    </w:p>
    <w:p>
      <w:pPr>
        <w:spacing w:after="0" w:line="101" w:lineRule="exact"/>
        <w:rPr>
          <w:rFonts w:ascii="Arial" w:cs="Arial" w:eastAsia="Arial" w:hAnsi="Arial"/>
          <w:sz w:val="16"/>
          <w:szCs w:val="16"/>
          <w:color w:val="0063A6"/>
        </w:rPr>
      </w:pPr>
    </w:p>
    <w:p>
      <w:pPr>
        <w:ind w:left="720" w:hanging="307"/>
        <w:spacing w:after="0"/>
        <w:tabs>
          <w:tab w:leader="none" w:pos="720" w:val="left"/>
        </w:tabs>
        <w:numPr>
          <w:ilvl w:val="1"/>
          <w:numId w:val="27"/>
        </w:numPr>
        <w:rPr>
          <w:rFonts w:ascii="Arial" w:cs="Arial" w:eastAsia="Arial" w:hAnsi="Arial"/>
          <w:sz w:val="16"/>
          <w:szCs w:val="16"/>
          <w:color w:val="0063A6"/>
        </w:rPr>
      </w:pPr>
      <w:r>
        <w:rPr>
          <w:rFonts w:ascii="Arial" w:cs="Arial" w:eastAsia="Arial" w:hAnsi="Arial"/>
          <w:sz w:val="16"/>
          <w:szCs w:val="16"/>
          <w:color w:val="auto"/>
        </w:rPr>
        <w:t>Empowering our employees to adopt flexible working arrangements and providing tools for efficient remote collaboration.</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2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ind w:left="740" w:right="300" w:hanging="327"/>
        <w:spacing w:after="0" w:line="286" w:lineRule="auto"/>
        <w:tabs>
          <w:tab w:leader="none" w:pos="729" w:val="left"/>
        </w:tabs>
        <w:numPr>
          <w:ilvl w:val="1"/>
          <w:numId w:val="28"/>
        </w:numPr>
        <w:rPr>
          <w:rFonts w:ascii="Arial" w:cs="Arial" w:eastAsia="Arial" w:hAnsi="Arial"/>
          <w:sz w:val="16"/>
          <w:szCs w:val="16"/>
          <w:color w:val="0063A6"/>
        </w:rPr>
      </w:pPr>
      <w:r>
        <w:rPr>
          <w:rFonts w:ascii="Arial" w:cs="Arial" w:eastAsia="Arial" w:hAnsi="Arial"/>
          <w:sz w:val="16"/>
          <w:szCs w:val="16"/>
          <w:color w:val="auto"/>
        </w:rPr>
        <w:t>Continuing to provide opportunities for in-person collaboration at our “Dropbox Studios” locations and “On-Demand Spaces” and through team offsites and events.</w:t>
      </w:r>
    </w:p>
    <w:p>
      <w:pPr>
        <w:spacing w:after="0" w:line="101" w:lineRule="exact"/>
        <w:rPr>
          <w:rFonts w:ascii="Arial" w:cs="Arial" w:eastAsia="Arial" w:hAnsi="Arial"/>
          <w:sz w:val="16"/>
          <w:szCs w:val="16"/>
          <w:color w:val="0063A6"/>
        </w:rPr>
      </w:pPr>
    </w:p>
    <w:p>
      <w:pPr>
        <w:ind w:left="340" w:right="460" w:hanging="332"/>
        <w:spacing w:after="0" w:line="268" w:lineRule="auto"/>
        <w:tabs>
          <w:tab w:leader="none" w:pos="329" w:val="left"/>
        </w:tabs>
        <w:numPr>
          <w:ilvl w:val="0"/>
          <w:numId w:val="28"/>
        </w:numPr>
        <w:rPr>
          <w:rFonts w:ascii="Arial" w:cs="Arial" w:eastAsia="Arial" w:hAnsi="Arial"/>
          <w:sz w:val="16"/>
          <w:szCs w:val="16"/>
          <w:color w:val="0063A6"/>
        </w:rPr>
      </w:pPr>
      <w:r>
        <w:rPr>
          <w:rFonts w:ascii="Arial" w:cs="Arial" w:eastAsia="Arial" w:hAnsi="Arial"/>
          <w:sz w:val="16"/>
          <w:szCs w:val="16"/>
          <w:color w:val="auto"/>
        </w:rPr>
        <w:t>We are committed to supporting the well-being of our employees by providing paid parental leave for all eligible employees, as well as mental and physical wellness benefits.</w:t>
      </w:r>
    </w:p>
    <w:p>
      <w:pPr>
        <w:spacing w:after="0" w:line="115" w:lineRule="exact"/>
        <w:rPr>
          <w:rFonts w:ascii="Arial" w:cs="Arial" w:eastAsia="Arial" w:hAnsi="Arial"/>
          <w:sz w:val="16"/>
          <w:szCs w:val="16"/>
          <w:color w:val="0063A6"/>
        </w:rPr>
      </w:pPr>
    </w:p>
    <w:p>
      <w:pPr>
        <w:ind w:left="340" w:right="40" w:hanging="332"/>
        <w:spacing w:after="0" w:line="259" w:lineRule="auto"/>
        <w:tabs>
          <w:tab w:leader="none" w:pos="329" w:val="left"/>
        </w:tabs>
        <w:numPr>
          <w:ilvl w:val="0"/>
          <w:numId w:val="28"/>
        </w:numPr>
        <w:rPr>
          <w:rFonts w:ascii="Arial" w:cs="Arial" w:eastAsia="Arial" w:hAnsi="Arial"/>
          <w:sz w:val="16"/>
          <w:szCs w:val="16"/>
          <w:color w:val="0063A6"/>
        </w:rPr>
      </w:pPr>
      <w:r>
        <w:rPr>
          <w:rFonts w:ascii="Arial" w:cs="Arial" w:eastAsia="Arial" w:hAnsi="Arial"/>
          <w:sz w:val="16"/>
          <w:szCs w:val="16"/>
          <w:color w:val="auto"/>
        </w:rPr>
        <w:t>Dropbox is committed to a safe and healthy work environment for employees and considers it a key component of continued success. This commitment is led by the Global Physical Security and Safety team, which includes a Global Security Operations Center (“</w:t>
      </w:r>
      <w:r>
        <w:rPr>
          <w:rFonts w:ascii="Arial" w:cs="Arial" w:eastAsia="Arial" w:hAnsi="Arial"/>
          <w:sz w:val="16"/>
          <w:szCs w:val="16"/>
          <w:b w:val="1"/>
          <w:bCs w:val="1"/>
          <w:i w:val="1"/>
          <w:iCs w:val="1"/>
          <w:color w:val="auto"/>
        </w:rPr>
        <w:t>GSOC</w:t>
      </w:r>
      <w:r>
        <w:rPr>
          <w:rFonts w:ascii="Arial" w:cs="Arial" w:eastAsia="Arial" w:hAnsi="Arial"/>
          <w:sz w:val="16"/>
          <w:szCs w:val="16"/>
          <w:color w:val="auto"/>
        </w:rPr>
        <w:t>”). GSOC helps employees whenever there’s an emergency or incident and is the main contact during a crisis response by Dropbox. GSOC provides around-the-clock support for employees whether they’re in a studio, on a business trip, or at home.</w:t>
      </w:r>
    </w:p>
    <w:p>
      <w:pPr>
        <w:spacing w:after="0" w:line="110" w:lineRule="exact"/>
        <w:rPr>
          <w:rFonts w:ascii="Arial" w:cs="Arial" w:eastAsia="Arial" w:hAnsi="Arial"/>
          <w:sz w:val="16"/>
          <w:szCs w:val="16"/>
          <w:color w:val="0063A6"/>
        </w:rPr>
      </w:pPr>
    </w:p>
    <w:p>
      <w:pPr>
        <w:ind w:left="320" w:hanging="312"/>
        <w:spacing w:after="0"/>
        <w:tabs>
          <w:tab w:leader="none" w:pos="320" w:val="left"/>
        </w:tabs>
        <w:numPr>
          <w:ilvl w:val="0"/>
          <w:numId w:val="28"/>
        </w:numPr>
        <w:rPr>
          <w:rFonts w:ascii="Arial" w:cs="Arial" w:eastAsia="Arial" w:hAnsi="Arial"/>
          <w:sz w:val="16"/>
          <w:szCs w:val="16"/>
          <w:color w:val="0063A6"/>
        </w:rPr>
      </w:pPr>
      <w:r>
        <w:rPr>
          <w:rFonts w:ascii="Arial" w:cs="Arial" w:eastAsia="Arial" w:hAnsi="Arial"/>
          <w:sz w:val="16"/>
          <w:szCs w:val="16"/>
          <w:color w:val="auto"/>
        </w:rPr>
        <w:t>Under our Virtual First work model, we remain committed to supporting employee wellness and development:</w:t>
      </w:r>
    </w:p>
    <w:p>
      <w:pPr>
        <w:spacing w:after="0" w:line="167" w:lineRule="exact"/>
        <w:rPr>
          <w:rFonts w:ascii="Arial" w:cs="Arial" w:eastAsia="Arial" w:hAnsi="Arial"/>
          <w:sz w:val="16"/>
          <w:szCs w:val="16"/>
          <w:color w:val="0063A6"/>
        </w:rPr>
      </w:pPr>
    </w:p>
    <w:p>
      <w:pPr>
        <w:ind w:left="740" w:right="400" w:hanging="327"/>
        <w:spacing w:after="0" w:line="286" w:lineRule="auto"/>
        <w:tabs>
          <w:tab w:leader="none" w:pos="729" w:val="left"/>
        </w:tabs>
        <w:numPr>
          <w:ilvl w:val="1"/>
          <w:numId w:val="28"/>
        </w:numPr>
        <w:rPr>
          <w:rFonts w:ascii="Arial" w:cs="Arial" w:eastAsia="Arial" w:hAnsi="Arial"/>
          <w:sz w:val="16"/>
          <w:szCs w:val="16"/>
          <w:color w:val="0063A6"/>
        </w:rPr>
      </w:pPr>
      <w:r>
        <w:rPr>
          <w:rFonts w:ascii="Arial" w:cs="Arial" w:eastAsia="Arial" w:hAnsi="Arial"/>
          <w:sz w:val="16"/>
          <w:szCs w:val="16"/>
          <w:color w:val="auto"/>
        </w:rPr>
        <w:t>We provide subsidized dependent care and access to dependent care resources, as well as supporting flexible working arrangements for our employees with caregiving obligations.</w:t>
      </w:r>
    </w:p>
    <w:p>
      <w:pPr>
        <w:spacing w:after="0" w:line="101" w:lineRule="exact"/>
        <w:rPr>
          <w:rFonts w:ascii="Arial" w:cs="Arial" w:eastAsia="Arial" w:hAnsi="Arial"/>
          <w:sz w:val="16"/>
          <w:szCs w:val="16"/>
          <w:color w:val="0063A6"/>
        </w:rPr>
      </w:pPr>
    </w:p>
    <w:p>
      <w:pPr>
        <w:ind w:left="740" w:hanging="327"/>
        <w:spacing w:after="0"/>
        <w:tabs>
          <w:tab w:leader="none" w:pos="740" w:val="left"/>
        </w:tabs>
        <w:numPr>
          <w:ilvl w:val="1"/>
          <w:numId w:val="28"/>
        </w:numPr>
        <w:rPr>
          <w:rFonts w:ascii="Arial" w:cs="Arial" w:eastAsia="Arial" w:hAnsi="Arial"/>
          <w:sz w:val="14"/>
          <w:szCs w:val="14"/>
          <w:color w:val="0063A6"/>
        </w:rPr>
      </w:pPr>
      <w:r>
        <w:rPr>
          <w:rFonts w:ascii="Arial" w:cs="Arial" w:eastAsia="Arial" w:hAnsi="Arial"/>
          <w:sz w:val="16"/>
          <w:szCs w:val="16"/>
          <w:color w:val="auto"/>
        </w:rPr>
        <w:t>We offer a program to help employees and their dependents manage their mental health through coaching, therapy, and on-demand resources.</w:t>
      </w:r>
    </w:p>
    <w:p>
      <w:pPr>
        <w:spacing w:after="0" w:line="167" w:lineRule="exact"/>
        <w:rPr>
          <w:rFonts w:ascii="Arial" w:cs="Arial" w:eastAsia="Arial" w:hAnsi="Arial"/>
          <w:sz w:val="14"/>
          <w:szCs w:val="14"/>
          <w:color w:val="0063A6"/>
        </w:rPr>
      </w:pPr>
    </w:p>
    <w:p>
      <w:pPr>
        <w:ind w:left="740" w:right="240" w:hanging="327"/>
        <w:spacing w:after="0" w:line="268" w:lineRule="auto"/>
        <w:tabs>
          <w:tab w:leader="none" w:pos="729" w:val="left"/>
        </w:tabs>
        <w:numPr>
          <w:ilvl w:val="1"/>
          <w:numId w:val="28"/>
        </w:numPr>
        <w:rPr>
          <w:rFonts w:ascii="Arial" w:cs="Arial" w:eastAsia="Arial" w:hAnsi="Arial"/>
          <w:sz w:val="16"/>
          <w:szCs w:val="16"/>
          <w:color w:val="0063A6"/>
        </w:rPr>
      </w:pPr>
      <w:r>
        <w:rPr>
          <w:rFonts w:ascii="Arial" w:cs="Arial" w:eastAsia="Arial" w:hAnsi="Arial"/>
          <w:sz w:val="16"/>
          <w:szCs w:val="16"/>
          <w:color w:val="auto"/>
        </w:rPr>
        <w:t>We continue to offer a variety of learning and development opportunities for our employees and managers, which include digital learnings, skill-building workshops as well as coaching pods to support connection and peer learning in a remote context.</w:t>
      </w:r>
    </w:p>
    <w:p>
      <w:pPr>
        <w:spacing w:after="0" w:line="115" w:lineRule="exact"/>
        <w:rPr>
          <w:rFonts w:ascii="Arial" w:cs="Arial" w:eastAsia="Arial" w:hAnsi="Arial"/>
          <w:sz w:val="16"/>
          <w:szCs w:val="16"/>
          <w:color w:val="0063A6"/>
        </w:rPr>
      </w:pPr>
    </w:p>
    <w:p>
      <w:pPr>
        <w:ind w:left="340" w:hanging="332"/>
        <w:spacing w:after="0" w:line="286" w:lineRule="auto"/>
        <w:tabs>
          <w:tab w:leader="none" w:pos="329" w:val="left"/>
        </w:tabs>
        <w:numPr>
          <w:ilvl w:val="0"/>
          <w:numId w:val="28"/>
        </w:numPr>
        <w:rPr>
          <w:rFonts w:ascii="Arial" w:cs="Arial" w:eastAsia="Arial" w:hAnsi="Arial"/>
          <w:sz w:val="16"/>
          <w:szCs w:val="16"/>
          <w:color w:val="0063A6"/>
        </w:rPr>
      </w:pPr>
      <w:r>
        <w:rPr>
          <w:rFonts w:ascii="Arial" w:cs="Arial" w:eastAsia="Arial" w:hAnsi="Arial"/>
          <w:sz w:val="16"/>
          <w:szCs w:val="16"/>
          <w:color w:val="auto"/>
        </w:rPr>
        <w:t>We conduct a bi-annual employee engagement survey, the results of which are used by management to refine our employee wellness and development initiatives.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Community Engagement</w:t>
      </w:r>
    </w:p>
    <w:p>
      <w:pPr>
        <w:spacing w:after="0" w:line="165" w:lineRule="exact"/>
        <w:rPr>
          <w:sz w:val="20"/>
          <w:szCs w:val="20"/>
          <w:color w:val="auto"/>
        </w:rPr>
      </w:pPr>
    </w:p>
    <w:p>
      <w:pPr>
        <w:ind w:left="340" w:hanging="332"/>
        <w:spacing w:after="0" w:line="268" w:lineRule="auto"/>
        <w:tabs>
          <w:tab w:leader="none" w:pos="329"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At Dropbox, we’re committed to leveraging our people, products, and resources for good, which we believe positively contributes to our work culture and helps us recruit and retain talented employees.</w:t>
      </w:r>
    </w:p>
    <w:p>
      <w:pPr>
        <w:spacing w:after="0" w:line="115"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We empower our employees to give back to their communities by providing paid volunteer time off, matching a portion of employee donations to nonprofits and making Dropbox product donations to nonprofit organizations that are nominated by our employees.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Conduct and Ethics; Human and Labor Rights</w:t>
      </w:r>
    </w:p>
    <w:p>
      <w:pPr>
        <w:spacing w:after="0" w:line="165" w:lineRule="exact"/>
        <w:rPr>
          <w:sz w:val="20"/>
          <w:szCs w:val="20"/>
          <w:color w:val="auto"/>
        </w:rPr>
      </w:pPr>
    </w:p>
    <w:p>
      <w:pPr>
        <w:ind w:left="340" w:right="320" w:hanging="332"/>
        <w:spacing w:after="0" w:line="268" w:lineRule="auto"/>
        <w:tabs>
          <w:tab w:leader="none" w:pos="329"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have a Worldwide Code of Business Conduct and Ethics (the “</w:t>
      </w:r>
      <w:r>
        <w:rPr>
          <w:rFonts w:ascii="Arial" w:cs="Arial" w:eastAsia="Arial" w:hAnsi="Arial"/>
          <w:sz w:val="16"/>
          <w:szCs w:val="16"/>
          <w:b w:val="1"/>
          <w:bCs w:val="1"/>
          <w:i w:val="1"/>
          <w:iCs w:val="1"/>
          <w:color w:val="auto"/>
        </w:rPr>
        <w:t>Code of Conduct</w:t>
      </w:r>
      <w:r>
        <w:rPr>
          <w:rFonts w:ascii="Arial" w:cs="Arial" w:eastAsia="Arial" w:hAnsi="Arial"/>
          <w:sz w:val="16"/>
          <w:szCs w:val="16"/>
          <w:color w:val="auto"/>
        </w:rPr>
        <w:t>”) that is applicable to all our employees, officers, directors and independent contractors, as well as written policies addressing insider trading, anti-corruption, financial controls and maintaining confidentiality.</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The Code of Conduct and our internal policies are reviewed on an annual basis and updated as necessary.</w:t>
      </w:r>
    </w:p>
    <w:p>
      <w:pPr>
        <w:spacing w:after="0" w:line="167" w:lineRule="exact"/>
        <w:rPr>
          <w:rFonts w:ascii="Arial" w:cs="Arial" w:eastAsia="Arial" w:hAnsi="Arial"/>
          <w:sz w:val="16"/>
          <w:szCs w:val="16"/>
          <w:color w:val="0063A6"/>
        </w:rPr>
      </w:pPr>
    </w:p>
    <w:p>
      <w:pPr>
        <w:ind w:left="340" w:right="100" w:hanging="332"/>
        <w:spacing w:after="0" w:line="286" w:lineRule="auto"/>
        <w:tabs>
          <w:tab w:leader="none" w:pos="329"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All employees are required to complete a training course on the Code of Conduct and related policies on an annual basis; additional trainings on select topics are provided to certain employees based on their roles.</w:t>
      </w:r>
    </w:p>
    <w:p>
      <w:pPr>
        <w:spacing w:after="0" w:line="101" w:lineRule="exact"/>
        <w:rPr>
          <w:rFonts w:ascii="Arial" w:cs="Arial" w:eastAsia="Arial" w:hAnsi="Arial"/>
          <w:sz w:val="16"/>
          <w:szCs w:val="16"/>
          <w:color w:val="0063A6"/>
        </w:rPr>
      </w:pPr>
    </w:p>
    <w:p>
      <w:pPr>
        <w:ind w:left="340" w:right="100" w:hanging="332"/>
        <w:spacing w:after="0" w:line="257" w:lineRule="auto"/>
        <w:tabs>
          <w:tab w:leader="none" w:pos="329"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Trust is one of our core values and we seek to maintain that trust through empowering employees to report any potential violations of our Code of Conduct, our policies or applicable laws through our confidential whistleblower hotline; we do not tolerate any retaliation against employees who report potential violations in good faith or participate in investigations into such violations.</w:t>
      </w:r>
    </w:p>
    <w:p>
      <w:pPr>
        <w:spacing w:after="0" w:line="124" w:lineRule="exact"/>
        <w:rPr>
          <w:rFonts w:ascii="Arial" w:cs="Arial" w:eastAsia="Arial" w:hAnsi="Arial"/>
          <w:sz w:val="16"/>
          <w:szCs w:val="16"/>
          <w:color w:val="0063A6"/>
        </w:rPr>
      </w:pPr>
    </w:p>
    <w:p>
      <w:pPr>
        <w:ind w:left="340" w:right="320" w:hanging="332"/>
        <w:spacing w:after="0" w:line="286" w:lineRule="auto"/>
        <w:tabs>
          <w:tab w:leader="none" w:pos="329"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prohibit all forms of slavery, human trafficking, and discrimination in our operations, and we strive to ensure that our policies and procedures are reflective of our commitment to human and labor rights.</w:t>
      </w:r>
    </w:p>
    <w:p>
      <w:pPr>
        <w:spacing w:after="0" w:line="101" w:lineRule="exact"/>
        <w:rPr>
          <w:rFonts w:ascii="Arial" w:cs="Arial" w:eastAsia="Arial" w:hAnsi="Arial"/>
          <w:sz w:val="16"/>
          <w:szCs w:val="16"/>
          <w:color w:val="0063A6"/>
        </w:rPr>
      </w:pPr>
    </w:p>
    <w:p>
      <w:pPr>
        <w:ind w:left="340" w:right="780" w:hanging="332"/>
        <w:spacing w:after="0" w:line="449" w:lineRule="auto"/>
        <w:tabs>
          <w:tab w:leader="none" w:pos="329"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 xml:space="preserve">Our Supplier Code of Conduct establishes our expectations of a supplier’s commitment to safeguarding human rights in their own operations. </w:t>
      </w:r>
      <w:r>
        <w:rPr>
          <w:rFonts w:ascii="Arial" w:cs="Arial" w:eastAsia="Arial" w:hAnsi="Arial"/>
          <w:sz w:val="16"/>
          <w:szCs w:val="16"/>
          <w:i w:val="1"/>
          <w:iCs w:val="1"/>
          <w:color w:val="auto"/>
        </w:rPr>
        <w:t>AI Principles</w:t>
      </w:r>
    </w:p>
    <w:p>
      <w:pPr>
        <w:ind w:left="340" w:right="260" w:hanging="332"/>
        <w:spacing w:after="0" w:line="286" w:lineRule="auto"/>
        <w:tabs>
          <w:tab w:leader="none" w:pos="329"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have a dedicated website disclosing AI principles that will continue to guide our teams as we develop AI products and features responsibly in the years to come.</w:t>
      </w:r>
    </w:p>
    <w:p>
      <w:pPr>
        <w:spacing w:after="0" w:line="103" w:lineRule="exact"/>
        <w:rPr>
          <w:rFonts w:ascii="Arial" w:cs="Arial" w:eastAsia="Arial" w:hAnsi="Arial"/>
          <w:sz w:val="16"/>
          <w:szCs w:val="16"/>
          <w:color w:val="0063A6"/>
        </w:rPr>
      </w:pPr>
    </w:p>
    <w:p>
      <w:pPr>
        <w:ind w:left="340"/>
        <w:spacing w:after="0"/>
        <w:rPr>
          <w:rFonts w:ascii="Arial" w:cs="Arial" w:eastAsia="Arial" w:hAnsi="Arial"/>
          <w:sz w:val="16"/>
          <w:szCs w:val="16"/>
          <w:color w:val="0063A6"/>
        </w:rPr>
      </w:pPr>
      <w:r>
        <w:rPr>
          <w:rFonts w:ascii="Arial" w:cs="Arial" w:eastAsia="Arial" w:hAnsi="Arial"/>
          <w:sz w:val="16"/>
          <w:szCs w:val="16"/>
          <w:i w:val="1"/>
          <w:iCs w:val="1"/>
          <w:color w:val="auto"/>
        </w:rPr>
        <w:t>Insider Trading Policy</w:t>
      </w:r>
    </w:p>
    <w:p>
      <w:pPr>
        <w:spacing w:after="0" w:line="151" w:lineRule="exact"/>
        <w:rPr>
          <w:rFonts w:ascii="Arial" w:cs="Arial" w:eastAsia="Arial" w:hAnsi="Arial"/>
          <w:sz w:val="16"/>
          <w:szCs w:val="16"/>
          <w:color w:val="0063A6"/>
        </w:rPr>
      </w:pPr>
    </w:p>
    <w:p>
      <w:pPr>
        <w:ind w:left="340" w:right="80" w:hanging="332"/>
        <w:spacing w:after="0" w:line="286" w:lineRule="auto"/>
        <w:tabs>
          <w:tab w:leader="none" w:pos="329"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have adopted an insider trading policy governing the purchase, sale and other dispositions of our securities that applies to all personnel of Dropbox and our subsidiaries, including directors, officers, and employees, and to certain</w:t>
      </w:r>
    </w:p>
    <w:p>
      <w:pPr>
        <w:spacing w:after="0" w:line="200" w:lineRule="exact"/>
        <w:rPr>
          <w:sz w:val="20"/>
          <w:szCs w:val="20"/>
          <w:color w:val="auto"/>
        </w:rPr>
      </w:pPr>
    </w:p>
    <w:p>
      <w:pPr>
        <w:spacing w:after="0" w:line="284" w:lineRule="exact"/>
        <w:rPr>
          <w:sz w:val="20"/>
          <w:szCs w:val="20"/>
          <w:color w:val="auto"/>
        </w:rPr>
      </w:pPr>
    </w:p>
    <w:p>
      <w:pPr>
        <w:ind w:left="580" w:hanging="554"/>
        <w:spacing w:after="0"/>
        <w:tabs>
          <w:tab w:leader="none" w:pos="58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ind w:left="340" w:right="20"/>
        <w:spacing w:after="0" w:line="266" w:lineRule="auto"/>
        <w:rPr>
          <w:sz w:val="20"/>
          <w:szCs w:val="20"/>
          <w:color w:val="auto"/>
        </w:rPr>
      </w:pPr>
      <w:r>
        <w:rPr>
          <w:rFonts w:ascii="Arial" w:cs="Arial" w:eastAsia="Arial" w:hAnsi="Arial"/>
          <w:sz w:val="16"/>
          <w:szCs w:val="16"/>
          <w:color w:val="auto"/>
        </w:rPr>
        <w:t>other covered persons. We believe that our insider trading policy is reasonably designed to promote compliance with insider trading laws, rules, and regulations, as well as applicable listing standards. A copy of our insider trading policy is filed as Exhibit 19.1 to our Annual Report on Form 10-K filed on February 20, 2026.</w:t>
      </w:r>
    </w:p>
    <w:p>
      <w:pPr>
        <w:spacing w:after="0" w:line="104" w:lineRule="exact"/>
        <w:rPr>
          <w:sz w:val="20"/>
          <w:szCs w:val="20"/>
          <w:color w:val="auto"/>
        </w:rPr>
      </w:pPr>
    </w:p>
    <w:p>
      <w:pPr>
        <w:jc w:val="both"/>
        <w:ind w:left="340" w:right="280" w:hanging="332"/>
        <w:spacing w:after="0" w:line="286" w:lineRule="auto"/>
        <w:tabs>
          <w:tab w:leader="none" w:pos="329"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From time to time, we engage in transactions in our own securities, including purchases and sales. We comply with all applicable securities and state laws (including appropriate approvals by our board of directors or appropriate committee, if required) when engaging in transactions in our securities.</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Director Compensation</w:t>
      </w:r>
    </w:p>
    <w:p>
      <w:pPr>
        <w:spacing w:after="0" w:line="233"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We have adopted a compensation policy for our non-employee directors. Under the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has been developed in consultation with Compensia, Inc. ("</w:t>
      </w:r>
      <w:r>
        <w:rPr>
          <w:rFonts w:ascii="Arial" w:cs="Arial" w:eastAsia="Arial" w:hAnsi="Arial"/>
          <w:sz w:val="16"/>
          <w:szCs w:val="16"/>
          <w:b w:val="1"/>
          <w:bCs w:val="1"/>
          <w:i w:val="1"/>
          <w:iCs w:val="1"/>
          <w:color w:val="auto"/>
        </w:rPr>
        <w:t>Compensia</w:t>
      </w:r>
      <w:r>
        <w:rPr>
          <w:rFonts w:ascii="Arial" w:cs="Arial" w:eastAsia="Arial" w:hAnsi="Arial"/>
          <w:sz w:val="16"/>
          <w:szCs w:val="16"/>
          <w:color w:val="auto"/>
        </w:rPr>
        <w:t>") an independent national compensation consulting firm. In developing this policy, Compensia provided recommendations and competitive non-employee director compensation data and analyses. We considered and discussed these recommendations and data and considered the specific duties and committee responsibilities of particular directors. We believe the director compensation policy provides our non-employee directors with reasonable and appropriate compensation that is commensurate with the services they provide and competitive with compensation paid by the companies in our compensation peer group (as described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below) to their non-employee directors. Compensia has also advised on subsequent amendments to the director compensation policy. Our director compensation policy follows the principles listed below.</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840" w:type="dxa"/>
            <w:vAlign w:val="bottom"/>
            <w:tcBorders>
              <w:left w:val="single" w:sz="8" w:color="0063A6"/>
              <w:bottom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Principle</w:t>
            </w:r>
          </w:p>
        </w:tc>
        <w:tc>
          <w:tcPr>
            <w:tcW w:w="8200" w:type="dxa"/>
            <w:vAlign w:val="bottom"/>
            <w:tcBorders>
              <w:bottom w:val="single" w:sz="8" w:color="0063A6"/>
            </w:tcBorders>
            <w:shd w:val="clear" w:color="auto" w:fill="0063A6"/>
          </w:tcPr>
          <w:p>
            <w:pPr>
              <w:ind w:left="40"/>
              <w:spacing w:after="0"/>
              <w:rPr>
                <w:sz w:val="20"/>
                <w:szCs w:val="20"/>
                <w:color w:val="auto"/>
              </w:rPr>
            </w:pPr>
            <w:r>
              <w:rPr>
                <w:rFonts w:ascii="Arial" w:cs="Arial" w:eastAsia="Arial" w:hAnsi="Arial"/>
                <w:sz w:val="14"/>
                <w:szCs w:val="14"/>
                <w:b w:val="1"/>
                <w:bCs w:val="1"/>
                <w:color w:val="FFFFFF"/>
              </w:rPr>
              <w:t>Description</w:t>
            </w:r>
          </w:p>
        </w:tc>
        <w:tc>
          <w:tcPr>
            <w:tcW w:w="220" w:type="dxa"/>
            <w:vAlign w:val="bottom"/>
            <w:tcBorders>
              <w:bottom w:val="single" w:sz="8" w:color="0063A6"/>
              <w:right w:val="single" w:sz="8" w:color="0063A6"/>
            </w:tcBorders>
            <w:shd w:val="clear" w:color="auto" w:fill="0063A6"/>
          </w:tcPr>
          <w:p>
            <w:pPr>
              <w:spacing w:after="0"/>
              <w:rPr>
                <w:sz w:val="24"/>
                <w:szCs w:val="24"/>
                <w:color w:val="auto"/>
              </w:rPr>
            </w:pPr>
          </w:p>
        </w:tc>
      </w:tr>
      <w:tr>
        <w:trPr>
          <w:trHeight w:val="242"/>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Pay Mix</w:t>
            </w:r>
          </w:p>
        </w:tc>
        <w:tc>
          <w:tcPr>
            <w:tcW w:w="8420" w:type="dxa"/>
            <w:vAlign w:val="bottom"/>
            <w:tcBorders>
              <w:right w:val="single" w:sz="8" w:color="0063A6"/>
            </w:tcBorders>
            <w:gridSpan w:val="2"/>
          </w:tcPr>
          <w:p>
            <w:pPr>
              <w:ind w:left="40"/>
              <w:spacing w:after="0"/>
              <w:rPr>
                <w:sz w:val="20"/>
                <w:szCs w:val="20"/>
                <w:color w:val="auto"/>
              </w:rPr>
            </w:pPr>
            <w:r>
              <w:rPr>
                <w:rFonts w:ascii="Arial" w:cs="Arial" w:eastAsia="Arial" w:hAnsi="Arial"/>
                <w:sz w:val="16"/>
                <w:szCs w:val="16"/>
                <w:color w:val="auto"/>
              </w:rPr>
              <w:t>Our director compensation policy consists of a balance of cash and equity, with an emphasis on equity over cash, in</w:t>
            </w:r>
          </w:p>
        </w:tc>
      </w:tr>
      <w:tr>
        <w:trPr>
          <w:trHeight w:val="215"/>
        </w:trPr>
        <w:tc>
          <w:tcPr>
            <w:tcW w:w="2840" w:type="dxa"/>
            <w:vAlign w:val="bottom"/>
            <w:tcBorders>
              <w:left w:val="single" w:sz="8" w:color="0063A6"/>
              <w:right w:val="single" w:sz="8" w:color="0063A6"/>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order to better align the interests of our non-employee directors with those of our stockholders.</w:t>
            </w:r>
          </w:p>
        </w:tc>
        <w:tc>
          <w:tcPr>
            <w:tcW w:w="220" w:type="dxa"/>
            <w:vAlign w:val="bottom"/>
            <w:tcBorders>
              <w:right w:val="single" w:sz="8" w:color="0063A6"/>
            </w:tcBorders>
          </w:tcPr>
          <w:p>
            <w:pPr>
              <w:spacing w:after="0"/>
              <w:rPr>
                <w:sz w:val="18"/>
                <w:szCs w:val="18"/>
                <w:color w:val="auto"/>
              </w:rPr>
            </w:pPr>
          </w:p>
        </w:tc>
      </w:tr>
      <w:tr>
        <w:trPr>
          <w:trHeight w:val="69"/>
        </w:trPr>
        <w:tc>
          <w:tcPr>
            <w:tcW w:w="2840" w:type="dxa"/>
            <w:vAlign w:val="bottom"/>
            <w:tcBorders>
              <w:left w:val="single" w:sz="8" w:color="0063A6"/>
              <w:bottom w:val="single" w:sz="8" w:color="0063A6"/>
              <w:right w:val="single" w:sz="8" w:color="0063A6"/>
            </w:tcBorders>
          </w:tcPr>
          <w:p>
            <w:pPr>
              <w:spacing w:after="0"/>
              <w:rPr>
                <w:sz w:val="6"/>
                <w:szCs w:val="6"/>
                <w:color w:val="auto"/>
              </w:rPr>
            </w:pPr>
          </w:p>
        </w:tc>
        <w:tc>
          <w:tcPr>
            <w:tcW w:w="8420" w:type="dxa"/>
            <w:vAlign w:val="bottom"/>
            <w:tcBorders>
              <w:bottom w:val="single" w:sz="8" w:color="0063A6"/>
              <w:right w:val="single" w:sz="8" w:color="0063A6"/>
            </w:tcBorders>
            <w:gridSpan w:val="2"/>
          </w:tcPr>
          <w:p>
            <w:pPr>
              <w:spacing w:after="0"/>
              <w:rPr>
                <w:sz w:val="6"/>
                <w:szCs w:val="6"/>
                <w:color w:val="auto"/>
              </w:rPr>
            </w:pPr>
          </w:p>
        </w:tc>
      </w:tr>
      <w:tr>
        <w:trPr>
          <w:trHeight w:val="290"/>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Total Compensation Limit</w:t>
            </w:r>
          </w:p>
        </w:tc>
        <w:tc>
          <w:tcPr>
            <w:tcW w:w="8420" w:type="dxa"/>
            <w:vAlign w:val="bottom"/>
            <w:tcBorders>
              <w:right w:val="single" w:sz="8" w:color="0063A6"/>
            </w:tcBorders>
            <w:gridSpan w:val="2"/>
          </w:tcPr>
          <w:p>
            <w:pPr>
              <w:ind w:left="40"/>
              <w:spacing w:after="0"/>
              <w:rPr>
                <w:sz w:val="20"/>
                <w:szCs w:val="20"/>
                <w:color w:val="auto"/>
              </w:rPr>
            </w:pPr>
            <w:r>
              <w:rPr>
                <w:rFonts w:ascii="Arial" w:cs="Arial" w:eastAsia="Arial" w:hAnsi="Arial"/>
                <w:sz w:val="16"/>
                <w:szCs w:val="16"/>
                <w:color w:val="auto"/>
              </w:rPr>
              <w:t>Our director compensation policy includes a maximum annual limit of $1,200,000 of cash compensation and equity</w:t>
            </w: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420" w:type="dxa"/>
            <w:vAlign w:val="bottom"/>
            <w:tcBorders>
              <w:right w:val="single" w:sz="8" w:color="0063A6"/>
            </w:tcBorders>
            <w:gridSpan w:val="2"/>
          </w:tcPr>
          <w:p>
            <w:pPr>
              <w:ind w:left="40"/>
              <w:spacing w:after="0"/>
              <w:rPr>
                <w:sz w:val="20"/>
                <w:szCs w:val="20"/>
                <w:color w:val="auto"/>
              </w:rPr>
            </w:pPr>
            <w:r>
              <w:rPr>
                <w:rFonts w:ascii="Arial" w:cs="Arial" w:eastAsia="Arial" w:hAnsi="Arial"/>
                <w:sz w:val="16"/>
                <w:szCs w:val="16"/>
                <w:color w:val="auto"/>
              </w:rPr>
              <w:t>awards that may be paid, issued, or granted to a non-employee director in any fiscal year. The maximum limit does</w:t>
            </w: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not reflect the intended size of any potential compensation or equity awards to our non-employee directors. Any</w:t>
            </w:r>
          </w:p>
        </w:tc>
        <w:tc>
          <w:tcPr>
            <w:tcW w:w="220" w:type="dxa"/>
            <w:vAlign w:val="bottom"/>
            <w:tcBorders>
              <w:right w:val="single" w:sz="8" w:color="0063A6"/>
            </w:tcBorders>
          </w:tcPr>
          <w:p>
            <w:pPr>
              <w:spacing w:after="0"/>
              <w:rPr>
                <w:sz w:val="16"/>
                <w:szCs w:val="16"/>
                <w:color w:val="auto"/>
              </w:rPr>
            </w:pPr>
          </w:p>
        </w:tc>
      </w:tr>
      <w:tr>
        <w:trPr>
          <w:trHeight w:val="176"/>
        </w:trPr>
        <w:tc>
          <w:tcPr>
            <w:tcW w:w="2840" w:type="dxa"/>
            <w:vAlign w:val="bottom"/>
            <w:tcBorders>
              <w:left w:val="single" w:sz="8" w:color="0063A6"/>
              <w:right w:val="single" w:sz="8" w:color="0063A6"/>
            </w:tcBorders>
          </w:tcPr>
          <w:p>
            <w:pPr>
              <w:spacing w:after="0"/>
              <w:rPr>
                <w:sz w:val="15"/>
                <w:szCs w:val="15"/>
                <w:color w:val="auto"/>
              </w:rPr>
            </w:pPr>
          </w:p>
        </w:tc>
        <w:tc>
          <w:tcPr>
            <w:tcW w:w="8200" w:type="dxa"/>
            <w:vAlign w:val="bottom"/>
          </w:tcPr>
          <w:p>
            <w:pPr>
              <w:ind w:left="40"/>
              <w:spacing w:after="0" w:line="175" w:lineRule="exact"/>
              <w:rPr>
                <w:sz w:val="20"/>
                <w:szCs w:val="20"/>
                <w:color w:val="auto"/>
              </w:rPr>
            </w:pPr>
            <w:r>
              <w:rPr>
                <w:rFonts w:ascii="Arial" w:cs="Arial" w:eastAsia="Arial" w:hAnsi="Arial"/>
                <w:sz w:val="16"/>
                <w:szCs w:val="16"/>
                <w:color w:val="auto"/>
              </w:rPr>
              <w:t>cash compensation paid or equity awards granted to a person for his or her services as an employee, or for his or</w:t>
            </w:r>
          </w:p>
        </w:tc>
        <w:tc>
          <w:tcPr>
            <w:tcW w:w="220" w:type="dxa"/>
            <w:vAlign w:val="bottom"/>
            <w:tcBorders>
              <w:right w:val="single" w:sz="8" w:color="0063A6"/>
            </w:tcBorders>
          </w:tcPr>
          <w:p>
            <w:pPr>
              <w:spacing w:after="0"/>
              <w:rPr>
                <w:sz w:val="15"/>
                <w:szCs w:val="15"/>
                <w:color w:val="auto"/>
              </w:rPr>
            </w:pP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her services as a consultant (other than as a non-employee director), will not count for purposes of the limitation.</w:t>
            </w:r>
          </w:p>
        </w:tc>
        <w:tc>
          <w:tcPr>
            <w:tcW w:w="220" w:type="dxa"/>
            <w:vAlign w:val="bottom"/>
            <w:tcBorders>
              <w:right w:val="single" w:sz="8" w:color="0063A6"/>
            </w:tcBorders>
          </w:tcPr>
          <w:p>
            <w:pPr>
              <w:spacing w:after="0"/>
              <w:rPr>
                <w:sz w:val="16"/>
                <w:szCs w:val="16"/>
                <w:color w:val="auto"/>
              </w:rPr>
            </w:pP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For purposes of this limitation, the value of equity awards is based on the grant date fair value (determined in</w:t>
            </w:r>
          </w:p>
        </w:tc>
        <w:tc>
          <w:tcPr>
            <w:tcW w:w="220" w:type="dxa"/>
            <w:vAlign w:val="bottom"/>
            <w:tcBorders>
              <w:right w:val="single" w:sz="8" w:color="0063A6"/>
            </w:tcBorders>
          </w:tcPr>
          <w:p>
            <w:pPr>
              <w:spacing w:after="0"/>
              <w:rPr>
                <w:sz w:val="16"/>
                <w:szCs w:val="16"/>
                <w:color w:val="auto"/>
              </w:rPr>
            </w:pPr>
          </w:p>
        </w:tc>
      </w:tr>
      <w:tr>
        <w:trPr>
          <w:trHeight w:val="223"/>
        </w:trPr>
        <w:tc>
          <w:tcPr>
            <w:tcW w:w="2840" w:type="dxa"/>
            <w:vAlign w:val="bottom"/>
            <w:tcBorders>
              <w:left w:val="single" w:sz="8" w:color="0063A6"/>
              <w:right w:val="single" w:sz="8" w:color="0063A6"/>
            </w:tcBorders>
          </w:tcPr>
          <w:p>
            <w:pPr>
              <w:spacing w:after="0"/>
              <w:rPr>
                <w:sz w:val="19"/>
                <w:szCs w:val="19"/>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accordance 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w:t>
            </w:r>
          </w:p>
        </w:tc>
        <w:tc>
          <w:tcPr>
            <w:tcW w:w="220" w:type="dxa"/>
            <w:vAlign w:val="bottom"/>
            <w:tcBorders>
              <w:right w:val="single" w:sz="8" w:color="0063A6"/>
            </w:tcBorders>
          </w:tcPr>
          <w:p>
            <w:pPr>
              <w:spacing w:after="0"/>
              <w:rPr>
                <w:sz w:val="19"/>
                <w:szCs w:val="19"/>
                <w:color w:val="auto"/>
              </w:rPr>
            </w:pPr>
          </w:p>
        </w:tc>
      </w:tr>
      <w:tr>
        <w:trPr>
          <w:trHeight w:val="143"/>
        </w:trPr>
        <w:tc>
          <w:tcPr>
            <w:tcW w:w="2840" w:type="dxa"/>
            <w:vAlign w:val="bottom"/>
            <w:tcBorders>
              <w:left w:val="single" w:sz="8" w:color="0063A6"/>
              <w:bottom w:val="single" w:sz="8" w:color="0063A6"/>
              <w:right w:val="single" w:sz="8" w:color="0063A6"/>
            </w:tcBorders>
          </w:tcPr>
          <w:p>
            <w:pPr>
              <w:spacing w:after="0"/>
              <w:rPr>
                <w:sz w:val="12"/>
                <w:szCs w:val="12"/>
                <w:color w:val="auto"/>
              </w:rPr>
            </w:pPr>
          </w:p>
        </w:tc>
        <w:tc>
          <w:tcPr>
            <w:tcW w:w="8200" w:type="dxa"/>
            <w:vAlign w:val="bottom"/>
            <w:tcBorders>
              <w:bottom w:val="single" w:sz="8" w:color="0063A6"/>
            </w:tcBorders>
          </w:tcPr>
          <w:p>
            <w:pPr>
              <w:spacing w:after="0"/>
              <w:rPr>
                <w:sz w:val="12"/>
                <w:szCs w:val="12"/>
                <w:color w:val="auto"/>
              </w:rPr>
            </w:pPr>
          </w:p>
        </w:tc>
        <w:tc>
          <w:tcPr>
            <w:tcW w:w="220" w:type="dxa"/>
            <w:vAlign w:val="bottom"/>
            <w:tcBorders>
              <w:bottom w:val="single" w:sz="8" w:color="0063A6"/>
              <w:right w:val="single" w:sz="8" w:color="0063A6"/>
            </w:tcBorders>
          </w:tcPr>
          <w:p>
            <w:pPr>
              <w:spacing w:after="0"/>
              <w:rPr>
                <w:sz w:val="12"/>
                <w:szCs w:val="12"/>
                <w:color w:val="auto"/>
              </w:rPr>
            </w:pPr>
          </w:p>
        </w:tc>
      </w:tr>
      <w:tr>
        <w:trPr>
          <w:trHeight w:val="222"/>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Regular Review</w:t>
            </w:r>
          </w:p>
        </w:tc>
        <w:tc>
          <w:tcPr>
            <w:tcW w:w="8200" w:type="dxa"/>
            <w:vAlign w:val="bottom"/>
          </w:tcPr>
          <w:p>
            <w:pPr>
              <w:ind w:left="40"/>
              <w:spacing w:after="0"/>
              <w:rPr>
                <w:sz w:val="20"/>
                <w:szCs w:val="20"/>
                <w:color w:val="auto"/>
              </w:rPr>
            </w:pPr>
            <w:r>
              <w:rPr>
                <w:rFonts w:ascii="Arial" w:cs="Arial" w:eastAsia="Arial" w:hAnsi="Arial"/>
                <w:sz w:val="16"/>
                <w:szCs w:val="16"/>
                <w:color w:val="auto"/>
              </w:rPr>
              <w:t>With advice from Compensia, our talent and compensation committee regularly reviews a competitive market</w:t>
            </w:r>
          </w:p>
        </w:tc>
        <w:tc>
          <w:tcPr>
            <w:tcW w:w="220" w:type="dxa"/>
            <w:vAlign w:val="bottom"/>
            <w:tcBorders>
              <w:right w:val="single" w:sz="8" w:color="0063A6"/>
            </w:tcBorders>
          </w:tcPr>
          <w:p>
            <w:pPr>
              <w:spacing w:after="0"/>
              <w:rPr>
                <w:sz w:val="19"/>
                <w:szCs w:val="19"/>
                <w:color w:val="auto"/>
              </w:rPr>
            </w:pPr>
          </w:p>
        </w:tc>
      </w:tr>
      <w:tr>
        <w:trPr>
          <w:trHeight w:val="175"/>
        </w:trPr>
        <w:tc>
          <w:tcPr>
            <w:tcW w:w="2840" w:type="dxa"/>
            <w:vAlign w:val="bottom"/>
            <w:tcBorders>
              <w:left w:val="single" w:sz="8" w:color="0063A6"/>
              <w:right w:val="single" w:sz="8" w:color="0063A6"/>
            </w:tcBorders>
          </w:tcPr>
          <w:p>
            <w:pPr>
              <w:spacing w:after="0"/>
              <w:rPr>
                <w:sz w:val="15"/>
                <w:szCs w:val="15"/>
                <w:color w:val="auto"/>
              </w:rPr>
            </w:pPr>
          </w:p>
        </w:tc>
        <w:tc>
          <w:tcPr>
            <w:tcW w:w="8420" w:type="dxa"/>
            <w:vAlign w:val="bottom"/>
            <w:tcBorders>
              <w:right w:val="single" w:sz="8" w:color="0063A6"/>
            </w:tcBorders>
            <w:gridSpan w:val="2"/>
          </w:tcPr>
          <w:p>
            <w:pPr>
              <w:ind w:left="40"/>
              <w:spacing w:after="0" w:line="175" w:lineRule="exact"/>
              <w:rPr>
                <w:sz w:val="20"/>
                <w:szCs w:val="20"/>
                <w:color w:val="auto"/>
              </w:rPr>
            </w:pPr>
            <w:r>
              <w:rPr>
                <w:rFonts w:ascii="Arial" w:cs="Arial" w:eastAsia="Arial" w:hAnsi="Arial"/>
                <w:sz w:val="16"/>
                <w:szCs w:val="16"/>
                <w:color w:val="auto"/>
              </w:rPr>
              <w:t>analysis of the amount and form of director compensation to ensure consistency with prudent governance practices</w:t>
            </w:r>
          </w:p>
        </w:tc>
      </w:tr>
      <w:tr>
        <w:trPr>
          <w:trHeight w:val="215"/>
        </w:trPr>
        <w:tc>
          <w:tcPr>
            <w:tcW w:w="2840" w:type="dxa"/>
            <w:vAlign w:val="bottom"/>
            <w:tcBorders>
              <w:left w:val="single" w:sz="8" w:color="0063A6"/>
              <w:right w:val="single" w:sz="8" w:color="0063A6"/>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and comparability with our compensation peer group.</w:t>
            </w:r>
          </w:p>
        </w:tc>
        <w:tc>
          <w:tcPr>
            <w:tcW w:w="220" w:type="dxa"/>
            <w:vAlign w:val="bottom"/>
            <w:tcBorders>
              <w:right w:val="single" w:sz="8" w:color="0063A6"/>
            </w:tcBorders>
          </w:tcPr>
          <w:p>
            <w:pPr>
              <w:spacing w:after="0"/>
              <w:rPr>
                <w:sz w:val="18"/>
                <w:szCs w:val="18"/>
                <w:color w:val="auto"/>
              </w:rPr>
            </w:pPr>
          </w:p>
        </w:tc>
      </w:tr>
      <w:tr>
        <w:trPr>
          <w:trHeight w:val="83"/>
        </w:trPr>
        <w:tc>
          <w:tcPr>
            <w:tcW w:w="2840" w:type="dxa"/>
            <w:vAlign w:val="bottom"/>
            <w:tcBorders>
              <w:left w:val="single" w:sz="8" w:color="0063A6"/>
              <w:bottom w:val="single" w:sz="8" w:color="0063A6"/>
              <w:right w:val="single" w:sz="8" w:color="0063A6"/>
            </w:tcBorders>
          </w:tcPr>
          <w:p>
            <w:pPr>
              <w:spacing w:after="0"/>
              <w:rPr>
                <w:sz w:val="7"/>
                <w:szCs w:val="7"/>
                <w:color w:val="auto"/>
              </w:rPr>
            </w:pPr>
          </w:p>
        </w:tc>
        <w:tc>
          <w:tcPr>
            <w:tcW w:w="8200" w:type="dxa"/>
            <w:vAlign w:val="bottom"/>
            <w:tcBorders>
              <w:bottom w:val="single" w:sz="8" w:color="0063A6"/>
            </w:tcBorders>
          </w:tcPr>
          <w:p>
            <w:pPr>
              <w:spacing w:after="0"/>
              <w:rPr>
                <w:sz w:val="7"/>
                <w:szCs w:val="7"/>
                <w:color w:val="auto"/>
              </w:rPr>
            </w:pPr>
          </w:p>
        </w:tc>
        <w:tc>
          <w:tcPr>
            <w:tcW w:w="220" w:type="dxa"/>
            <w:vAlign w:val="bottom"/>
            <w:tcBorders>
              <w:bottom w:val="single" w:sz="8" w:color="0063A6"/>
              <w:right w:val="single" w:sz="8" w:color="0063A6"/>
            </w:tcBorders>
          </w:tcPr>
          <w:p>
            <w:pPr>
              <w:spacing w:after="0"/>
              <w:rPr>
                <w:sz w:val="7"/>
                <w:szCs w:val="7"/>
                <w:color w:val="auto"/>
              </w:rPr>
            </w:pPr>
          </w:p>
        </w:tc>
      </w:tr>
      <w:tr>
        <w:trPr>
          <w:trHeight w:val="222"/>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Board Leadership Compensation</w:t>
            </w:r>
          </w:p>
        </w:tc>
        <w:tc>
          <w:tcPr>
            <w:tcW w:w="8200" w:type="dxa"/>
            <w:vAlign w:val="bottom"/>
          </w:tcPr>
          <w:p>
            <w:pPr>
              <w:ind w:left="40"/>
              <w:spacing w:after="0"/>
              <w:rPr>
                <w:sz w:val="20"/>
                <w:szCs w:val="20"/>
                <w:color w:val="auto"/>
              </w:rPr>
            </w:pPr>
            <w:r>
              <w:rPr>
                <w:rFonts w:ascii="Arial" w:cs="Arial" w:eastAsia="Arial" w:hAnsi="Arial"/>
                <w:sz w:val="16"/>
                <w:szCs w:val="16"/>
                <w:color w:val="auto"/>
              </w:rPr>
              <w:t>Our director compensation policy provides additional compensation for leadership positions on the board of</w:t>
            </w:r>
          </w:p>
        </w:tc>
        <w:tc>
          <w:tcPr>
            <w:tcW w:w="220" w:type="dxa"/>
            <w:vAlign w:val="bottom"/>
            <w:tcBorders>
              <w:right w:val="single" w:sz="8" w:color="0063A6"/>
            </w:tcBorders>
          </w:tcPr>
          <w:p>
            <w:pPr>
              <w:spacing w:after="0"/>
              <w:rPr>
                <w:sz w:val="19"/>
                <w:szCs w:val="19"/>
                <w:color w:val="auto"/>
              </w:rPr>
            </w:pPr>
          </w:p>
        </w:tc>
      </w:tr>
      <w:tr>
        <w:trPr>
          <w:trHeight w:val="175"/>
        </w:trPr>
        <w:tc>
          <w:tcPr>
            <w:tcW w:w="2840" w:type="dxa"/>
            <w:vAlign w:val="bottom"/>
            <w:tcBorders>
              <w:left w:val="single" w:sz="8" w:color="0063A6"/>
              <w:right w:val="single" w:sz="8" w:color="0063A6"/>
            </w:tcBorders>
          </w:tcPr>
          <w:p>
            <w:pPr>
              <w:spacing w:after="0"/>
              <w:rPr>
                <w:sz w:val="15"/>
                <w:szCs w:val="15"/>
                <w:color w:val="auto"/>
              </w:rPr>
            </w:pPr>
          </w:p>
        </w:tc>
        <w:tc>
          <w:tcPr>
            <w:tcW w:w="8200" w:type="dxa"/>
            <w:vAlign w:val="bottom"/>
          </w:tcPr>
          <w:p>
            <w:pPr>
              <w:ind w:left="40"/>
              <w:spacing w:after="0" w:line="175" w:lineRule="exact"/>
              <w:rPr>
                <w:sz w:val="20"/>
                <w:szCs w:val="20"/>
                <w:color w:val="auto"/>
              </w:rPr>
            </w:pPr>
            <w:r>
              <w:rPr>
                <w:rFonts w:ascii="Arial" w:cs="Arial" w:eastAsia="Arial" w:hAnsi="Arial"/>
                <w:sz w:val="16"/>
                <w:szCs w:val="16"/>
                <w:color w:val="auto"/>
              </w:rPr>
              <w:t>directors, including lead independent director and committee chair roles, to account for the added time and effort</w:t>
            </w:r>
          </w:p>
        </w:tc>
        <w:tc>
          <w:tcPr>
            <w:tcW w:w="220" w:type="dxa"/>
            <w:vAlign w:val="bottom"/>
            <w:tcBorders>
              <w:right w:val="single" w:sz="8" w:color="0063A6"/>
            </w:tcBorders>
          </w:tcPr>
          <w:p>
            <w:pPr>
              <w:spacing w:after="0"/>
              <w:rPr>
                <w:sz w:val="15"/>
                <w:szCs w:val="15"/>
                <w:color w:val="auto"/>
              </w:rPr>
            </w:pPr>
          </w:p>
        </w:tc>
      </w:tr>
      <w:tr>
        <w:trPr>
          <w:trHeight w:val="215"/>
        </w:trPr>
        <w:tc>
          <w:tcPr>
            <w:tcW w:w="2840" w:type="dxa"/>
            <w:vAlign w:val="bottom"/>
            <w:tcBorders>
              <w:left w:val="single" w:sz="8" w:color="0063A6"/>
              <w:right w:val="single" w:sz="8" w:color="0063A6"/>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associated with these positions.</w:t>
            </w:r>
          </w:p>
        </w:tc>
        <w:tc>
          <w:tcPr>
            <w:tcW w:w="220" w:type="dxa"/>
            <w:vAlign w:val="bottom"/>
            <w:tcBorders>
              <w:right w:val="single" w:sz="8" w:color="0063A6"/>
            </w:tcBorders>
          </w:tcPr>
          <w:p>
            <w:pPr>
              <w:spacing w:after="0"/>
              <w:rPr>
                <w:sz w:val="18"/>
                <w:szCs w:val="18"/>
                <w:color w:val="auto"/>
              </w:rPr>
            </w:pPr>
          </w:p>
        </w:tc>
      </w:tr>
      <w:tr>
        <w:trPr>
          <w:trHeight w:val="83"/>
        </w:trPr>
        <w:tc>
          <w:tcPr>
            <w:tcW w:w="2840" w:type="dxa"/>
            <w:vAlign w:val="bottom"/>
            <w:tcBorders>
              <w:left w:val="single" w:sz="8" w:color="0063A6"/>
              <w:bottom w:val="single" w:sz="8" w:color="0063A6"/>
              <w:right w:val="single" w:sz="8" w:color="0063A6"/>
            </w:tcBorders>
          </w:tcPr>
          <w:p>
            <w:pPr>
              <w:spacing w:after="0"/>
              <w:rPr>
                <w:sz w:val="7"/>
                <w:szCs w:val="7"/>
                <w:color w:val="auto"/>
              </w:rPr>
            </w:pPr>
          </w:p>
        </w:tc>
        <w:tc>
          <w:tcPr>
            <w:tcW w:w="8200" w:type="dxa"/>
            <w:vAlign w:val="bottom"/>
            <w:tcBorders>
              <w:bottom w:val="single" w:sz="8" w:color="0063A6"/>
            </w:tcBorders>
          </w:tcPr>
          <w:p>
            <w:pPr>
              <w:spacing w:after="0"/>
              <w:rPr>
                <w:sz w:val="7"/>
                <w:szCs w:val="7"/>
                <w:color w:val="auto"/>
              </w:rPr>
            </w:pPr>
          </w:p>
        </w:tc>
        <w:tc>
          <w:tcPr>
            <w:tcW w:w="220" w:type="dxa"/>
            <w:vAlign w:val="bottom"/>
            <w:tcBorders>
              <w:bottom w:val="single" w:sz="8" w:color="0063A6"/>
              <w:right w:val="single" w:sz="8" w:color="0063A6"/>
            </w:tcBorders>
          </w:tcPr>
          <w:p>
            <w:pPr>
              <w:spacing w:after="0"/>
              <w:rPr>
                <w:sz w:val="7"/>
                <w:szCs w:val="7"/>
                <w:color w:val="auto"/>
              </w:rPr>
            </w:pPr>
          </w:p>
        </w:tc>
      </w:tr>
      <w:tr>
        <w:trPr>
          <w:trHeight w:val="801"/>
        </w:trPr>
        <w:tc>
          <w:tcPr>
            <w:tcW w:w="2840" w:type="dxa"/>
            <w:vAlign w:val="bottom"/>
          </w:tcPr>
          <w:p>
            <w:pPr>
              <w:spacing w:after="0"/>
              <w:rPr>
                <w:sz w:val="24"/>
                <w:szCs w:val="24"/>
                <w:color w:val="auto"/>
              </w:rPr>
            </w:pPr>
          </w:p>
        </w:tc>
        <w:tc>
          <w:tcPr>
            <w:tcW w:w="8200" w:type="dxa"/>
            <w:vAlign w:val="bottom"/>
          </w:tcPr>
          <w:p>
            <w:pPr>
              <w:ind w:left="24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198"/>
        </w:trPr>
        <w:tc>
          <w:tcPr>
            <w:tcW w:w="2840" w:type="dxa"/>
            <w:vAlign w:val="bottom"/>
            <w:tcBorders>
              <w:bottom w:val="single" w:sz="8" w:color="9A9A9A"/>
            </w:tcBorders>
          </w:tcPr>
          <w:p>
            <w:pPr>
              <w:spacing w:after="0"/>
              <w:rPr>
                <w:sz w:val="17"/>
                <w:szCs w:val="17"/>
                <w:color w:val="auto"/>
              </w:rPr>
            </w:pPr>
          </w:p>
        </w:tc>
        <w:tc>
          <w:tcPr>
            <w:tcW w:w="82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Components of Compensation</w:t>
      </w:r>
    </w:p>
    <w:p>
      <w:pPr>
        <w:spacing w:after="0" w:line="113"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Our director compensation policy consists of a cash component and an equity component. There are no per-meeting attendance fees for attending board meetings. Directors who are also our employees receive no additional compensation for their service as directors. The components of our director compensation policy, as currently in effect,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0575" cy="5006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0575" cy="5006340"/>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08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81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Description</w:t>
            </w:r>
          </w:p>
        </w:tc>
        <w:tc>
          <w:tcPr>
            <w:tcW w:w="20" w:type="dxa"/>
            <w:vAlign w:val="bottom"/>
            <w:shd w:val="clear" w:color="auto" w:fill="0063A6"/>
          </w:tcPr>
          <w:p>
            <w:pPr>
              <w:spacing w:after="0"/>
              <w:rPr>
                <w:sz w:val="24"/>
                <w:szCs w:val="24"/>
                <w:color w:val="auto"/>
              </w:rPr>
            </w:pPr>
          </w:p>
        </w:tc>
      </w:tr>
      <w:tr>
        <w:trPr>
          <w:trHeight w:val="276"/>
        </w:trPr>
        <w:tc>
          <w:tcPr>
            <w:tcW w:w="3080" w:type="dxa"/>
            <w:vAlign w:val="bottom"/>
            <w:shd w:val="clear" w:color="auto" w:fill="E5EFFD"/>
          </w:tcPr>
          <w:p>
            <w:pPr>
              <w:ind w:left="80"/>
              <w:spacing w:after="0"/>
              <w:rPr>
                <w:sz w:val="20"/>
                <w:szCs w:val="20"/>
                <w:color w:val="auto"/>
              </w:rPr>
            </w:pPr>
            <w:r>
              <w:rPr>
                <w:rFonts w:ascii="Arial" w:cs="Arial" w:eastAsia="Arial" w:hAnsi="Arial"/>
                <w:sz w:val="16"/>
                <w:szCs w:val="16"/>
                <w:b w:val="1"/>
                <w:bCs w:val="1"/>
                <w:color w:val="0063A6"/>
              </w:rPr>
              <w:t>Cash Compensation</w:t>
            </w:r>
          </w:p>
        </w:tc>
        <w:tc>
          <w:tcPr>
            <w:tcW w:w="8160" w:type="dxa"/>
            <w:vAlign w:val="bottom"/>
            <w:shd w:val="clear" w:color="auto" w:fill="E5EFFD"/>
          </w:tcPr>
          <w:p>
            <w:pPr>
              <w:spacing w:after="0"/>
              <w:rPr>
                <w:sz w:val="24"/>
                <w:szCs w:val="24"/>
                <w:color w:val="auto"/>
              </w:rPr>
            </w:pPr>
          </w:p>
        </w:tc>
        <w:tc>
          <w:tcPr>
            <w:tcW w:w="20" w:type="dxa"/>
            <w:vAlign w:val="bottom"/>
          </w:tcPr>
          <w:p>
            <w:pPr>
              <w:spacing w:after="0"/>
              <w:rPr>
                <w:sz w:val="24"/>
                <w:szCs w:val="24"/>
                <w:color w:val="auto"/>
              </w:rPr>
            </w:pPr>
          </w:p>
        </w:tc>
      </w:tr>
      <w:tr>
        <w:trPr>
          <w:trHeight w:val="75"/>
        </w:trPr>
        <w:tc>
          <w:tcPr>
            <w:tcW w:w="3080" w:type="dxa"/>
            <w:vAlign w:val="bottom"/>
            <w:tcBorders>
              <w:bottom w:val="single" w:sz="8" w:color="0063A6"/>
            </w:tcBorders>
            <w:shd w:val="clear" w:color="auto" w:fill="E5EFFD"/>
          </w:tcPr>
          <w:p>
            <w:pPr>
              <w:spacing w:after="0"/>
              <w:rPr>
                <w:sz w:val="6"/>
                <w:szCs w:val="6"/>
                <w:color w:val="auto"/>
              </w:rPr>
            </w:pPr>
          </w:p>
        </w:tc>
        <w:tc>
          <w:tcPr>
            <w:tcW w:w="8160" w:type="dxa"/>
            <w:vAlign w:val="bottom"/>
            <w:tcBorders>
              <w:bottom w:val="single" w:sz="8" w:color="0063A6"/>
            </w:tcBorders>
            <w:shd w:val="clear" w:color="auto" w:fill="E5EFFD"/>
          </w:tcPr>
          <w:p>
            <w:pPr>
              <w:spacing w:after="0"/>
              <w:rPr>
                <w:sz w:val="6"/>
                <w:szCs w:val="6"/>
                <w:color w:val="auto"/>
              </w:rPr>
            </w:pPr>
          </w:p>
        </w:tc>
        <w:tc>
          <w:tcPr>
            <w:tcW w:w="20" w:type="dxa"/>
            <w:vAlign w:val="bottom"/>
            <w:tcBorders>
              <w:bottom w:val="single" w:sz="8" w:color="0063A6"/>
            </w:tcBorders>
          </w:tcPr>
          <w:p>
            <w:pPr>
              <w:spacing w:after="0"/>
              <w:rPr>
                <w:sz w:val="6"/>
                <w:szCs w:val="6"/>
                <w:color w:val="auto"/>
              </w:rPr>
            </w:pPr>
          </w:p>
        </w:tc>
      </w:tr>
      <w:tr>
        <w:trPr>
          <w:trHeight w:val="256"/>
        </w:trPr>
        <w:tc>
          <w:tcPr>
            <w:tcW w:w="3080" w:type="dxa"/>
            <w:vAlign w:val="bottom"/>
          </w:tcPr>
          <w:p>
            <w:pPr>
              <w:ind w:left="80"/>
              <w:spacing w:after="0"/>
              <w:rPr>
                <w:sz w:val="20"/>
                <w:szCs w:val="20"/>
                <w:color w:val="auto"/>
              </w:rPr>
            </w:pPr>
            <w:r>
              <w:rPr>
                <w:rFonts w:ascii="Arial" w:cs="Arial" w:eastAsia="Arial" w:hAnsi="Arial"/>
                <w:sz w:val="16"/>
                <w:szCs w:val="16"/>
                <w:b w:val="1"/>
                <w:bCs w:val="1"/>
                <w:color w:val="auto"/>
              </w:rPr>
              <w:t>Annual Cash Retainer</w:t>
            </w:r>
          </w:p>
        </w:tc>
        <w:tc>
          <w:tcPr>
            <w:tcW w:w="8160" w:type="dxa"/>
            <w:vAlign w:val="bottom"/>
          </w:tcPr>
          <w:p>
            <w:pPr>
              <w:ind w:left="60"/>
              <w:spacing w:after="0"/>
              <w:rPr>
                <w:sz w:val="20"/>
                <w:szCs w:val="20"/>
                <w:color w:val="auto"/>
              </w:rPr>
            </w:pPr>
            <w:r>
              <w:rPr>
                <w:rFonts w:ascii="Arial" w:cs="Arial" w:eastAsia="Arial" w:hAnsi="Arial"/>
                <w:sz w:val="16"/>
                <w:szCs w:val="16"/>
                <w:color w:val="auto"/>
              </w:rPr>
              <w:t>$50,000, paid quarterly in arrears on a prorated basis.</w:t>
            </w:r>
          </w:p>
        </w:tc>
        <w:tc>
          <w:tcPr>
            <w:tcW w:w="20" w:type="dxa"/>
            <w:vAlign w:val="bottom"/>
          </w:tcPr>
          <w:p>
            <w:pPr>
              <w:spacing w:after="0"/>
              <w:rPr>
                <w:sz w:val="22"/>
                <w:szCs w:val="22"/>
                <w:color w:val="auto"/>
              </w:rPr>
            </w:pPr>
          </w:p>
        </w:tc>
      </w:tr>
    </w:tbl>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Committee and Board Leadership</w:t>
      </w:r>
    </w:p>
    <w:p>
      <w:pPr>
        <w:ind w:left="3140" w:right="300" w:hanging="3059"/>
        <w:spacing w:after="0" w:line="181" w:lineRule="auto"/>
        <w:tabs>
          <w:tab w:leader="none" w:pos="3120" w:val="left"/>
        </w:tabs>
        <w:rPr>
          <w:sz w:val="20"/>
          <w:szCs w:val="20"/>
          <w:color w:val="auto"/>
        </w:rPr>
      </w:pPr>
      <w:r>
        <w:rPr>
          <w:rFonts w:ascii="Arial" w:cs="Arial" w:eastAsia="Arial" w:hAnsi="Arial"/>
          <w:sz w:val="28"/>
          <w:szCs w:val="28"/>
          <w:b w:val="1"/>
          <w:bCs w:val="1"/>
          <w:color w:val="auto"/>
          <w:vertAlign w:val="subscript"/>
        </w:rPr>
        <w:t>Compensation</w:t>
      </w:r>
      <w:r>
        <w:rPr>
          <w:sz w:val="20"/>
          <w:szCs w:val="20"/>
          <w:color w:val="auto"/>
        </w:rPr>
        <w:tab/>
      </w:r>
      <w:r>
        <w:rPr>
          <w:rFonts w:ascii="Arial" w:cs="Arial" w:eastAsia="Arial" w:hAnsi="Arial"/>
          <w:sz w:val="15"/>
          <w:szCs w:val="15"/>
          <w:color w:val="auto"/>
        </w:rPr>
        <w:t>Under the director compensation policy in fiscal 2025, each non-employee director was entitled to receive the following cash compensation for their additional services:</w:t>
      </w:r>
    </w:p>
    <w:p>
      <w:pPr>
        <w:spacing w:after="0" w:line="84" w:lineRule="exact"/>
        <w:rPr>
          <w:sz w:val="20"/>
          <w:szCs w:val="20"/>
          <w:color w:val="auto"/>
        </w:rPr>
      </w:pPr>
    </w:p>
    <w:p>
      <w:pPr>
        <w:ind w:left="3300" w:hanging="154"/>
        <w:spacing w:after="0"/>
        <w:tabs>
          <w:tab w:leader="none" w:pos="3300"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$35,000 per year for service as a lead independent director;</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$30,000 per year for service as chair of the audit committee;</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$12,500 per year for service as a member of the audit committee;</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$20,000 per year for service as chair of the talent and compensation committee;</w:t>
      </w:r>
    </w:p>
    <w:p>
      <w:pPr>
        <w:spacing w:after="0" w:line="99" w:lineRule="exact"/>
        <w:rPr>
          <w:rFonts w:ascii="Arial" w:cs="Arial" w:eastAsia="Arial" w:hAnsi="Arial"/>
          <w:sz w:val="16"/>
          <w:szCs w:val="16"/>
          <w:color w:val="0063A6"/>
        </w:rPr>
      </w:pPr>
    </w:p>
    <w:p>
      <w:pPr>
        <w:ind w:left="3300" w:hanging="154"/>
        <w:spacing w:after="0"/>
        <w:tabs>
          <w:tab w:leader="none" w:pos="3300"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$10,000 per year for service as a member of the talent and compensation committee;</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$15,000 per year for service as chair of the nominating and corporate governance committee; and</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3"/>
        </w:numPr>
        <w:rPr>
          <w:rFonts w:ascii="Arial" w:cs="Arial" w:eastAsia="Arial" w:hAnsi="Arial"/>
          <w:sz w:val="16"/>
          <w:szCs w:val="16"/>
          <w:color w:val="0063A6"/>
        </w:rPr>
      </w:pPr>
      <w:r>
        <w:rPr>
          <w:rFonts w:ascii="Arial" w:cs="Arial" w:eastAsia="Arial" w:hAnsi="Arial"/>
          <w:sz w:val="16"/>
          <w:szCs w:val="16"/>
          <w:color w:val="auto"/>
        </w:rPr>
        <w:t>$5,000 per year for service as a member of the nominating and corporate governance committee.</w:t>
      </w:r>
    </w:p>
    <w:p>
      <w:pPr>
        <w:spacing w:after="0" w:line="113" w:lineRule="exact"/>
        <w:rPr>
          <w:sz w:val="20"/>
          <w:szCs w:val="20"/>
          <w:color w:val="auto"/>
        </w:rPr>
      </w:pPr>
    </w:p>
    <w:p>
      <w:pPr>
        <w:ind w:left="3140" w:right="320"/>
        <w:spacing w:after="0" w:line="268" w:lineRule="auto"/>
        <w:rPr>
          <w:sz w:val="20"/>
          <w:szCs w:val="20"/>
          <w:color w:val="auto"/>
        </w:rPr>
      </w:pPr>
      <w:r>
        <w:rPr>
          <w:rFonts w:ascii="Arial" w:cs="Arial" w:eastAsia="Arial" w:hAnsi="Arial"/>
          <w:sz w:val="16"/>
          <w:szCs w:val="16"/>
          <w:color w:val="auto"/>
        </w:rPr>
        <w:t>Directors who serve as the chair of a committee will receive only the annual fee as the chair of the committee and not any additional fees for serving as a member of that committee.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100" w:type="dxa"/>
            <w:vAlign w:val="bottom"/>
            <w:tcBorders>
              <w:right w:val="single" w:sz="8" w:color="E5EFFD"/>
            </w:tcBorders>
            <w:shd w:val="clear" w:color="auto" w:fill="E5EFFD"/>
          </w:tcPr>
          <w:p>
            <w:pPr>
              <w:ind w:left="80"/>
              <w:spacing w:after="0"/>
              <w:rPr>
                <w:sz w:val="20"/>
                <w:szCs w:val="20"/>
                <w:color w:val="auto"/>
              </w:rPr>
            </w:pPr>
            <w:r>
              <w:rPr>
                <w:rFonts w:ascii="Arial" w:cs="Arial" w:eastAsia="Arial" w:hAnsi="Arial"/>
                <w:sz w:val="16"/>
                <w:szCs w:val="16"/>
                <w:b w:val="1"/>
                <w:bCs w:val="1"/>
                <w:color w:val="0063A6"/>
              </w:rPr>
              <w:t>Equity Compensation</w:t>
            </w:r>
          </w:p>
        </w:tc>
        <w:tc>
          <w:tcPr>
            <w:tcW w:w="40" w:type="dxa"/>
            <w:vAlign w:val="bottom"/>
            <w:shd w:val="clear" w:color="auto" w:fill="E5EFFD"/>
          </w:tcPr>
          <w:p>
            <w:pPr>
              <w:spacing w:after="0"/>
              <w:rPr>
                <w:sz w:val="24"/>
                <w:szCs w:val="24"/>
                <w:color w:val="auto"/>
              </w:rPr>
            </w:pPr>
          </w:p>
        </w:tc>
        <w:tc>
          <w:tcPr>
            <w:tcW w:w="1220" w:type="dxa"/>
            <w:vAlign w:val="bottom"/>
            <w:shd w:val="clear" w:color="auto" w:fill="E5EFFD"/>
          </w:tcPr>
          <w:p>
            <w:pPr>
              <w:spacing w:after="0"/>
              <w:rPr>
                <w:sz w:val="24"/>
                <w:szCs w:val="24"/>
                <w:color w:val="auto"/>
              </w:rPr>
            </w:pPr>
          </w:p>
        </w:tc>
        <w:tc>
          <w:tcPr>
            <w:tcW w:w="100" w:type="dxa"/>
            <w:vAlign w:val="bottom"/>
            <w:shd w:val="clear" w:color="auto" w:fill="E5EFFD"/>
          </w:tcPr>
          <w:p>
            <w:pPr>
              <w:spacing w:after="0"/>
              <w:rPr>
                <w:sz w:val="24"/>
                <w:szCs w:val="24"/>
                <w:color w:val="auto"/>
              </w:rPr>
            </w:pPr>
          </w:p>
        </w:tc>
        <w:tc>
          <w:tcPr>
            <w:tcW w:w="6780" w:type="dxa"/>
            <w:vAlign w:val="bottom"/>
            <w:shd w:val="clear" w:color="auto" w:fill="E5EFF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100" w:type="dxa"/>
            <w:vAlign w:val="bottom"/>
            <w:tcBorders>
              <w:bottom w:val="single" w:sz="8" w:color="0063A6"/>
              <w:right w:val="single" w:sz="8" w:color="E5EFFD"/>
            </w:tcBorders>
            <w:shd w:val="clear" w:color="auto" w:fill="E5EFFD"/>
          </w:tcPr>
          <w:p>
            <w:pPr>
              <w:spacing w:after="0"/>
              <w:rPr>
                <w:sz w:val="6"/>
                <w:szCs w:val="6"/>
                <w:color w:val="auto"/>
              </w:rPr>
            </w:pPr>
          </w:p>
        </w:tc>
        <w:tc>
          <w:tcPr>
            <w:tcW w:w="40" w:type="dxa"/>
            <w:vAlign w:val="bottom"/>
            <w:tcBorders>
              <w:bottom w:val="single" w:sz="8" w:color="0063A6"/>
            </w:tcBorders>
            <w:shd w:val="clear" w:color="auto" w:fill="E5EFFD"/>
          </w:tcPr>
          <w:p>
            <w:pPr>
              <w:spacing w:after="0"/>
              <w:rPr>
                <w:sz w:val="6"/>
                <w:szCs w:val="6"/>
                <w:color w:val="auto"/>
              </w:rPr>
            </w:pPr>
          </w:p>
        </w:tc>
        <w:tc>
          <w:tcPr>
            <w:tcW w:w="1220" w:type="dxa"/>
            <w:vAlign w:val="bottom"/>
            <w:tcBorders>
              <w:bottom w:val="single" w:sz="8" w:color="0063A6"/>
            </w:tcBorders>
            <w:shd w:val="clear" w:color="auto" w:fill="E5EFFD"/>
          </w:tcPr>
          <w:p>
            <w:pPr>
              <w:spacing w:after="0"/>
              <w:rPr>
                <w:sz w:val="6"/>
                <w:szCs w:val="6"/>
                <w:color w:val="auto"/>
              </w:rPr>
            </w:pPr>
          </w:p>
        </w:tc>
        <w:tc>
          <w:tcPr>
            <w:tcW w:w="100" w:type="dxa"/>
            <w:vAlign w:val="bottom"/>
            <w:tcBorders>
              <w:bottom w:val="single" w:sz="8" w:color="0063A6"/>
            </w:tcBorders>
            <w:shd w:val="clear" w:color="auto" w:fill="E5EFFD"/>
          </w:tcPr>
          <w:p>
            <w:pPr>
              <w:spacing w:after="0"/>
              <w:rPr>
                <w:sz w:val="6"/>
                <w:szCs w:val="6"/>
                <w:color w:val="auto"/>
              </w:rPr>
            </w:pPr>
          </w:p>
        </w:tc>
        <w:tc>
          <w:tcPr>
            <w:tcW w:w="6780" w:type="dxa"/>
            <w:vAlign w:val="bottom"/>
            <w:tcBorders>
              <w:bottom w:val="single" w:sz="8" w:color="0063A6"/>
            </w:tcBorders>
            <w:shd w:val="clear" w:color="auto" w:fill="E5EFFD"/>
          </w:tcPr>
          <w:p>
            <w:pPr>
              <w:spacing w:after="0"/>
              <w:rPr>
                <w:sz w:val="6"/>
                <w:szCs w:val="6"/>
                <w:color w:val="auto"/>
              </w:rPr>
            </w:pPr>
          </w:p>
        </w:tc>
        <w:tc>
          <w:tcPr>
            <w:tcW w:w="20" w:type="dxa"/>
            <w:vAlign w:val="bottom"/>
            <w:tcBorders>
              <w:bottom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100" w:type="dxa"/>
            <w:vAlign w:val="bottom"/>
            <w:tcBorders>
              <w:right w:val="single" w:sz="8" w:color="0063A6"/>
            </w:tcBorders>
          </w:tcPr>
          <w:p>
            <w:pPr>
              <w:ind w:left="80"/>
              <w:spacing w:after="0"/>
              <w:rPr>
                <w:sz w:val="20"/>
                <w:szCs w:val="20"/>
                <w:color w:val="auto"/>
              </w:rPr>
            </w:pPr>
            <w:r>
              <w:rPr>
                <w:rFonts w:ascii="Arial" w:cs="Arial" w:eastAsia="Arial" w:hAnsi="Arial"/>
                <w:sz w:val="16"/>
                <w:szCs w:val="16"/>
                <w:b w:val="1"/>
                <w:bCs w:val="1"/>
                <w:color w:val="auto"/>
              </w:rPr>
              <w:t>Initial Award</w:t>
            </w:r>
          </w:p>
        </w:tc>
        <w:tc>
          <w:tcPr>
            <w:tcW w:w="40" w:type="dxa"/>
            <w:vAlign w:val="bottom"/>
          </w:tcPr>
          <w:p>
            <w:pPr>
              <w:spacing w:after="0"/>
              <w:rPr>
                <w:sz w:val="22"/>
                <w:szCs w:val="22"/>
                <w:color w:val="auto"/>
              </w:rPr>
            </w:pPr>
          </w:p>
        </w:tc>
        <w:tc>
          <w:tcPr>
            <w:tcW w:w="8100" w:type="dxa"/>
            <w:vAlign w:val="bottom"/>
            <w:gridSpan w:val="3"/>
            <w:vMerge w:val="restart"/>
          </w:tcPr>
          <w:p>
            <w:pPr>
              <w:spacing w:after="0"/>
              <w:rPr>
                <w:sz w:val="20"/>
                <w:szCs w:val="20"/>
                <w:color w:val="auto"/>
              </w:rPr>
            </w:pPr>
            <w:r>
              <w:rPr>
                <w:rFonts w:ascii="Arial" w:cs="Arial" w:eastAsia="Arial" w:hAnsi="Arial"/>
                <w:sz w:val="16"/>
                <w:szCs w:val="16"/>
                <w:color w:val="auto"/>
              </w:rPr>
              <w:t>Each person who first becomes a non-employee director receives, on the first trading date on or after the date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100" w:type="dxa"/>
            <w:vAlign w:val="bottom"/>
            <w:tcBorders>
              <w:right w:val="single" w:sz="8" w:color="0063A6"/>
            </w:tcBorders>
          </w:tcPr>
          <w:p>
            <w:pPr>
              <w:spacing w:after="0"/>
              <w:rPr>
                <w:sz w:val="5"/>
                <w:szCs w:val="5"/>
                <w:color w:val="auto"/>
              </w:rPr>
            </w:pPr>
          </w:p>
        </w:tc>
        <w:tc>
          <w:tcPr>
            <w:tcW w:w="40" w:type="dxa"/>
            <w:vAlign w:val="bottom"/>
          </w:tcPr>
          <w:p>
            <w:pPr>
              <w:spacing w:after="0"/>
              <w:rPr>
                <w:sz w:val="5"/>
                <w:szCs w:val="5"/>
                <w:color w:val="auto"/>
              </w:rPr>
            </w:pPr>
          </w:p>
        </w:tc>
        <w:tc>
          <w:tcPr>
            <w:tcW w:w="81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on which the person first becomes a non-employee director, an initial award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the Initial Award. An employee director who becomes a non-employee director due to termination of employment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will not be entitled to an Initial Award.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100" w:type="dxa"/>
            <w:vAlign w:val="bottom"/>
            <w:tcBorders>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00" w:type="dxa"/>
            <w:vAlign w:val="bottom"/>
            <w:gridSpan w:val="3"/>
          </w:tcPr>
          <w:p>
            <w:pPr>
              <w:spacing w:after="0"/>
              <w:rPr>
                <w:sz w:val="20"/>
                <w:szCs w:val="20"/>
                <w:color w:val="auto"/>
              </w:rPr>
            </w:pPr>
            <w:r>
              <w:rPr>
                <w:rFonts w:ascii="Arial" w:cs="Arial" w:eastAsia="Arial" w:hAnsi="Arial"/>
                <w:sz w:val="16"/>
                <w:szCs w:val="16"/>
                <w:i w:val="1"/>
                <w:iCs w:val="1"/>
                <w:color w:val="auto"/>
              </w:rPr>
              <w:t>Number of Shares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00" w:type="dxa"/>
            <w:vAlign w:val="bottom"/>
            <w:tcBorders>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The Initial Award covers a number of shares of our Class A common stock having a grant date fair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(determined in accordance with GAAP) equal to $250,000 multiplied by the fraction obtained by dividing (a)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number of full months during the period beginning on the date the person first becomes a non-employee director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and ending on the one-year anniversary of the date of the then-most recent annual meeting of the company’s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stockholders, or the Initial Award Vesting Period by (b) 12, rounded to the nearest whole share.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00" w:type="dxa"/>
            <w:vAlign w:val="bottom"/>
            <w:tcBorders>
              <w:right w:val="single" w:sz="8" w:color="0063A6"/>
            </w:tcBorders>
          </w:tcPr>
          <w:p>
            <w:pPr>
              <w:spacing w:after="0"/>
              <w:rPr>
                <w:sz w:val="21"/>
                <w:szCs w:val="21"/>
                <w:color w:val="auto"/>
              </w:rPr>
            </w:pPr>
          </w:p>
        </w:tc>
        <w:tc>
          <w:tcPr>
            <w:tcW w:w="40" w:type="dxa"/>
            <w:vAlign w:val="bottom"/>
          </w:tcPr>
          <w:p>
            <w:pPr>
              <w:spacing w:after="0"/>
              <w:rPr>
                <w:sz w:val="21"/>
                <w:szCs w:val="21"/>
                <w:color w:val="auto"/>
              </w:rPr>
            </w:pPr>
          </w:p>
        </w:tc>
        <w:tc>
          <w:tcPr>
            <w:tcW w:w="8100" w:type="dxa"/>
            <w:vAlign w:val="bottom"/>
            <w:gridSpan w:val="3"/>
          </w:tcPr>
          <w:p>
            <w:pPr>
              <w:spacing w:after="0"/>
              <w:rPr>
                <w:sz w:val="20"/>
                <w:szCs w:val="20"/>
                <w:color w:val="auto"/>
              </w:rPr>
            </w:pPr>
            <w:r>
              <w:rPr>
                <w:rFonts w:ascii="Arial" w:cs="Arial" w:eastAsia="Arial" w:hAnsi="Arial"/>
                <w:sz w:val="16"/>
                <w:szCs w:val="16"/>
                <w:i w:val="1"/>
                <w:iCs w:val="1"/>
                <w:color w:val="auto"/>
              </w:rPr>
              <w:t>Vesting of Award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Borders>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100" w:type="dxa"/>
            <w:vAlign w:val="bottom"/>
            <w:tcBorders>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The Initial Award vests on the last day of the Initial Award Vesting Period or, if earlier, on the day before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annual meeting of our stockholders that follows the grant date of the Initial Award, subject to the non-employee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director continuing to provide services to us through the applicable vesting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3100" w:type="dxa"/>
            <w:vAlign w:val="bottom"/>
            <w:tcBorders>
              <w:bottom w:val="single" w:sz="8" w:color="0063A6"/>
              <w:right w:val="single" w:sz="8" w:color="0063A6"/>
            </w:tcBorders>
          </w:tcPr>
          <w:p>
            <w:pPr>
              <w:spacing w:after="0"/>
              <w:rPr>
                <w:sz w:val="7"/>
                <w:szCs w:val="7"/>
                <w:color w:val="auto"/>
              </w:rPr>
            </w:pPr>
          </w:p>
        </w:tc>
        <w:tc>
          <w:tcPr>
            <w:tcW w:w="40" w:type="dxa"/>
            <w:vAlign w:val="bottom"/>
            <w:tcBorders>
              <w:bottom w:val="single" w:sz="8" w:color="0063A6"/>
            </w:tcBorders>
          </w:tcPr>
          <w:p>
            <w:pPr>
              <w:spacing w:after="0"/>
              <w:rPr>
                <w:sz w:val="7"/>
                <w:szCs w:val="7"/>
                <w:color w:val="auto"/>
              </w:rPr>
            </w:pPr>
          </w:p>
        </w:tc>
        <w:tc>
          <w:tcPr>
            <w:tcW w:w="1220" w:type="dxa"/>
            <w:vAlign w:val="bottom"/>
            <w:tcBorders>
              <w:bottom w:val="single" w:sz="8" w:color="0063A6"/>
            </w:tcBorders>
          </w:tcPr>
          <w:p>
            <w:pPr>
              <w:spacing w:after="0"/>
              <w:rPr>
                <w:sz w:val="7"/>
                <w:szCs w:val="7"/>
                <w:color w:val="auto"/>
              </w:rPr>
            </w:pPr>
          </w:p>
        </w:tc>
        <w:tc>
          <w:tcPr>
            <w:tcW w:w="100" w:type="dxa"/>
            <w:vAlign w:val="bottom"/>
            <w:tcBorders>
              <w:bottom w:val="single" w:sz="8" w:color="0063A6"/>
            </w:tcBorders>
          </w:tcPr>
          <w:p>
            <w:pPr>
              <w:spacing w:after="0"/>
              <w:rPr>
                <w:sz w:val="7"/>
                <w:szCs w:val="7"/>
                <w:color w:val="auto"/>
              </w:rPr>
            </w:pPr>
          </w:p>
        </w:tc>
        <w:tc>
          <w:tcPr>
            <w:tcW w:w="6780" w:type="dxa"/>
            <w:vAlign w:val="bottom"/>
            <w:tcBorders>
              <w:bottom w:val="single" w:sz="8" w:color="0063A6"/>
            </w:tcBorders>
          </w:tcPr>
          <w:p>
            <w:pPr>
              <w:spacing w:after="0"/>
              <w:rPr>
                <w:sz w:val="7"/>
                <w:szCs w:val="7"/>
                <w:color w:val="auto"/>
              </w:rPr>
            </w:pPr>
          </w:p>
        </w:tc>
        <w:tc>
          <w:tcPr>
            <w:tcW w:w="20" w:type="dxa"/>
            <w:vAlign w:val="bottom"/>
            <w:tcBorders>
              <w:bottom w:val="single" w:sz="8" w:color="0063A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0" w:hanging="554"/>
        <w:spacing w:after="0"/>
        <w:tabs>
          <w:tab w:leader="none" w:pos="58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100" w:type="dxa"/>
            <w:vAlign w:val="bottom"/>
            <w:tcBorders>
              <w:left w:val="single" w:sz="8" w:color="0063A6"/>
              <w:bottom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40" w:type="dxa"/>
            <w:vAlign w:val="bottom"/>
            <w:tcBorders>
              <w:bottom w:val="single" w:sz="8" w:color="0063A6"/>
            </w:tcBorders>
            <w:shd w:val="clear" w:color="auto" w:fill="0063A6"/>
          </w:tcPr>
          <w:p>
            <w:pPr>
              <w:spacing w:after="0"/>
              <w:rPr>
                <w:sz w:val="24"/>
                <w:szCs w:val="24"/>
                <w:color w:val="auto"/>
              </w:rPr>
            </w:pPr>
          </w:p>
        </w:tc>
        <w:tc>
          <w:tcPr>
            <w:tcW w:w="8120" w:type="dxa"/>
            <w:vAlign w:val="bottom"/>
            <w:tcBorders>
              <w:bottom w:val="single" w:sz="8" w:color="0063A6"/>
              <w:right w:val="single" w:sz="8" w:color="0063A6"/>
            </w:tcBorders>
            <w:gridSpan w:val="3"/>
            <w:shd w:val="clear" w:color="auto" w:fill="0063A6"/>
          </w:tcPr>
          <w:p>
            <w:pPr>
              <w:spacing w:after="0"/>
              <w:rPr>
                <w:sz w:val="20"/>
                <w:szCs w:val="20"/>
                <w:color w:val="auto"/>
              </w:rPr>
            </w:pPr>
            <w:r>
              <w:rPr>
                <w:rFonts w:ascii="Arial" w:cs="Arial" w:eastAsia="Arial" w:hAnsi="Arial"/>
                <w:sz w:val="14"/>
                <w:szCs w:val="14"/>
                <w:b w:val="1"/>
                <w:bCs w:val="1"/>
                <w:color w:val="FFFFFF"/>
              </w:rPr>
              <w:t>Description</w:t>
            </w:r>
          </w:p>
        </w:tc>
        <w:tc>
          <w:tcPr>
            <w:tcW w:w="0" w:type="dxa"/>
            <w:vAlign w:val="bottom"/>
          </w:tcPr>
          <w:p>
            <w:pPr>
              <w:spacing w:after="0"/>
              <w:rPr>
                <w:sz w:val="1"/>
                <w:szCs w:val="1"/>
                <w:color w:val="auto"/>
              </w:rPr>
            </w:pPr>
          </w:p>
        </w:tc>
      </w:tr>
      <w:tr>
        <w:trPr>
          <w:trHeight w:val="276"/>
        </w:trPr>
        <w:tc>
          <w:tcPr>
            <w:tcW w:w="310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Annual Award</w:t>
            </w:r>
          </w:p>
        </w:tc>
        <w:tc>
          <w:tcPr>
            <w:tcW w:w="40" w:type="dxa"/>
            <w:vAlign w:val="bottom"/>
          </w:tcPr>
          <w:p>
            <w:pPr>
              <w:spacing w:after="0"/>
              <w:rPr>
                <w:sz w:val="24"/>
                <w:szCs w:val="24"/>
                <w:color w:val="auto"/>
              </w:rPr>
            </w:pPr>
          </w:p>
        </w:tc>
        <w:tc>
          <w:tcPr>
            <w:tcW w:w="8120" w:type="dxa"/>
            <w:vAlign w:val="bottom"/>
            <w:tcBorders>
              <w:right w:val="single" w:sz="8" w:color="0063A6"/>
            </w:tcBorders>
            <w:gridSpan w:val="3"/>
            <w:vMerge w:val="restart"/>
          </w:tcPr>
          <w:p>
            <w:pPr>
              <w:spacing w:after="0"/>
              <w:rPr>
                <w:sz w:val="20"/>
                <w:szCs w:val="20"/>
                <w:color w:val="auto"/>
              </w:rPr>
            </w:pPr>
            <w:r>
              <w:rPr>
                <w:rFonts w:ascii="Arial" w:cs="Arial" w:eastAsia="Arial" w:hAnsi="Arial"/>
                <w:sz w:val="16"/>
                <w:szCs w:val="16"/>
                <w:color w:val="auto"/>
              </w:rPr>
              <w:t>Each non-employee director will automatically receive, on the date of each annual meeting of stockholders</w:t>
            </w:r>
          </w:p>
        </w:tc>
        <w:tc>
          <w:tcPr>
            <w:tcW w:w="0" w:type="dxa"/>
            <w:vAlign w:val="bottom"/>
          </w:tcPr>
          <w:p>
            <w:pPr>
              <w:spacing w:after="0"/>
              <w:rPr>
                <w:sz w:val="1"/>
                <w:szCs w:val="1"/>
                <w:color w:val="auto"/>
              </w:rPr>
            </w:pPr>
          </w:p>
        </w:tc>
      </w:tr>
      <w:tr>
        <w:trPr>
          <w:trHeight w:val="74"/>
        </w:trPr>
        <w:tc>
          <w:tcPr>
            <w:tcW w:w="3100" w:type="dxa"/>
            <w:vAlign w:val="bottom"/>
            <w:tcBorders>
              <w:left w:val="single" w:sz="8" w:color="0063A6"/>
              <w:right w:val="single" w:sz="8" w:color="0063A6"/>
            </w:tcBorders>
          </w:tcPr>
          <w:p>
            <w:pPr>
              <w:spacing w:after="0"/>
              <w:rPr>
                <w:sz w:val="6"/>
                <w:szCs w:val="6"/>
                <w:color w:val="auto"/>
              </w:rPr>
            </w:pPr>
          </w:p>
        </w:tc>
        <w:tc>
          <w:tcPr>
            <w:tcW w:w="40" w:type="dxa"/>
            <w:vAlign w:val="bottom"/>
          </w:tcPr>
          <w:p>
            <w:pPr>
              <w:spacing w:after="0"/>
              <w:rPr>
                <w:sz w:val="6"/>
                <w:szCs w:val="6"/>
                <w:color w:val="auto"/>
              </w:rPr>
            </w:pPr>
          </w:p>
        </w:tc>
        <w:tc>
          <w:tcPr>
            <w:tcW w:w="8120" w:type="dxa"/>
            <w:vAlign w:val="bottom"/>
            <w:tcBorders>
              <w:right w:val="single" w:sz="8" w:color="0063A6"/>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following the effective date of the director compensation policy, an annual award of RSUs, each of which we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refer to as an Annual Award.</w:t>
            </w:r>
          </w:p>
        </w:tc>
        <w:tc>
          <w:tcPr>
            <w:tcW w:w="0" w:type="dxa"/>
            <w:vAlign w:val="bottom"/>
          </w:tcPr>
          <w:p>
            <w:pPr>
              <w:spacing w:after="0"/>
              <w:rPr>
                <w:sz w:val="1"/>
                <w:szCs w:val="1"/>
                <w:color w:val="auto"/>
              </w:rPr>
            </w:pPr>
          </w:p>
        </w:tc>
      </w:tr>
      <w:tr>
        <w:trPr>
          <w:trHeight w:val="258"/>
        </w:trPr>
        <w:tc>
          <w:tcPr>
            <w:tcW w:w="3100" w:type="dxa"/>
            <w:vAlign w:val="bottom"/>
            <w:tcBorders>
              <w:left w:val="single" w:sz="8" w:color="0063A6"/>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Number of Shares</w:t>
            </w:r>
          </w:p>
        </w:tc>
        <w:tc>
          <w:tcPr>
            <w:tcW w:w="0" w:type="dxa"/>
            <w:vAlign w:val="bottom"/>
          </w:tcPr>
          <w:p>
            <w:pPr>
              <w:spacing w:after="0"/>
              <w:rPr>
                <w:sz w:val="1"/>
                <w:szCs w:val="1"/>
                <w:color w:val="auto"/>
              </w:rPr>
            </w:pPr>
          </w:p>
        </w:tc>
      </w:tr>
      <w:tr>
        <w:trPr>
          <w:trHeight w:val="20"/>
        </w:trPr>
        <w:tc>
          <w:tcPr>
            <w:tcW w:w="3100" w:type="dxa"/>
            <w:vAlign w:val="bottom"/>
            <w:tcBorders>
              <w:left w:val="single" w:sz="8" w:color="0063A6"/>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0" w:type="dxa"/>
            <w:vAlign w:val="bottom"/>
            <w:tcBorders>
              <w:right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00" w:type="dxa"/>
            <w:vAlign w:val="bottom"/>
            <w:tcBorders>
              <w:left w:val="single" w:sz="8" w:color="0063A6"/>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Annual Award covers a number of shares of our Class A common stock having a grant date fair value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(determined in accordance with GAAP) of $250,000, rounded to the nearest whole share.</w:t>
            </w:r>
          </w:p>
        </w:tc>
        <w:tc>
          <w:tcPr>
            <w:tcW w:w="0" w:type="dxa"/>
            <w:vAlign w:val="bottom"/>
          </w:tcPr>
          <w:p>
            <w:pPr>
              <w:spacing w:after="0"/>
              <w:rPr>
                <w:sz w:val="1"/>
                <w:szCs w:val="1"/>
                <w:color w:val="auto"/>
              </w:rPr>
            </w:pPr>
          </w:p>
        </w:tc>
      </w:tr>
      <w:tr>
        <w:trPr>
          <w:trHeight w:val="259"/>
        </w:trPr>
        <w:tc>
          <w:tcPr>
            <w:tcW w:w="3100" w:type="dxa"/>
            <w:vAlign w:val="bottom"/>
            <w:tcBorders>
              <w:left w:val="single" w:sz="8" w:color="0063A6"/>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Vesting of Award</w:t>
            </w:r>
          </w:p>
        </w:tc>
        <w:tc>
          <w:tcPr>
            <w:tcW w:w="0" w:type="dxa"/>
            <w:vAlign w:val="bottom"/>
          </w:tcPr>
          <w:p>
            <w:pPr>
              <w:spacing w:after="0"/>
              <w:rPr>
                <w:sz w:val="1"/>
                <w:szCs w:val="1"/>
                <w:color w:val="auto"/>
              </w:rPr>
            </w:pPr>
          </w:p>
        </w:tc>
      </w:tr>
      <w:tr>
        <w:trPr>
          <w:trHeight w:val="20"/>
        </w:trPr>
        <w:tc>
          <w:tcPr>
            <w:tcW w:w="3100" w:type="dxa"/>
            <w:vAlign w:val="bottom"/>
            <w:tcBorders>
              <w:left w:val="single" w:sz="8" w:color="0063A6"/>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900" w:type="dxa"/>
            <w:vAlign w:val="bottom"/>
            <w:tcBorders>
              <w:right w:val="single" w:sz="8" w:color="0063A6"/>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100" w:type="dxa"/>
            <w:vAlign w:val="bottom"/>
            <w:tcBorders>
              <w:left w:val="single" w:sz="8" w:color="0063A6"/>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Annual Award will vest on the one-year anniversary of the grant date of the Annual Award or, if earlier, the</w:t>
            </w: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day before our annual meeting of stockholders that follows the grant date of the Annual Award, subject to the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non-employee director continuing to provide services to us through the applicable vesting date.</w:t>
            </w:r>
          </w:p>
        </w:tc>
        <w:tc>
          <w:tcPr>
            <w:tcW w:w="0" w:type="dxa"/>
            <w:vAlign w:val="bottom"/>
          </w:tcPr>
          <w:p>
            <w:pPr>
              <w:spacing w:after="0"/>
              <w:rPr>
                <w:sz w:val="1"/>
                <w:szCs w:val="1"/>
                <w:color w:val="auto"/>
              </w:rPr>
            </w:pPr>
          </w:p>
        </w:tc>
      </w:tr>
      <w:tr>
        <w:trPr>
          <w:trHeight w:val="70"/>
        </w:trPr>
        <w:tc>
          <w:tcPr>
            <w:tcW w:w="3100" w:type="dxa"/>
            <w:vAlign w:val="bottom"/>
            <w:tcBorders>
              <w:left w:val="single" w:sz="8" w:color="0063A6"/>
              <w:bottom w:val="single" w:sz="8" w:color="0063A6"/>
              <w:right w:val="single" w:sz="8" w:color="0063A6"/>
            </w:tcBorders>
          </w:tcPr>
          <w:p>
            <w:pPr>
              <w:spacing w:after="0"/>
              <w:rPr>
                <w:sz w:val="6"/>
                <w:szCs w:val="6"/>
                <w:color w:val="auto"/>
              </w:rPr>
            </w:pPr>
          </w:p>
        </w:tc>
        <w:tc>
          <w:tcPr>
            <w:tcW w:w="40" w:type="dxa"/>
            <w:vAlign w:val="bottom"/>
            <w:tcBorders>
              <w:bottom w:val="single" w:sz="8" w:color="0063A6"/>
            </w:tcBorders>
          </w:tcPr>
          <w:p>
            <w:pPr>
              <w:spacing w:after="0"/>
              <w:rPr>
                <w:sz w:val="6"/>
                <w:szCs w:val="6"/>
                <w:color w:val="auto"/>
              </w:rPr>
            </w:pPr>
          </w:p>
        </w:tc>
        <w:tc>
          <w:tcPr>
            <w:tcW w:w="1220" w:type="dxa"/>
            <w:vAlign w:val="bottom"/>
            <w:tcBorders>
              <w:bottom w:val="single" w:sz="8" w:color="0063A6"/>
            </w:tcBorders>
          </w:tcPr>
          <w:p>
            <w:pPr>
              <w:spacing w:after="0"/>
              <w:rPr>
                <w:sz w:val="6"/>
                <w:szCs w:val="6"/>
                <w:color w:val="auto"/>
              </w:rPr>
            </w:pPr>
          </w:p>
        </w:tc>
        <w:tc>
          <w:tcPr>
            <w:tcW w:w="100" w:type="dxa"/>
            <w:vAlign w:val="bottom"/>
            <w:tcBorders>
              <w:bottom w:val="single" w:sz="8" w:color="0063A6"/>
            </w:tcBorders>
          </w:tcPr>
          <w:p>
            <w:pPr>
              <w:spacing w:after="0"/>
              <w:rPr>
                <w:sz w:val="6"/>
                <w:szCs w:val="6"/>
                <w:color w:val="auto"/>
              </w:rPr>
            </w:pPr>
          </w:p>
        </w:tc>
        <w:tc>
          <w:tcPr>
            <w:tcW w:w="6800" w:type="dxa"/>
            <w:vAlign w:val="bottom"/>
            <w:tcBorders>
              <w:bottom w:val="single" w:sz="8" w:color="0063A6"/>
              <w:right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10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Deferral of Awards</w:t>
            </w:r>
          </w:p>
        </w:tc>
        <w:tc>
          <w:tcPr>
            <w:tcW w:w="40" w:type="dxa"/>
            <w:vAlign w:val="bottom"/>
          </w:tcPr>
          <w:p>
            <w:pPr>
              <w:spacing w:after="0"/>
              <w:rPr>
                <w:sz w:val="19"/>
                <w:szCs w:val="19"/>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non-employee director may elect to defer the delivery of the settlement of any Initial Award or Annual</w:t>
            </w: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Award that would otherwise be delivered to such non-employee director on or following the date such award</w:t>
            </w:r>
          </w:p>
        </w:tc>
        <w:tc>
          <w:tcPr>
            <w:tcW w:w="0" w:type="dxa"/>
            <w:vAlign w:val="bottom"/>
          </w:tcPr>
          <w:p>
            <w:pPr>
              <w:spacing w:after="0"/>
              <w:rPr>
                <w:sz w:val="1"/>
                <w:szCs w:val="1"/>
                <w:color w:val="auto"/>
              </w:rPr>
            </w:pPr>
          </w:p>
        </w:tc>
      </w:tr>
      <w:tr>
        <w:trPr>
          <w:trHeight w:val="176"/>
        </w:trPr>
        <w:tc>
          <w:tcPr>
            <w:tcW w:w="3100" w:type="dxa"/>
            <w:vAlign w:val="bottom"/>
            <w:tcBorders>
              <w:left w:val="single" w:sz="8" w:color="0063A6"/>
              <w:right w:val="single" w:sz="8" w:color="0063A6"/>
            </w:tcBorders>
          </w:tcPr>
          <w:p>
            <w:pPr>
              <w:spacing w:after="0"/>
              <w:rPr>
                <w:sz w:val="15"/>
                <w:szCs w:val="15"/>
                <w:color w:val="auto"/>
              </w:rPr>
            </w:pPr>
          </w:p>
        </w:tc>
        <w:tc>
          <w:tcPr>
            <w:tcW w:w="40" w:type="dxa"/>
            <w:vAlign w:val="bottom"/>
          </w:tcPr>
          <w:p>
            <w:pPr>
              <w:spacing w:after="0"/>
              <w:rPr>
                <w:sz w:val="15"/>
                <w:szCs w:val="15"/>
                <w:color w:val="auto"/>
              </w:rPr>
            </w:pPr>
          </w:p>
        </w:tc>
        <w:tc>
          <w:tcPr>
            <w:tcW w:w="8120" w:type="dxa"/>
            <w:vAlign w:val="bottom"/>
            <w:tcBorders>
              <w:right w:val="single" w:sz="8" w:color="0063A6"/>
            </w:tcBorders>
            <w:gridSpan w:val="3"/>
          </w:tcPr>
          <w:p>
            <w:pPr>
              <w:spacing w:after="0" w:line="175" w:lineRule="exact"/>
              <w:rPr>
                <w:sz w:val="20"/>
                <w:szCs w:val="20"/>
                <w:color w:val="auto"/>
              </w:rPr>
            </w:pPr>
            <w:r>
              <w:rPr>
                <w:rFonts w:ascii="Arial" w:cs="Arial" w:eastAsia="Arial" w:hAnsi="Arial"/>
                <w:sz w:val="16"/>
                <w:szCs w:val="16"/>
                <w:color w:val="auto"/>
              </w:rPr>
              <w:t>vests pursuant to the terms of a deferral election such non-employee director makes in accordance with the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director compensation policy.</w:t>
            </w:r>
          </w:p>
        </w:tc>
        <w:tc>
          <w:tcPr>
            <w:tcW w:w="0" w:type="dxa"/>
            <w:vAlign w:val="bottom"/>
          </w:tcPr>
          <w:p>
            <w:pPr>
              <w:spacing w:after="0"/>
              <w:rPr>
                <w:sz w:val="1"/>
                <w:szCs w:val="1"/>
                <w:color w:val="auto"/>
              </w:rPr>
            </w:pPr>
          </w:p>
        </w:tc>
      </w:tr>
      <w:tr>
        <w:trPr>
          <w:trHeight w:val="83"/>
        </w:trPr>
        <w:tc>
          <w:tcPr>
            <w:tcW w:w="3100" w:type="dxa"/>
            <w:vAlign w:val="bottom"/>
            <w:tcBorders>
              <w:left w:val="single" w:sz="8" w:color="0063A6"/>
              <w:bottom w:val="single" w:sz="8" w:color="0063A6"/>
              <w:right w:val="single" w:sz="8" w:color="0063A6"/>
            </w:tcBorders>
          </w:tcPr>
          <w:p>
            <w:pPr>
              <w:spacing w:after="0"/>
              <w:rPr>
                <w:sz w:val="7"/>
                <w:szCs w:val="7"/>
                <w:color w:val="auto"/>
              </w:rPr>
            </w:pPr>
          </w:p>
        </w:tc>
        <w:tc>
          <w:tcPr>
            <w:tcW w:w="40" w:type="dxa"/>
            <w:vAlign w:val="bottom"/>
            <w:tcBorders>
              <w:bottom w:val="single" w:sz="8" w:color="0063A6"/>
            </w:tcBorders>
          </w:tcPr>
          <w:p>
            <w:pPr>
              <w:spacing w:after="0"/>
              <w:rPr>
                <w:sz w:val="7"/>
                <w:szCs w:val="7"/>
                <w:color w:val="auto"/>
              </w:rPr>
            </w:pPr>
          </w:p>
        </w:tc>
        <w:tc>
          <w:tcPr>
            <w:tcW w:w="1220" w:type="dxa"/>
            <w:vAlign w:val="bottom"/>
            <w:tcBorders>
              <w:bottom w:val="single" w:sz="8" w:color="0063A6"/>
            </w:tcBorders>
          </w:tcPr>
          <w:p>
            <w:pPr>
              <w:spacing w:after="0"/>
              <w:rPr>
                <w:sz w:val="7"/>
                <w:szCs w:val="7"/>
                <w:color w:val="auto"/>
              </w:rPr>
            </w:pPr>
          </w:p>
        </w:tc>
        <w:tc>
          <w:tcPr>
            <w:tcW w:w="100" w:type="dxa"/>
            <w:vAlign w:val="bottom"/>
            <w:tcBorders>
              <w:bottom w:val="single" w:sz="8" w:color="0063A6"/>
            </w:tcBorders>
          </w:tcPr>
          <w:p>
            <w:pPr>
              <w:spacing w:after="0"/>
              <w:rPr>
                <w:sz w:val="7"/>
                <w:szCs w:val="7"/>
                <w:color w:val="auto"/>
              </w:rPr>
            </w:pPr>
          </w:p>
        </w:tc>
        <w:tc>
          <w:tcPr>
            <w:tcW w:w="6800" w:type="dxa"/>
            <w:vAlign w:val="bottom"/>
            <w:tcBorders>
              <w:bottom w:val="single" w:sz="8" w:color="0063A6"/>
              <w:right w:val="single" w:sz="8" w:color="0063A6"/>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0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Change in Control</w:t>
            </w:r>
          </w:p>
        </w:tc>
        <w:tc>
          <w:tcPr>
            <w:tcW w:w="40" w:type="dxa"/>
            <w:vAlign w:val="bottom"/>
          </w:tcPr>
          <w:p>
            <w:pPr>
              <w:spacing w:after="0"/>
              <w:rPr>
                <w:sz w:val="19"/>
                <w:szCs w:val="19"/>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In the event of a “change in control” (as defined in our 2018 Equity Incentive Plan), each non-employee director</w:t>
            </w: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will fully vest in his or her outstanding company equity awards, including any Initial Award or Annual Award,</w:t>
            </w:r>
          </w:p>
        </w:tc>
        <w:tc>
          <w:tcPr>
            <w:tcW w:w="0" w:type="dxa"/>
            <w:vAlign w:val="bottom"/>
          </w:tcPr>
          <w:p>
            <w:pPr>
              <w:spacing w:after="0"/>
              <w:rPr>
                <w:sz w:val="1"/>
                <w:szCs w:val="1"/>
                <w:color w:val="auto"/>
              </w:rPr>
            </w:pPr>
          </w:p>
        </w:tc>
      </w:tr>
      <w:tr>
        <w:trPr>
          <w:trHeight w:val="224"/>
        </w:trPr>
        <w:tc>
          <w:tcPr>
            <w:tcW w:w="3100" w:type="dxa"/>
            <w:vAlign w:val="bottom"/>
            <w:tcBorders>
              <w:left w:val="single" w:sz="8" w:color="0063A6"/>
              <w:bottom w:val="single" w:sz="8" w:color="0063A6"/>
              <w:right w:val="single" w:sz="8" w:color="0063A6"/>
            </w:tcBorders>
          </w:tcPr>
          <w:p>
            <w:pPr>
              <w:spacing w:after="0"/>
              <w:rPr>
                <w:sz w:val="19"/>
                <w:szCs w:val="19"/>
                <w:color w:val="auto"/>
              </w:rPr>
            </w:pPr>
          </w:p>
        </w:tc>
        <w:tc>
          <w:tcPr>
            <w:tcW w:w="40" w:type="dxa"/>
            <w:vAlign w:val="bottom"/>
            <w:tcBorders>
              <w:bottom w:val="single" w:sz="8" w:color="0063A6"/>
            </w:tcBorders>
          </w:tcPr>
          <w:p>
            <w:pPr>
              <w:spacing w:after="0"/>
              <w:rPr>
                <w:sz w:val="19"/>
                <w:szCs w:val="19"/>
                <w:color w:val="auto"/>
              </w:rPr>
            </w:pPr>
          </w:p>
        </w:tc>
        <w:tc>
          <w:tcPr>
            <w:tcW w:w="8120" w:type="dxa"/>
            <w:vAlign w:val="bottom"/>
            <w:tcBorders>
              <w:bottom w:val="single" w:sz="8" w:color="0063A6"/>
              <w:right w:val="single" w:sz="8" w:color="0063A6"/>
            </w:tcBorders>
            <w:gridSpan w:val="3"/>
          </w:tcPr>
          <w:p>
            <w:pPr>
              <w:spacing w:after="0"/>
              <w:rPr>
                <w:sz w:val="20"/>
                <w:szCs w:val="20"/>
                <w:color w:val="auto"/>
              </w:rPr>
            </w:pPr>
            <w:r>
              <w:rPr>
                <w:rFonts w:ascii="Arial" w:cs="Arial" w:eastAsia="Arial" w:hAnsi="Arial"/>
                <w:sz w:val="16"/>
                <w:szCs w:val="16"/>
                <w:color w:val="auto"/>
              </w:rPr>
              <w:t>provided that the non-employee director continues to be a non-employee director through such date.</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2025 Director Compensation</w:t>
      </w:r>
    </w:p>
    <w:p>
      <w:pPr>
        <w:spacing w:after="0" w:line="8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following table provides information regarding compensation of our non-employee directors for their service as directors, for the fiscal year ended December 31, 2025. Directors who are also our employees receive no additional compensation for their service as directors. During 2025, Mr. Houston was an employee and executive officer of the company and, therefore, did not receive compensation as a director. See the section titled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for additional information regarding Mr. Houston’s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64770</wp:posOffset>
            </wp:positionV>
            <wp:extent cx="17145" cy="643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643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64770</wp:posOffset>
            </wp:positionV>
            <wp:extent cx="17145" cy="643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643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64770</wp:posOffset>
            </wp:positionV>
            <wp:extent cx="17145"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64770</wp:posOffset>
            </wp:positionV>
            <wp:extent cx="17145" cy="643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6432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54"/>
        </w:trPr>
        <w:tc>
          <w:tcPr>
            <w:tcW w:w="3740" w:type="dxa"/>
            <w:vAlign w:val="bottom"/>
            <w:shd w:val="clear" w:color="auto" w:fill="0063A6"/>
          </w:tcPr>
          <w:p>
            <w:pPr>
              <w:spacing w:after="0"/>
              <w:rPr>
                <w:sz w:val="4"/>
                <w:szCs w:val="4"/>
                <w:color w:val="auto"/>
              </w:rPr>
            </w:pPr>
          </w:p>
        </w:tc>
        <w:tc>
          <w:tcPr>
            <w:tcW w:w="178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Fees Paid</w:t>
            </w:r>
          </w:p>
        </w:tc>
        <w:tc>
          <w:tcPr>
            <w:tcW w:w="20" w:type="dxa"/>
            <w:vAlign w:val="bottom"/>
          </w:tcPr>
          <w:p>
            <w:pPr>
              <w:spacing w:after="0"/>
              <w:rPr>
                <w:sz w:val="4"/>
                <w:szCs w:val="4"/>
                <w:color w:val="auto"/>
              </w:rPr>
            </w:pPr>
          </w:p>
        </w:tc>
        <w:tc>
          <w:tcPr>
            <w:tcW w:w="1900" w:type="dxa"/>
            <w:vAlign w:val="bottom"/>
            <w:shd w:val="clear" w:color="auto" w:fill="0063A6"/>
          </w:tcPr>
          <w:p>
            <w:pPr>
              <w:spacing w:after="0"/>
              <w:rPr>
                <w:sz w:val="4"/>
                <w:szCs w:val="4"/>
                <w:color w:val="auto"/>
              </w:rPr>
            </w:pPr>
          </w:p>
        </w:tc>
        <w:tc>
          <w:tcPr>
            <w:tcW w:w="2180" w:type="dxa"/>
            <w:vAlign w:val="bottom"/>
            <w:shd w:val="clear" w:color="auto" w:fill="0063A6"/>
          </w:tcPr>
          <w:p>
            <w:pPr>
              <w:spacing w:after="0"/>
              <w:rPr>
                <w:sz w:val="4"/>
                <w:szCs w:val="4"/>
                <w:color w:val="auto"/>
              </w:rPr>
            </w:pPr>
          </w:p>
        </w:tc>
        <w:tc>
          <w:tcPr>
            <w:tcW w:w="1620" w:type="dxa"/>
            <w:vAlign w:val="bottom"/>
            <w:shd w:val="clear" w:color="auto" w:fill="0063A6"/>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0063A6"/>
          </w:tcPr>
          <w:p>
            <w:pPr>
              <w:spacing w:after="0"/>
              <w:rPr>
                <w:sz w:val="15"/>
                <w:szCs w:val="15"/>
                <w:color w:val="auto"/>
              </w:rPr>
            </w:pPr>
          </w:p>
        </w:tc>
        <w:tc>
          <w:tcPr>
            <w:tcW w:w="1780" w:type="dxa"/>
            <w:vAlign w:val="bottom"/>
            <w:vMerge w:val="continue"/>
            <w:shd w:val="clear" w:color="auto" w:fill="0063A6"/>
          </w:tcPr>
          <w:p>
            <w:pPr>
              <w:spacing w:after="0"/>
              <w:rPr>
                <w:sz w:val="15"/>
                <w:szCs w:val="15"/>
                <w:color w:val="auto"/>
              </w:rPr>
            </w:pPr>
          </w:p>
        </w:tc>
        <w:tc>
          <w:tcPr>
            <w:tcW w:w="20" w:type="dxa"/>
            <w:vAlign w:val="bottom"/>
            <w:shd w:val="clear" w:color="auto" w:fill="0063A6"/>
          </w:tcPr>
          <w:p>
            <w:pPr>
              <w:spacing w:after="0"/>
              <w:rPr>
                <w:sz w:val="15"/>
                <w:szCs w:val="15"/>
                <w:color w:val="auto"/>
              </w:rPr>
            </w:pPr>
          </w:p>
        </w:tc>
        <w:tc>
          <w:tcPr>
            <w:tcW w:w="1900" w:type="dxa"/>
            <w:vAlign w:val="bottom"/>
            <w:shd w:val="clear" w:color="auto" w:fill="0063A6"/>
          </w:tcPr>
          <w:p>
            <w:pPr>
              <w:spacing w:after="0"/>
              <w:rPr>
                <w:sz w:val="15"/>
                <w:szCs w:val="15"/>
                <w:color w:val="auto"/>
              </w:rPr>
            </w:pPr>
          </w:p>
        </w:tc>
        <w:tc>
          <w:tcPr>
            <w:tcW w:w="2180" w:type="dxa"/>
            <w:vAlign w:val="bottom"/>
            <w:shd w:val="clear" w:color="auto" w:fill="0063A6"/>
          </w:tcPr>
          <w:p>
            <w:pPr>
              <w:spacing w:after="0"/>
              <w:rPr>
                <w:sz w:val="15"/>
                <w:szCs w:val="15"/>
                <w:color w:val="auto"/>
              </w:rPr>
            </w:pPr>
          </w:p>
        </w:tc>
        <w:tc>
          <w:tcPr>
            <w:tcW w:w="1620" w:type="dxa"/>
            <w:vAlign w:val="bottom"/>
            <w:shd w:val="clear" w:color="auto" w:fill="0063A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0063A6"/>
          </w:tcPr>
          <w:p>
            <w:pPr>
              <w:spacing w:after="0"/>
              <w:rPr>
                <w:sz w:val="14"/>
                <w:szCs w:val="14"/>
                <w:color w:val="auto"/>
              </w:rPr>
            </w:pPr>
          </w:p>
        </w:tc>
        <w:tc>
          <w:tcPr>
            <w:tcW w:w="17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9"/>
              </w:rPr>
              <w:t>or</w:t>
            </w:r>
          </w:p>
        </w:tc>
        <w:tc>
          <w:tcPr>
            <w:tcW w:w="20" w:type="dxa"/>
            <w:vAlign w:val="bottom"/>
            <w:shd w:val="clear" w:color="auto" w:fill="0063A6"/>
          </w:tcPr>
          <w:p>
            <w:pPr>
              <w:spacing w:after="0"/>
              <w:rPr>
                <w:sz w:val="14"/>
                <w:szCs w:val="14"/>
                <w:color w:val="auto"/>
              </w:rPr>
            </w:pPr>
          </w:p>
        </w:tc>
        <w:tc>
          <w:tcPr>
            <w:tcW w:w="1900" w:type="dxa"/>
            <w:vAlign w:val="bottom"/>
            <w:shd w:val="clear" w:color="auto" w:fill="0063A6"/>
          </w:tcPr>
          <w:p>
            <w:pPr>
              <w:spacing w:after="0"/>
              <w:rPr>
                <w:sz w:val="14"/>
                <w:szCs w:val="14"/>
                <w:color w:val="auto"/>
              </w:rPr>
            </w:pPr>
          </w:p>
        </w:tc>
        <w:tc>
          <w:tcPr>
            <w:tcW w:w="2180" w:type="dxa"/>
            <w:vAlign w:val="bottom"/>
            <w:shd w:val="clear" w:color="auto" w:fill="0063A6"/>
          </w:tcPr>
          <w:p>
            <w:pPr>
              <w:spacing w:after="0"/>
              <w:rPr>
                <w:sz w:val="14"/>
                <w:szCs w:val="14"/>
                <w:color w:val="auto"/>
              </w:rPr>
            </w:pPr>
          </w:p>
        </w:tc>
        <w:tc>
          <w:tcPr>
            <w:tcW w:w="16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40" w:type="dxa"/>
            <w:vAlign w:val="bottom"/>
            <w:shd w:val="clear" w:color="auto" w:fill="0063A6"/>
          </w:tcPr>
          <w:p>
            <w:pPr>
              <w:spacing w:after="0"/>
              <w:rPr>
                <w:sz w:val="13"/>
                <w:szCs w:val="13"/>
                <w:color w:val="auto"/>
              </w:rPr>
            </w:pPr>
          </w:p>
        </w:tc>
        <w:tc>
          <w:tcPr>
            <w:tcW w:w="178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Earned in</w:t>
            </w:r>
          </w:p>
        </w:tc>
        <w:tc>
          <w:tcPr>
            <w:tcW w:w="20" w:type="dxa"/>
            <w:vAlign w:val="bottom"/>
            <w:shd w:val="clear" w:color="auto" w:fill="0063A6"/>
          </w:tcPr>
          <w:p>
            <w:pPr>
              <w:spacing w:after="0"/>
              <w:rPr>
                <w:sz w:val="13"/>
                <w:szCs w:val="13"/>
                <w:color w:val="auto"/>
              </w:rPr>
            </w:pPr>
          </w:p>
        </w:tc>
        <w:tc>
          <w:tcPr>
            <w:tcW w:w="1900" w:type="dxa"/>
            <w:vAlign w:val="bottom"/>
            <w:shd w:val="clear" w:color="auto" w:fill="0063A6"/>
          </w:tcPr>
          <w:p>
            <w:pPr>
              <w:jc w:val="center"/>
              <w:ind w:right="64"/>
              <w:spacing w:after="0" w:line="159" w:lineRule="exact"/>
              <w:rPr>
                <w:sz w:val="20"/>
                <w:szCs w:val="20"/>
                <w:color w:val="auto"/>
              </w:rPr>
            </w:pPr>
            <w:r>
              <w:rPr>
                <w:rFonts w:ascii="Arial" w:cs="Arial" w:eastAsia="Arial" w:hAnsi="Arial"/>
                <w:sz w:val="14"/>
                <w:szCs w:val="14"/>
                <w:b w:val="1"/>
                <w:bCs w:val="1"/>
                <w:color w:val="FFFFFF"/>
              </w:rPr>
              <w:t>Stock</w:t>
            </w:r>
          </w:p>
        </w:tc>
        <w:tc>
          <w:tcPr>
            <w:tcW w:w="218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All Other</w:t>
            </w:r>
          </w:p>
        </w:tc>
        <w:tc>
          <w:tcPr>
            <w:tcW w:w="162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17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Cash ($)</w:t>
            </w:r>
          </w:p>
        </w:tc>
        <w:tc>
          <w:tcPr>
            <w:tcW w:w="20" w:type="dxa"/>
            <w:vAlign w:val="bottom"/>
            <w:shd w:val="clear" w:color="auto" w:fill="0063A6"/>
          </w:tcPr>
          <w:p>
            <w:pPr>
              <w:spacing w:after="0"/>
              <w:rPr>
                <w:sz w:val="18"/>
                <w:szCs w:val="18"/>
                <w:color w:val="auto"/>
              </w:rPr>
            </w:pPr>
          </w:p>
        </w:tc>
        <w:tc>
          <w:tcPr>
            <w:tcW w:w="1900" w:type="dxa"/>
            <w:vAlign w:val="bottom"/>
            <w:shd w:val="clear" w:color="auto" w:fill="0063A6"/>
          </w:tcPr>
          <w:p>
            <w:pPr>
              <w:jc w:val="center"/>
              <w:ind w:right="64"/>
              <w:spacing w:after="0"/>
              <w:rPr>
                <w:sz w:val="20"/>
                <w:szCs w:val="20"/>
                <w:color w:val="auto"/>
              </w:rPr>
            </w:pPr>
            <w:r>
              <w:rPr>
                <w:rFonts w:ascii="Arial" w:cs="Arial" w:eastAsia="Arial" w:hAnsi="Arial"/>
                <w:sz w:val="14"/>
                <w:szCs w:val="14"/>
                <w:b w:val="1"/>
                <w:bCs w:val="1"/>
                <w:color w:val="FFFFFF"/>
                <w:w w:val="95"/>
              </w:rPr>
              <w:t>Awards ($)</w:t>
            </w:r>
            <w:r>
              <w:rPr>
                <w:rFonts w:ascii="Arial" w:cs="Arial" w:eastAsia="Arial" w:hAnsi="Arial"/>
                <w:sz w:val="18"/>
                <w:szCs w:val="18"/>
                <w:b w:val="1"/>
                <w:bCs w:val="1"/>
                <w:color w:val="FFFFFF"/>
                <w:w w:val="95"/>
                <w:vertAlign w:val="superscript"/>
              </w:rPr>
              <w:t>(1)(2)</w:t>
            </w:r>
          </w:p>
        </w:tc>
        <w:tc>
          <w:tcPr>
            <w:tcW w:w="2180" w:type="dxa"/>
            <w:vAlign w:val="bottom"/>
            <w:shd w:val="clear" w:color="auto" w:fill="0063A6"/>
          </w:tcPr>
          <w:p>
            <w:pPr>
              <w:jc w:val="center"/>
              <w:ind w:left="1"/>
              <w:spacing w:after="0"/>
              <w:rPr>
                <w:sz w:val="20"/>
                <w:szCs w:val="20"/>
                <w:color w:val="auto"/>
              </w:rPr>
            </w:pPr>
            <w:r>
              <w:rPr>
                <w:rFonts w:ascii="Arial" w:cs="Arial" w:eastAsia="Arial" w:hAnsi="Arial"/>
                <w:sz w:val="14"/>
                <w:szCs w:val="14"/>
                <w:b w:val="1"/>
                <w:bCs w:val="1"/>
                <w:color w:val="FFFFFF"/>
              </w:rPr>
              <w:t>Compensation ($)</w:t>
            </w:r>
          </w:p>
        </w:tc>
        <w:tc>
          <w:tcPr>
            <w:tcW w:w="1620" w:type="dxa"/>
            <w:vAlign w:val="bottom"/>
            <w:shd w:val="clear" w:color="auto" w:fill="0063A6"/>
          </w:tcPr>
          <w:p>
            <w:pPr>
              <w:ind w:left="460"/>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Lisa Campbell</w:t>
            </w:r>
          </w:p>
        </w:tc>
        <w:tc>
          <w:tcPr>
            <w:tcW w:w="1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84,391</w:t>
            </w:r>
          </w:p>
        </w:tc>
        <w:tc>
          <w:tcPr>
            <w:tcW w:w="1920" w:type="dxa"/>
            <w:vAlign w:val="bottom"/>
            <w:tcBorders>
              <w:bottom w:val="single" w:sz="8" w:color="F2F2F2"/>
            </w:tcBorders>
            <w:gridSpan w:val="2"/>
            <w:shd w:val="clear" w:color="auto" w:fill="F2F2F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334,388</w:t>
            </w:r>
          </w:p>
        </w:tc>
        <w:tc>
          <w:tcPr>
            <w:tcW w:w="0" w:type="dxa"/>
            <w:vAlign w:val="bottom"/>
          </w:tcPr>
          <w:p>
            <w:pPr>
              <w:spacing w:after="0"/>
              <w:rPr>
                <w:sz w:val="1"/>
                <w:szCs w:val="1"/>
                <w:color w:val="auto"/>
              </w:rPr>
            </w:pPr>
          </w:p>
        </w:tc>
      </w:tr>
      <w:tr>
        <w:trPr>
          <w:trHeight w:val="215"/>
        </w:trPr>
        <w:tc>
          <w:tcPr>
            <w:tcW w:w="3740" w:type="dxa"/>
            <w:vAlign w:val="bottom"/>
          </w:tcPr>
          <w:p>
            <w:pPr>
              <w:ind w:left="60"/>
              <w:spacing w:after="0"/>
              <w:rPr>
                <w:sz w:val="20"/>
                <w:szCs w:val="20"/>
                <w:color w:val="auto"/>
              </w:rPr>
            </w:pPr>
            <w:r>
              <w:rPr>
                <w:rFonts w:ascii="Arial" w:cs="Arial" w:eastAsia="Arial" w:hAnsi="Arial"/>
                <w:sz w:val="16"/>
                <w:szCs w:val="16"/>
                <w:color w:val="auto"/>
              </w:rPr>
              <w:t>Paul E. Jacobs</w:t>
            </w:r>
          </w:p>
        </w:tc>
        <w:tc>
          <w:tcPr>
            <w:tcW w:w="1780" w:type="dxa"/>
            <w:vAlign w:val="bottom"/>
          </w:tcPr>
          <w:p>
            <w:pPr>
              <w:jc w:val="center"/>
              <w:spacing w:after="0"/>
              <w:rPr>
                <w:sz w:val="20"/>
                <w:szCs w:val="20"/>
                <w:color w:val="auto"/>
              </w:rPr>
            </w:pPr>
            <w:r>
              <w:rPr>
                <w:rFonts w:ascii="Arial" w:cs="Arial" w:eastAsia="Arial" w:hAnsi="Arial"/>
                <w:sz w:val="16"/>
                <w:szCs w:val="16"/>
                <w:color w:val="auto"/>
              </w:rPr>
              <w:t>70,649</w:t>
            </w:r>
          </w:p>
        </w:tc>
        <w:tc>
          <w:tcPr>
            <w:tcW w:w="1920" w:type="dxa"/>
            <w:vAlign w:val="bottom"/>
            <w:gridSpan w:val="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jc w:val="center"/>
              <w:ind w:right="80"/>
              <w:spacing w:after="0"/>
              <w:rPr>
                <w:sz w:val="20"/>
                <w:szCs w:val="20"/>
                <w:color w:val="auto"/>
              </w:rPr>
            </w:pPr>
            <w:r>
              <w:rPr>
                <w:rFonts w:ascii="Arial" w:cs="Arial" w:eastAsia="Arial" w:hAnsi="Arial"/>
                <w:sz w:val="16"/>
                <w:szCs w:val="16"/>
                <w:color w:val="auto"/>
              </w:rPr>
              <w:t>320,646</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Moore</w:t>
            </w:r>
          </w:p>
        </w:tc>
        <w:tc>
          <w:tcPr>
            <w:tcW w:w="1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62,500</w:t>
            </w:r>
          </w:p>
        </w:tc>
        <w:tc>
          <w:tcPr>
            <w:tcW w:w="1920" w:type="dxa"/>
            <w:vAlign w:val="bottom"/>
            <w:tcBorders>
              <w:bottom w:val="single" w:sz="8" w:color="F2F2F2"/>
            </w:tcBorders>
            <w:gridSpan w:val="2"/>
            <w:shd w:val="clear" w:color="auto" w:fill="F2F2F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312,497</w:t>
            </w:r>
          </w:p>
        </w:tc>
        <w:tc>
          <w:tcPr>
            <w:tcW w:w="0" w:type="dxa"/>
            <w:vAlign w:val="bottom"/>
          </w:tcPr>
          <w:p>
            <w:pPr>
              <w:spacing w:after="0"/>
              <w:rPr>
                <w:sz w:val="1"/>
                <w:szCs w:val="1"/>
                <w:color w:val="auto"/>
              </w:rPr>
            </w:pPr>
          </w:p>
        </w:tc>
      </w:tr>
      <w:tr>
        <w:trPr>
          <w:trHeight w:val="215"/>
        </w:trPr>
        <w:tc>
          <w:tcPr>
            <w:tcW w:w="3740" w:type="dxa"/>
            <w:vAlign w:val="bottom"/>
          </w:tcPr>
          <w:p>
            <w:pPr>
              <w:ind w:left="60"/>
              <w:spacing w:after="0"/>
              <w:rPr>
                <w:sz w:val="20"/>
                <w:szCs w:val="20"/>
                <w:color w:val="auto"/>
              </w:rPr>
            </w:pPr>
            <w:r>
              <w:rPr>
                <w:rFonts w:ascii="Arial" w:cs="Arial" w:eastAsia="Arial" w:hAnsi="Arial"/>
                <w:sz w:val="16"/>
                <w:szCs w:val="16"/>
                <w:color w:val="auto"/>
              </w:rPr>
              <w:t>Abhay Parasnis</w:t>
            </w:r>
          </w:p>
        </w:tc>
        <w:tc>
          <w:tcPr>
            <w:tcW w:w="1780" w:type="dxa"/>
            <w:vAlign w:val="bottom"/>
          </w:tcPr>
          <w:p>
            <w:pPr>
              <w:jc w:val="center"/>
              <w:spacing w:after="0"/>
              <w:rPr>
                <w:sz w:val="20"/>
                <w:szCs w:val="20"/>
                <w:color w:val="auto"/>
              </w:rPr>
            </w:pPr>
            <w:r>
              <w:rPr>
                <w:rFonts w:ascii="Arial" w:cs="Arial" w:eastAsia="Arial" w:hAnsi="Arial"/>
                <w:sz w:val="16"/>
                <w:szCs w:val="16"/>
                <w:color w:val="auto"/>
              </w:rPr>
              <w:t>60,000</w:t>
            </w:r>
          </w:p>
        </w:tc>
        <w:tc>
          <w:tcPr>
            <w:tcW w:w="1920" w:type="dxa"/>
            <w:vAlign w:val="bottom"/>
            <w:gridSpan w:val="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jc w:val="center"/>
              <w:ind w:right="80"/>
              <w:spacing w:after="0"/>
              <w:rPr>
                <w:sz w:val="20"/>
                <w:szCs w:val="20"/>
                <w:color w:val="auto"/>
              </w:rPr>
            </w:pPr>
            <w:r>
              <w:rPr>
                <w:rFonts w:ascii="Arial" w:cs="Arial" w:eastAsia="Arial" w:hAnsi="Arial"/>
                <w:sz w:val="16"/>
                <w:szCs w:val="16"/>
                <w:color w:val="auto"/>
              </w:rPr>
              <w:t>309,997</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Karen Peacock</w:t>
            </w:r>
          </w:p>
        </w:tc>
        <w:tc>
          <w:tcPr>
            <w:tcW w:w="1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73,301</w:t>
            </w:r>
          </w:p>
        </w:tc>
        <w:tc>
          <w:tcPr>
            <w:tcW w:w="1920" w:type="dxa"/>
            <w:vAlign w:val="bottom"/>
            <w:tcBorders>
              <w:bottom w:val="single" w:sz="8" w:color="F2F2F2"/>
            </w:tcBorders>
            <w:gridSpan w:val="2"/>
            <w:shd w:val="clear" w:color="auto" w:fill="F2F2F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323,298</w:t>
            </w:r>
          </w:p>
        </w:tc>
        <w:tc>
          <w:tcPr>
            <w:tcW w:w="0" w:type="dxa"/>
            <w:vAlign w:val="bottom"/>
          </w:tcPr>
          <w:p>
            <w:pPr>
              <w:spacing w:after="0"/>
              <w:rPr>
                <w:sz w:val="1"/>
                <w:szCs w:val="1"/>
                <w:color w:val="auto"/>
              </w:rPr>
            </w:pPr>
          </w:p>
        </w:tc>
      </w:tr>
      <w:tr>
        <w:trPr>
          <w:trHeight w:val="215"/>
        </w:trPr>
        <w:tc>
          <w:tcPr>
            <w:tcW w:w="3740" w:type="dxa"/>
            <w:vAlign w:val="bottom"/>
          </w:tcPr>
          <w:p>
            <w:pPr>
              <w:ind w:left="60"/>
              <w:spacing w:after="0"/>
              <w:rPr>
                <w:sz w:val="20"/>
                <w:szCs w:val="20"/>
                <w:color w:val="auto"/>
              </w:rPr>
            </w:pPr>
            <w:r>
              <w:rPr>
                <w:rFonts w:ascii="Arial" w:cs="Arial" w:eastAsia="Arial" w:hAnsi="Arial"/>
                <w:sz w:val="16"/>
                <w:szCs w:val="16"/>
                <w:color w:val="auto"/>
              </w:rPr>
              <w:t>Michael Seibel</w:t>
            </w:r>
          </w:p>
        </w:tc>
        <w:tc>
          <w:tcPr>
            <w:tcW w:w="1780" w:type="dxa"/>
            <w:vAlign w:val="bottom"/>
          </w:tcPr>
          <w:p>
            <w:pPr>
              <w:jc w:val="center"/>
              <w:spacing w:after="0"/>
              <w:rPr>
                <w:sz w:val="20"/>
                <w:szCs w:val="20"/>
                <w:color w:val="auto"/>
              </w:rPr>
            </w:pPr>
            <w:r>
              <w:rPr>
                <w:rFonts w:ascii="Arial" w:cs="Arial" w:eastAsia="Arial" w:hAnsi="Arial"/>
                <w:sz w:val="16"/>
                <w:szCs w:val="16"/>
                <w:color w:val="auto"/>
              </w:rPr>
              <w:t>60,000</w:t>
            </w:r>
          </w:p>
        </w:tc>
        <w:tc>
          <w:tcPr>
            <w:tcW w:w="1920" w:type="dxa"/>
            <w:vAlign w:val="bottom"/>
            <w:gridSpan w:val="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jc w:val="center"/>
              <w:ind w:right="80"/>
              <w:spacing w:after="0"/>
              <w:rPr>
                <w:sz w:val="20"/>
                <w:szCs w:val="20"/>
                <w:color w:val="auto"/>
              </w:rPr>
            </w:pPr>
            <w:r>
              <w:rPr>
                <w:rFonts w:ascii="Arial" w:cs="Arial" w:eastAsia="Arial" w:hAnsi="Arial"/>
                <w:sz w:val="16"/>
                <w:szCs w:val="16"/>
                <w:color w:val="auto"/>
              </w:rPr>
              <w:t>309,997</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Warren Jenson</w:t>
            </w:r>
          </w:p>
        </w:tc>
        <w:tc>
          <w:tcPr>
            <w:tcW w:w="1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52,967</w:t>
            </w:r>
          </w:p>
        </w:tc>
        <w:tc>
          <w:tcPr>
            <w:tcW w:w="1920" w:type="dxa"/>
            <w:vAlign w:val="bottom"/>
            <w:tcBorders>
              <w:bottom w:val="single" w:sz="8" w:color="F2F2F2"/>
            </w:tcBorders>
            <w:gridSpan w:val="2"/>
            <w:shd w:val="clear" w:color="auto" w:fill="F2F2F2"/>
          </w:tcPr>
          <w:p>
            <w:pPr>
              <w:jc w:val="center"/>
              <w:ind w:right="44"/>
              <w:spacing w:after="0"/>
              <w:rPr>
                <w:sz w:val="20"/>
                <w:szCs w:val="20"/>
                <w:color w:val="auto"/>
              </w:rPr>
            </w:pPr>
            <w:r>
              <w:rPr>
                <w:rFonts w:ascii="Arial" w:cs="Arial" w:eastAsia="Arial" w:hAnsi="Arial"/>
                <w:sz w:val="16"/>
                <w:szCs w:val="16"/>
                <w:color w:val="auto"/>
              </w:rPr>
              <w:t>333,318</w:t>
            </w:r>
          </w:p>
        </w:tc>
        <w:tc>
          <w:tcPr>
            <w:tcW w:w="2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386,285</w:t>
            </w:r>
          </w:p>
        </w:tc>
        <w:tc>
          <w:tcPr>
            <w:tcW w:w="0" w:type="dxa"/>
            <w:vAlign w:val="bottom"/>
          </w:tcPr>
          <w:p>
            <w:pPr>
              <w:spacing w:after="0"/>
              <w:rPr>
                <w:sz w:val="1"/>
                <w:szCs w:val="1"/>
                <w:color w:val="auto"/>
              </w:rPr>
            </w:pPr>
          </w:p>
        </w:tc>
      </w:tr>
      <w:tr>
        <w:trPr>
          <w:trHeight w:val="243"/>
        </w:trPr>
        <w:tc>
          <w:tcPr>
            <w:tcW w:w="3740" w:type="dxa"/>
            <w:vAlign w:val="bottom"/>
          </w:tcPr>
          <w:p>
            <w:pPr>
              <w:ind w:left="60"/>
              <w:spacing w:after="0"/>
              <w:rPr>
                <w:sz w:val="20"/>
                <w:szCs w:val="20"/>
                <w:color w:val="auto"/>
              </w:rPr>
            </w:pPr>
            <w:r>
              <w:rPr>
                <w:rFonts w:ascii="Arial" w:cs="Arial" w:eastAsia="Arial" w:hAnsi="Arial"/>
                <w:sz w:val="16"/>
                <w:szCs w:val="16"/>
                <w:color w:val="auto"/>
              </w:rPr>
              <w:t>Donald W. Blair</w:t>
            </w:r>
            <w:r>
              <w:rPr>
                <w:rFonts w:ascii="Arial" w:cs="Arial" w:eastAsia="Arial" w:hAnsi="Arial"/>
                <w:sz w:val="21"/>
                <w:szCs w:val="21"/>
                <w:color w:val="auto"/>
                <w:vertAlign w:val="superscript"/>
              </w:rPr>
              <w:t>(3)</w:t>
            </w:r>
          </w:p>
        </w:tc>
        <w:tc>
          <w:tcPr>
            <w:tcW w:w="1780" w:type="dxa"/>
            <w:vAlign w:val="bottom"/>
          </w:tcPr>
          <w:p>
            <w:pPr>
              <w:jc w:val="center"/>
              <w:spacing w:after="0"/>
              <w:rPr>
                <w:sz w:val="20"/>
                <w:szCs w:val="20"/>
                <w:color w:val="auto"/>
              </w:rPr>
            </w:pPr>
            <w:r>
              <w:rPr>
                <w:rFonts w:ascii="Arial" w:cs="Arial" w:eastAsia="Arial" w:hAnsi="Arial"/>
                <w:sz w:val="16"/>
                <w:szCs w:val="16"/>
                <w:color w:val="auto"/>
              </w:rPr>
              <w:t>80,814</w:t>
            </w:r>
          </w:p>
        </w:tc>
        <w:tc>
          <w:tcPr>
            <w:tcW w:w="20" w:type="dxa"/>
            <w:vAlign w:val="bottom"/>
          </w:tcPr>
          <w:p>
            <w:pPr>
              <w:spacing w:after="0"/>
              <w:rPr>
                <w:sz w:val="21"/>
                <w:szCs w:val="21"/>
                <w:color w:val="auto"/>
              </w:rPr>
            </w:pPr>
          </w:p>
        </w:tc>
        <w:tc>
          <w:tcPr>
            <w:tcW w:w="1900" w:type="dxa"/>
            <w:vAlign w:val="bottom"/>
          </w:tcPr>
          <w:p>
            <w:pPr>
              <w:jc w:val="center"/>
              <w:ind w:right="64"/>
              <w:spacing w:after="0"/>
              <w:rPr>
                <w:sz w:val="20"/>
                <w:szCs w:val="20"/>
                <w:color w:val="auto"/>
              </w:rPr>
            </w:pPr>
            <w:r>
              <w:rPr>
                <w:rFonts w:ascii="Arial" w:cs="Arial" w:eastAsia="Arial" w:hAnsi="Arial"/>
                <w:sz w:val="16"/>
                <w:szCs w:val="16"/>
                <w:color w:val="auto"/>
                <w:w w:val="99"/>
              </w:rPr>
              <w:t>—</w:t>
            </w:r>
          </w:p>
        </w:tc>
        <w:tc>
          <w:tcPr>
            <w:tcW w:w="2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jc w:val="center"/>
              <w:ind w:right="80"/>
              <w:spacing w:after="0"/>
              <w:rPr>
                <w:sz w:val="20"/>
                <w:szCs w:val="20"/>
                <w:color w:val="auto"/>
              </w:rPr>
            </w:pPr>
            <w:r>
              <w:rPr>
                <w:rFonts w:ascii="Arial" w:cs="Arial" w:eastAsia="Arial" w:hAnsi="Arial"/>
                <w:sz w:val="16"/>
                <w:szCs w:val="16"/>
                <w:color w:val="auto"/>
              </w:rPr>
              <w:t>80,814</w:t>
            </w:r>
          </w:p>
        </w:tc>
        <w:tc>
          <w:tcPr>
            <w:tcW w:w="0" w:type="dxa"/>
            <w:vAlign w:val="bottom"/>
          </w:tcPr>
          <w:p>
            <w:pPr>
              <w:spacing w:after="0"/>
              <w:rPr>
                <w:sz w:val="1"/>
                <w:szCs w:val="1"/>
                <w:color w:val="auto"/>
              </w:rPr>
            </w:pPr>
          </w:p>
        </w:tc>
      </w:tr>
      <w:tr>
        <w:trPr>
          <w:trHeight w:val="243"/>
        </w:trPr>
        <w:tc>
          <w:tcPr>
            <w:tcW w:w="3740" w:type="dxa"/>
            <w:vAlign w:val="bottom"/>
            <w:shd w:val="clear" w:color="auto" w:fill="F2F2F2"/>
          </w:tcPr>
          <w:p>
            <w:pPr>
              <w:ind w:left="60"/>
              <w:spacing w:after="0"/>
              <w:rPr>
                <w:sz w:val="20"/>
                <w:szCs w:val="20"/>
                <w:color w:val="auto"/>
              </w:rPr>
            </w:pPr>
            <w:r>
              <w:rPr>
                <w:rFonts w:ascii="Arial" w:cs="Arial" w:eastAsia="Arial" w:hAnsi="Arial"/>
                <w:sz w:val="16"/>
                <w:szCs w:val="16"/>
                <w:color w:val="auto"/>
              </w:rPr>
              <w:t>Sara Mathew</w:t>
            </w:r>
            <w:r>
              <w:rPr>
                <w:rFonts w:ascii="Arial" w:cs="Arial" w:eastAsia="Arial" w:hAnsi="Arial"/>
                <w:sz w:val="21"/>
                <w:szCs w:val="21"/>
                <w:color w:val="auto"/>
                <w:vertAlign w:val="superscript"/>
              </w:rPr>
              <w:t>(3)</w:t>
            </w:r>
          </w:p>
        </w:tc>
        <w:tc>
          <w:tcPr>
            <w:tcW w:w="1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61,759</w:t>
            </w:r>
          </w:p>
        </w:tc>
        <w:tc>
          <w:tcPr>
            <w:tcW w:w="20" w:type="dxa"/>
            <w:vAlign w:val="bottom"/>
            <w:shd w:val="clear" w:color="auto" w:fill="F2F2F2"/>
          </w:tcPr>
          <w:p>
            <w:pPr>
              <w:spacing w:after="0"/>
              <w:rPr>
                <w:sz w:val="21"/>
                <w:szCs w:val="21"/>
                <w:color w:val="auto"/>
              </w:rPr>
            </w:pPr>
          </w:p>
        </w:tc>
        <w:tc>
          <w:tcPr>
            <w:tcW w:w="1900" w:type="dxa"/>
            <w:vAlign w:val="bottom"/>
            <w:shd w:val="clear" w:color="auto" w:fill="F2F2F2"/>
          </w:tcPr>
          <w:p>
            <w:pPr>
              <w:jc w:val="center"/>
              <w:ind w:right="64"/>
              <w:spacing w:after="0"/>
              <w:rPr>
                <w:sz w:val="20"/>
                <w:szCs w:val="20"/>
                <w:color w:val="auto"/>
              </w:rPr>
            </w:pPr>
            <w:r>
              <w:rPr>
                <w:rFonts w:ascii="Arial" w:cs="Arial" w:eastAsia="Arial" w:hAnsi="Arial"/>
                <w:sz w:val="16"/>
                <w:szCs w:val="16"/>
                <w:color w:val="auto"/>
                <w:w w:val="99"/>
              </w:rPr>
              <w:t>—</w:t>
            </w:r>
          </w:p>
        </w:tc>
        <w:tc>
          <w:tcPr>
            <w:tcW w:w="2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shd w:val="clear" w:color="auto" w:fill="F2F2F2"/>
          </w:tcPr>
          <w:p>
            <w:pPr>
              <w:jc w:val="center"/>
              <w:ind w:right="80"/>
              <w:spacing w:after="0"/>
              <w:rPr>
                <w:sz w:val="20"/>
                <w:szCs w:val="20"/>
                <w:color w:val="auto"/>
              </w:rPr>
            </w:pPr>
            <w:r>
              <w:rPr>
                <w:rFonts w:ascii="Arial" w:cs="Arial" w:eastAsia="Arial" w:hAnsi="Arial"/>
                <w:sz w:val="16"/>
                <w:szCs w:val="16"/>
                <w:color w:val="auto"/>
              </w:rPr>
              <w:t>61,759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-153670</wp:posOffset>
            </wp:positionV>
            <wp:extent cx="1714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-153670</wp:posOffset>
            </wp:positionV>
            <wp:extent cx="1714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-153670</wp:posOffset>
            </wp:positionV>
            <wp:extent cx="1714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-153670</wp:posOffset>
            </wp:positionV>
            <wp:extent cx="1714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-153670</wp:posOffset>
            </wp:positionV>
            <wp:extent cx="1714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-462280</wp:posOffset>
            </wp:positionV>
            <wp:extent cx="1714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-462280</wp:posOffset>
            </wp:positionV>
            <wp:extent cx="1714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-770890</wp:posOffset>
            </wp:positionV>
            <wp:extent cx="1714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-770890</wp:posOffset>
            </wp:positionV>
            <wp:extent cx="1714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-770890</wp:posOffset>
            </wp:positionV>
            <wp:extent cx="1714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-1079500</wp:posOffset>
            </wp:positionV>
            <wp:extent cx="1714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-1079500</wp:posOffset>
            </wp:positionV>
            <wp:extent cx="1714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-1079500</wp:posOffset>
            </wp:positionV>
            <wp:extent cx="1714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3"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Amounts shown do not reflect compensation actually received by each non-employee director, and there can be no assurance that these amounts will ever be realized by</w:t>
      </w:r>
    </w:p>
    <w:p>
      <w:pPr>
        <w:ind w:left="340"/>
        <w:spacing w:after="0" w:line="221" w:lineRule="auto"/>
        <w:rPr>
          <w:sz w:val="20"/>
          <w:szCs w:val="20"/>
          <w:color w:val="auto"/>
        </w:rPr>
      </w:pPr>
      <w:r>
        <w:rPr>
          <w:rFonts w:ascii="Arial" w:cs="Arial" w:eastAsia="Arial" w:hAnsi="Arial"/>
          <w:sz w:val="14"/>
          <w:szCs w:val="14"/>
          <w:color w:val="auto"/>
        </w:rPr>
        <w:t>the non-employee directors. Instead, the amount shown is the grant date fair value of the RSU awards granted in fiscal 2025 computed in accordance with ASC Topic 718</w:t>
      </w:r>
    </w:p>
    <w:p>
      <w:pPr>
        <w:ind w:left="340" w:right="60"/>
        <w:spacing w:after="0" w:line="250" w:lineRule="auto"/>
        <w:rPr>
          <w:sz w:val="20"/>
          <w:szCs w:val="20"/>
          <w:color w:val="auto"/>
        </w:rPr>
      </w:pPr>
      <w:r>
        <w:rPr>
          <w:rFonts w:ascii="Arial" w:cs="Arial" w:eastAsia="Arial" w:hAnsi="Arial"/>
          <w:sz w:val="14"/>
          <w:szCs w:val="14"/>
          <w:color w:val="auto"/>
        </w:rPr>
        <w:t>— Compensation — Stock Compensation (“</w:t>
      </w:r>
      <w:r>
        <w:rPr>
          <w:rFonts w:ascii="Arial" w:cs="Arial" w:eastAsia="Arial" w:hAnsi="Arial"/>
          <w:sz w:val="14"/>
          <w:szCs w:val="14"/>
          <w:b w:val="1"/>
          <w:bCs w:val="1"/>
          <w:i w:val="1"/>
          <w:iCs w:val="1"/>
          <w:color w:val="auto"/>
        </w:rPr>
        <w:t>ASC Topic 718</w:t>
      </w:r>
      <w:r>
        <w:rPr>
          <w:rFonts w:ascii="Arial" w:cs="Arial" w:eastAsia="Arial" w:hAnsi="Arial"/>
          <w:sz w:val="14"/>
          <w:szCs w:val="14"/>
          <w:color w:val="auto"/>
        </w:rPr>
        <w:t>”), disregarding forfeiture assumptions. The grant date fair value of the RSU awards is based on the closing price for a share of our Class A common stock as reported by Nasdaq on the day immediately preceding the grant date. Unless otherwise described in the footnotes below, the grant date fair value of the RSU awards was $29.61 per share, which represents the closing price for a share of our Class A common stock as reported by Nasdaq on May 14, 2025.</w:t>
      </w:r>
    </w:p>
    <w:p>
      <w:pPr>
        <w:spacing w:after="0" w:line="159" w:lineRule="exact"/>
        <w:rPr>
          <w:sz w:val="20"/>
          <w:szCs w:val="20"/>
          <w:color w:val="auto"/>
        </w:rPr>
      </w:pPr>
    </w:p>
    <w:p>
      <w:pPr>
        <w:ind w:left="340" w:right="420" w:hanging="332"/>
        <w:spacing w:after="0" w:line="212" w:lineRule="auto"/>
        <w:tabs>
          <w:tab w:leader="none" w:pos="333"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100% of the shares of our Class A common stock underlying the RSUs vest on May 15, 2026 or the day before the next annual meeting of our stockholders, if earlier, subject to the director’s continued service with us. See the section titled “</w:t>
      </w:r>
      <w:r>
        <w:rPr>
          <w:rFonts w:ascii="Arial" w:cs="Arial" w:eastAsia="Arial" w:hAnsi="Arial"/>
          <w:sz w:val="14"/>
          <w:szCs w:val="14"/>
          <w:i w:val="1"/>
          <w:iCs w:val="1"/>
          <w:color w:val="auto"/>
        </w:rPr>
        <w:t>Board of Directors and Corporate Governance</w:t>
      </w:r>
      <w:r>
        <w:rPr>
          <w:rFonts w:ascii="Arial" w:cs="Arial" w:eastAsia="Arial" w:hAnsi="Arial"/>
          <w:sz w:val="16"/>
          <w:szCs w:val="16"/>
          <w:i w:val="1"/>
          <w:iCs w:val="1"/>
          <w:color w:val="auto"/>
        </w:rPr>
        <w:t>—</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spacing w:after="0" w:line="1" w:lineRule="exact"/>
        <w:rPr>
          <w:rFonts w:ascii="Arial" w:cs="Arial" w:eastAsia="Arial" w:hAnsi="Arial"/>
          <w:sz w:val="19"/>
          <w:szCs w:val="19"/>
          <w:color w:val="auto"/>
          <w:vertAlign w:val="superscript"/>
        </w:rPr>
      </w:pPr>
    </w:p>
    <w:p>
      <w:pPr>
        <w:ind w:left="340" w:right="320" w:hanging="332"/>
        <w:spacing w:after="0" w:line="274" w:lineRule="auto"/>
        <w:tabs>
          <w:tab w:leader="none" w:pos="333" w:val="left"/>
        </w:tabs>
        <w:numPr>
          <w:ilvl w:val="0"/>
          <w:numId w:val="36"/>
        </w:numPr>
        <w:rPr>
          <w:rFonts w:ascii="Arial" w:cs="Arial" w:eastAsia="Arial" w:hAnsi="Arial"/>
          <w:sz w:val="9"/>
          <w:szCs w:val="9"/>
          <w:color w:val="auto"/>
        </w:rPr>
      </w:pPr>
      <w:r>
        <w:rPr>
          <w:rFonts w:ascii="Arial" w:cs="Arial" w:eastAsia="Arial" w:hAnsi="Arial"/>
          <w:sz w:val="14"/>
          <w:szCs w:val="14"/>
          <w:color w:val="auto"/>
        </w:rPr>
        <w:t>Mr. Blair and Ms. Mathew did not stand for reelection at the 2025 Annual Meeting and therefore only received compensation for the first quarter of the fiscal year ended December 31, 2025.</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611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shd w:val="clear" w:color="auto" w:fill="0063A6"/>
          </w:tcPr>
          <w:p>
            <w:pPr>
              <w:spacing w:after="0"/>
              <w:rPr>
                <w:sz w:val="20"/>
                <w:szCs w:val="20"/>
                <w:color w:val="auto"/>
              </w:rPr>
            </w:pPr>
          </w:p>
        </w:tc>
        <w:tc>
          <w:tcPr>
            <w:tcW w:w="2520" w:type="dxa"/>
            <w:vAlign w:val="bottom"/>
            <w:shd w:val="clear" w:color="auto" w:fill="0063A6"/>
          </w:tcPr>
          <w:p>
            <w:pPr>
              <w:spacing w:after="0"/>
              <w:rPr>
                <w:sz w:val="20"/>
                <w:szCs w:val="20"/>
                <w:color w:val="auto"/>
              </w:rPr>
            </w:pPr>
          </w:p>
        </w:tc>
        <w:tc>
          <w:tcPr>
            <w:tcW w:w="2360" w:type="dxa"/>
            <w:vAlign w:val="bottom"/>
            <w:shd w:val="clear" w:color="auto" w:fill="0063A6"/>
          </w:tcPr>
          <w:p>
            <w:pPr>
              <w:jc w:val="center"/>
              <w:ind w:left="41"/>
              <w:spacing w:after="0"/>
              <w:rPr>
                <w:sz w:val="20"/>
                <w:szCs w:val="20"/>
                <w:color w:val="auto"/>
              </w:rPr>
            </w:pPr>
            <w:r>
              <w:rPr>
                <w:rFonts w:ascii="Arial" w:cs="Arial" w:eastAsia="Arial" w:hAnsi="Arial"/>
                <w:sz w:val="14"/>
                <w:szCs w:val="14"/>
                <w:b w:val="1"/>
                <w:bCs w:val="1"/>
                <w:color w:val="FFFFFF"/>
              </w:rPr>
              <w:t>Number of Shares</w:t>
            </w:r>
          </w:p>
        </w:tc>
        <w:tc>
          <w:tcPr>
            <w:tcW w:w="500" w:type="dxa"/>
            <w:vAlign w:val="bottom"/>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5860" w:type="dxa"/>
            <w:vAlign w:val="bottom"/>
            <w:shd w:val="clear" w:color="auto" w:fill="0063A6"/>
          </w:tcPr>
          <w:p>
            <w:pPr>
              <w:spacing w:after="0"/>
              <w:rPr>
                <w:sz w:val="13"/>
                <w:szCs w:val="13"/>
                <w:color w:val="auto"/>
              </w:rPr>
            </w:pPr>
          </w:p>
        </w:tc>
        <w:tc>
          <w:tcPr>
            <w:tcW w:w="2520" w:type="dxa"/>
            <w:vAlign w:val="bottom"/>
            <w:shd w:val="clear" w:color="auto" w:fill="0063A6"/>
          </w:tcPr>
          <w:p>
            <w:pPr>
              <w:ind w:left="1020"/>
              <w:spacing w:after="0" w:line="159" w:lineRule="exact"/>
              <w:rPr>
                <w:sz w:val="20"/>
                <w:szCs w:val="20"/>
                <w:color w:val="auto"/>
              </w:rPr>
            </w:pPr>
            <w:r>
              <w:rPr>
                <w:rFonts w:ascii="Arial" w:cs="Arial" w:eastAsia="Arial" w:hAnsi="Arial"/>
                <w:sz w:val="14"/>
                <w:szCs w:val="14"/>
                <w:b w:val="1"/>
                <w:bCs w:val="1"/>
                <w:color w:val="FFFFFF"/>
              </w:rPr>
              <w:t>Date of</w:t>
            </w:r>
          </w:p>
        </w:tc>
        <w:tc>
          <w:tcPr>
            <w:tcW w:w="2360" w:type="dxa"/>
            <w:vAlign w:val="bottom"/>
            <w:shd w:val="clear" w:color="auto" w:fill="0063A6"/>
          </w:tcPr>
          <w:p>
            <w:pPr>
              <w:jc w:val="center"/>
              <w:ind w:left="41"/>
              <w:spacing w:after="0" w:line="159" w:lineRule="exact"/>
              <w:rPr>
                <w:sz w:val="20"/>
                <w:szCs w:val="20"/>
                <w:color w:val="auto"/>
              </w:rPr>
            </w:pPr>
            <w:r>
              <w:rPr>
                <w:rFonts w:ascii="Arial" w:cs="Arial" w:eastAsia="Arial" w:hAnsi="Arial"/>
                <w:sz w:val="14"/>
                <w:szCs w:val="14"/>
                <w:b w:val="1"/>
                <w:bCs w:val="1"/>
                <w:color w:val="FFFFFF"/>
              </w:rPr>
              <w:t>Underlying</w:t>
            </w:r>
          </w:p>
        </w:tc>
        <w:tc>
          <w:tcPr>
            <w:tcW w:w="50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586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Name</w:t>
            </w:r>
          </w:p>
        </w:tc>
        <w:tc>
          <w:tcPr>
            <w:tcW w:w="2520" w:type="dxa"/>
            <w:vAlign w:val="bottom"/>
            <w:tcBorders>
              <w:bottom w:val="single" w:sz="8" w:color="0063A6"/>
            </w:tcBorders>
            <w:shd w:val="clear" w:color="auto" w:fill="0063A6"/>
          </w:tcPr>
          <w:p>
            <w:pPr>
              <w:ind w:left="1020"/>
              <w:spacing w:after="0"/>
              <w:rPr>
                <w:sz w:val="20"/>
                <w:szCs w:val="20"/>
                <w:color w:val="auto"/>
              </w:rPr>
            </w:pPr>
            <w:r>
              <w:rPr>
                <w:rFonts w:ascii="Arial" w:cs="Arial" w:eastAsia="Arial" w:hAnsi="Arial"/>
                <w:sz w:val="14"/>
                <w:szCs w:val="14"/>
                <w:b w:val="1"/>
                <w:bCs w:val="1"/>
                <w:color w:val="FFFFFF"/>
              </w:rPr>
              <w:t>Grant</w:t>
            </w:r>
            <w:r>
              <w:rPr>
                <w:rFonts w:ascii="Arial" w:cs="Arial" w:eastAsia="Arial" w:hAnsi="Arial"/>
                <w:sz w:val="18"/>
                <w:szCs w:val="18"/>
                <w:b w:val="1"/>
                <w:bCs w:val="1"/>
                <w:color w:val="FFFFFF"/>
                <w:vertAlign w:val="superscript"/>
              </w:rPr>
              <w:t>(1)</w:t>
            </w:r>
          </w:p>
        </w:tc>
        <w:tc>
          <w:tcPr>
            <w:tcW w:w="2360" w:type="dxa"/>
            <w:vAlign w:val="bottom"/>
            <w:tcBorders>
              <w:bottom w:val="single" w:sz="8" w:color="0063A6"/>
            </w:tcBorders>
            <w:shd w:val="clear" w:color="auto" w:fill="0063A6"/>
          </w:tcPr>
          <w:p>
            <w:pPr>
              <w:jc w:val="center"/>
              <w:ind w:left="81"/>
              <w:spacing w:after="0"/>
              <w:rPr>
                <w:sz w:val="20"/>
                <w:szCs w:val="20"/>
                <w:color w:val="auto"/>
              </w:rPr>
            </w:pPr>
            <w:r>
              <w:rPr>
                <w:rFonts w:ascii="Arial" w:cs="Arial" w:eastAsia="Arial" w:hAnsi="Arial"/>
                <w:sz w:val="14"/>
                <w:szCs w:val="14"/>
                <w:b w:val="1"/>
                <w:bCs w:val="1"/>
                <w:color w:val="FFFFFF"/>
              </w:rPr>
              <w:t>Unvested Stock Awards (#)</w:t>
            </w:r>
          </w:p>
        </w:tc>
        <w:tc>
          <w:tcPr>
            <w:tcW w:w="500" w:type="dxa"/>
            <w:vAlign w:val="bottom"/>
            <w:tcBorders>
              <w:bottom w:val="single" w:sz="8" w:color="0063A6"/>
            </w:tcBorders>
            <w:shd w:val="clear" w:color="auto" w:fill="0063A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Lisa Campbell</w:t>
            </w:r>
          </w:p>
        </w:tc>
        <w:tc>
          <w:tcPr>
            <w:tcW w:w="2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Borders>
              <w:bottom w:val="single" w:sz="8" w:color="F2F2F2"/>
            </w:tcBorders>
            <w:shd w:val="clear" w:color="auto" w:fill="F2F2F2"/>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860" w:type="dxa"/>
            <w:vAlign w:val="bottom"/>
          </w:tcPr>
          <w:p>
            <w:pPr>
              <w:ind w:left="20"/>
              <w:spacing w:after="0"/>
              <w:rPr>
                <w:sz w:val="20"/>
                <w:szCs w:val="20"/>
                <w:color w:val="auto"/>
              </w:rPr>
            </w:pPr>
            <w:r>
              <w:rPr>
                <w:rFonts w:ascii="Arial" w:cs="Arial" w:eastAsia="Arial" w:hAnsi="Arial"/>
                <w:sz w:val="16"/>
                <w:szCs w:val="16"/>
                <w:color w:val="auto"/>
              </w:rPr>
              <w:t>Paul E. Jacobs</w:t>
            </w:r>
          </w:p>
        </w:tc>
        <w:tc>
          <w:tcPr>
            <w:tcW w:w="2520" w:type="dxa"/>
            <w:vAlign w:val="bottom"/>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8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Andrew Moore</w:t>
            </w:r>
          </w:p>
        </w:tc>
        <w:tc>
          <w:tcPr>
            <w:tcW w:w="2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Borders>
              <w:bottom w:val="single" w:sz="8" w:color="F2F2F2"/>
            </w:tcBorders>
            <w:shd w:val="clear" w:color="auto" w:fill="F2F2F2"/>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Arial" w:cs="Arial" w:eastAsia="Arial" w:hAnsi="Arial"/>
                <w:sz w:val="16"/>
                <w:szCs w:val="16"/>
                <w:color w:val="auto"/>
              </w:rPr>
              <w:t>Abhay Parasnis</w:t>
            </w:r>
          </w:p>
        </w:tc>
        <w:tc>
          <w:tcPr>
            <w:tcW w:w="2520" w:type="dxa"/>
            <w:vAlign w:val="bottom"/>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8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Karen Peacock</w:t>
            </w:r>
          </w:p>
        </w:tc>
        <w:tc>
          <w:tcPr>
            <w:tcW w:w="2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Borders>
              <w:bottom w:val="single" w:sz="8" w:color="F2F2F2"/>
            </w:tcBorders>
            <w:shd w:val="clear" w:color="auto" w:fill="F2F2F2"/>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Michael Seibel</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vMerge w:val="restart"/>
          </w:tcPr>
          <w:p>
            <w:pPr>
              <w:jc w:val="center"/>
              <w:ind w:left="81"/>
              <w:spacing w:after="0"/>
              <w:rPr>
                <w:sz w:val="20"/>
                <w:szCs w:val="20"/>
                <w:color w:val="auto"/>
              </w:rPr>
            </w:pPr>
            <w:r>
              <w:rPr>
                <w:rFonts w:ascii="Arial" w:cs="Arial" w:eastAsia="Arial" w:hAnsi="Arial"/>
                <w:sz w:val="16"/>
                <w:szCs w:val="16"/>
                <w:color w:val="auto"/>
                <w:w w:val="98"/>
              </w:rPr>
              <w:t>33,487</w:t>
            </w:r>
          </w:p>
        </w:tc>
        <w:tc>
          <w:tcPr>
            <w:tcW w:w="500" w:type="dxa"/>
            <w:vAlign w:val="bottom"/>
          </w:tcPr>
          <w:p>
            <w:pPr>
              <w:jc w:val="right"/>
              <w:ind w:right="1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5"/>
        </w:trPr>
        <w:tc>
          <w:tcPr>
            <w:tcW w:w="5860" w:type="dxa"/>
            <w:vAlign w:val="bottom"/>
            <w:vMerge w:val="continue"/>
          </w:tcPr>
          <w:p>
            <w:pPr>
              <w:spacing w:after="0"/>
              <w:rPr>
                <w:sz w:val="7"/>
                <w:szCs w:val="7"/>
                <w:color w:val="auto"/>
              </w:rPr>
            </w:pPr>
          </w:p>
        </w:tc>
        <w:tc>
          <w:tcPr>
            <w:tcW w:w="252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58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Warren Jenson</w:t>
            </w:r>
          </w:p>
        </w:tc>
        <w:tc>
          <w:tcPr>
            <w:tcW w:w="2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Borders>
              <w:bottom w:val="single" w:sz="8" w:color="F2F2F2"/>
            </w:tcBorders>
            <w:shd w:val="clear" w:color="auto" w:fill="F2F2F2"/>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Donald W. Blair</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360" w:type="dxa"/>
            <w:vAlign w:val="bottom"/>
            <w:vMerge w:val="restart"/>
          </w:tcPr>
          <w:p>
            <w:pPr>
              <w:jc w:val="center"/>
              <w:ind w:left="81"/>
              <w:spacing w:after="0"/>
              <w:rPr>
                <w:sz w:val="20"/>
                <w:szCs w:val="20"/>
                <w:color w:val="auto"/>
              </w:rPr>
            </w:pPr>
            <w:r>
              <w:rPr>
                <w:rFonts w:ascii="Arial" w:cs="Arial" w:eastAsia="Arial" w:hAnsi="Arial"/>
                <w:sz w:val="16"/>
                <w:szCs w:val="16"/>
                <w:color w:val="auto"/>
                <w:w w:val="99"/>
              </w:rPr>
              <w:t>—</w:t>
            </w:r>
          </w:p>
        </w:tc>
        <w:tc>
          <w:tcPr>
            <w:tcW w:w="500" w:type="dxa"/>
            <w:vAlign w:val="bottom"/>
          </w:tcPr>
          <w:p>
            <w:pPr>
              <w:jc w:val="right"/>
              <w:ind w:right="1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75"/>
        </w:trPr>
        <w:tc>
          <w:tcPr>
            <w:tcW w:w="586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23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58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5860" w:type="dxa"/>
            <w:vAlign w:val="bottom"/>
            <w:vMerge w:val="restart"/>
            <w:shd w:val="clear" w:color="auto" w:fill="F2F2F2"/>
          </w:tcPr>
          <w:p>
            <w:pPr>
              <w:ind w:left="20"/>
              <w:spacing w:after="0"/>
              <w:rPr>
                <w:sz w:val="20"/>
                <w:szCs w:val="20"/>
                <w:color w:val="auto"/>
              </w:rPr>
            </w:pPr>
            <w:r>
              <w:rPr>
                <w:rFonts w:ascii="Arial" w:cs="Arial" w:eastAsia="Arial" w:hAnsi="Arial"/>
                <w:sz w:val="16"/>
                <w:szCs w:val="16"/>
                <w:color w:val="auto"/>
              </w:rPr>
              <w:t>Sara Mathew</w:t>
            </w:r>
          </w:p>
        </w:tc>
        <w:tc>
          <w:tcPr>
            <w:tcW w:w="25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60" w:type="dxa"/>
            <w:vAlign w:val="bottom"/>
            <w:vMerge w:val="restart"/>
            <w:shd w:val="clear" w:color="auto" w:fill="F2F2F2"/>
          </w:tcPr>
          <w:p>
            <w:pPr>
              <w:jc w:val="center"/>
              <w:ind w:left="81"/>
              <w:spacing w:after="0"/>
              <w:rPr>
                <w:sz w:val="20"/>
                <w:szCs w:val="20"/>
                <w:color w:val="auto"/>
              </w:rPr>
            </w:pPr>
            <w:r>
              <w:rPr>
                <w:rFonts w:ascii="Arial" w:cs="Arial" w:eastAsia="Arial" w:hAnsi="Arial"/>
                <w:sz w:val="16"/>
                <w:szCs w:val="16"/>
                <w:color w:val="auto"/>
                <w:w w:val="99"/>
              </w:rPr>
              <w:t>—</w:t>
            </w:r>
          </w:p>
        </w:tc>
        <w:tc>
          <w:tcPr>
            <w:tcW w:w="500" w:type="dxa"/>
            <w:vAlign w:val="bottom"/>
            <w:shd w:val="clear" w:color="auto" w:fill="F2F2F2"/>
          </w:tcPr>
          <w:p>
            <w:pPr>
              <w:jc w:val="right"/>
              <w:ind w:right="1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75"/>
        </w:trPr>
        <w:tc>
          <w:tcPr>
            <w:tcW w:w="5860" w:type="dxa"/>
            <w:vAlign w:val="bottom"/>
            <w:vMerge w:val="continue"/>
            <w:shd w:val="clear" w:color="auto" w:fill="F2F2F2"/>
          </w:tcPr>
          <w:p>
            <w:pPr>
              <w:spacing w:after="0"/>
              <w:rPr>
                <w:sz w:val="6"/>
                <w:szCs w:val="6"/>
                <w:color w:val="auto"/>
              </w:rPr>
            </w:pPr>
          </w:p>
        </w:tc>
        <w:tc>
          <w:tcPr>
            <w:tcW w:w="2520" w:type="dxa"/>
            <w:vAlign w:val="bottom"/>
            <w:vMerge w:val="continue"/>
            <w:shd w:val="clear" w:color="auto" w:fill="F2F2F2"/>
          </w:tcPr>
          <w:p>
            <w:pPr>
              <w:spacing w:after="0"/>
              <w:rPr>
                <w:sz w:val="6"/>
                <w:szCs w:val="6"/>
                <w:color w:val="auto"/>
              </w:rPr>
            </w:pPr>
          </w:p>
        </w:tc>
        <w:tc>
          <w:tcPr>
            <w:tcW w:w="2360" w:type="dxa"/>
            <w:vAlign w:val="bottom"/>
            <w:vMerge w:val="continue"/>
            <w:shd w:val="clear" w:color="auto" w:fill="F2F2F2"/>
          </w:tcPr>
          <w:p>
            <w:pPr>
              <w:spacing w:after="0"/>
              <w:rPr>
                <w:sz w:val="6"/>
                <w:szCs w:val="6"/>
                <w:color w:val="auto"/>
              </w:rPr>
            </w:pPr>
          </w:p>
        </w:tc>
        <w:tc>
          <w:tcPr>
            <w:tcW w:w="50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5860" w:type="dxa"/>
            <w:vAlign w:val="bottom"/>
            <w:shd w:val="clear" w:color="auto" w:fill="F2F2F2"/>
          </w:tcPr>
          <w:p>
            <w:pPr>
              <w:spacing w:after="0"/>
              <w:rPr>
                <w:sz w:val="2"/>
                <w:szCs w:val="2"/>
                <w:color w:val="auto"/>
              </w:rPr>
            </w:pPr>
          </w:p>
        </w:tc>
        <w:tc>
          <w:tcPr>
            <w:tcW w:w="2520" w:type="dxa"/>
            <w:vAlign w:val="bottom"/>
            <w:shd w:val="clear" w:color="auto" w:fill="F2F2F2"/>
          </w:tcPr>
          <w:p>
            <w:pPr>
              <w:spacing w:after="0"/>
              <w:rPr>
                <w:sz w:val="2"/>
                <w:szCs w:val="2"/>
                <w:color w:val="auto"/>
              </w:rPr>
            </w:pPr>
          </w:p>
        </w:tc>
        <w:tc>
          <w:tcPr>
            <w:tcW w:w="2360" w:type="dxa"/>
            <w:vAlign w:val="bottom"/>
            <w:shd w:val="clear" w:color="auto" w:fill="F2F2F2"/>
          </w:tcPr>
          <w:p>
            <w:pPr>
              <w:spacing w:after="0"/>
              <w:rPr>
                <w:sz w:val="2"/>
                <w:szCs w:val="2"/>
                <w:color w:val="auto"/>
              </w:rPr>
            </w:pPr>
          </w:p>
        </w:tc>
        <w:tc>
          <w:tcPr>
            <w:tcW w:w="50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-153670</wp:posOffset>
            </wp:positionV>
            <wp:extent cx="1714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1714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-153670</wp:posOffset>
            </wp:positionV>
            <wp:extent cx="1714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65" w:lineRule="exact"/>
        <w:rPr>
          <w:sz w:val="20"/>
          <w:szCs w:val="20"/>
          <w:color w:val="auto"/>
        </w:rPr>
      </w:pPr>
    </w:p>
    <w:p>
      <w:pPr>
        <w:ind w:left="340" w:right="400" w:hanging="332"/>
        <w:spacing w:after="0" w:line="217" w:lineRule="auto"/>
        <w:tabs>
          <w:tab w:leader="none" w:pos="333"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100% of the shares of our Class A common stock underlying the RSUs vest on May 15, 2026 or the day before the next annual meeting of our stockholders, if earlier, subject to the director’s continued service with us. See the section titled “</w:t>
      </w:r>
      <w:r>
        <w:rPr>
          <w:rFonts w:ascii="Arial" w:cs="Arial" w:eastAsia="Arial" w:hAnsi="Arial"/>
          <w:sz w:val="14"/>
          <w:szCs w:val="14"/>
          <w:i w:val="1"/>
          <w:iCs w:val="1"/>
          <w:color w:val="auto"/>
        </w:rPr>
        <w:t>Board of Directors and Corporate Governance</w:t>
      </w:r>
      <w:r>
        <w:rPr>
          <w:rFonts w:ascii="Arial" w:cs="Arial" w:eastAsia="Arial" w:hAnsi="Arial"/>
          <w:sz w:val="16"/>
          <w:szCs w:val="16"/>
          <w:i w:val="1"/>
          <w:iCs w:val="1"/>
          <w:color w:val="auto"/>
        </w:rPr>
        <w:t>—</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spacing w:after="0" w:line="1" w:lineRule="exact"/>
        <w:rPr>
          <w:rFonts w:ascii="Arial" w:cs="Arial" w:eastAsia="Arial" w:hAnsi="Arial"/>
          <w:sz w:val="19"/>
          <w:szCs w:val="19"/>
          <w:color w:val="auto"/>
          <w:vertAlign w:val="superscript"/>
        </w:rPr>
      </w:pPr>
    </w:p>
    <w:p>
      <w:pPr>
        <w:ind w:left="340" w:right="100" w:hanging="332"/>
        <w:spacing w:after="0" w:line="241" w:lineRule="auto"/>
        <w:tabs>
          <w:tab w:leader="none" w:pos="333" w:val="left"/>
        </w:tabs>
        <w:numPr>
          <w:ilvl w:val="0"/>
          <w:numId w:val="37"/>
        </w:numPr>
        <w:rPr>
          <w:rFonts w:ascii="Arial" w:cs="Arial" w:eastAsia="Arial" w:hAnsi="Arial"/>
          <w:sz w:val="9"/>
          <w:szCs w:val="9"/>
          <w:color w:val="auto"/>
        </w:rPr>
      </w:pPr>
      <w:r>
        <w:rPr>
          <w:rFonts w:ascii="Arial" w:cs="Arial" w:eastAsia="Arial" w:hAnsi="Arial"/>
          <w:sz w:val="14"/>
          <w:szCs w:val="14"/>
          <w:color w:val="auto"/>
        </w:rPr>
        <w:t>Includes 4,632 vested RSUs granted on December 11, 2020, 9,335 vested RSUs granted on May 20, 2021, and 11,077 vested RSUs granted on May 18, 2023 that were deferred at time of grant. These vested RSUs will be settled upon the earlier of (a) immediately prior to a Change in Control or (b) within 60 days of Mr. Seibel’s separation from the board or death.</w:t>
      </w:r>
    </w:p>
    <w:p>
      <w:pPr>
        <w:spacing w:after="0" w:line="1" w:lineRule="exact"/>
        <w:rPr>
          <w:rFonts w:ascii="Arial" w:cs="Arial" w:eastAsia="Arial" w:hAnsi="Arial"/>
          <w:sz w:val="9"/>
          <w:szCs w:val="9"/>
          <w:color w:val="auto"/>
        </w:rPr>
      </w:pPr>
    </w:p>
    <w:p>
      <w:pPr>
        <w:ind w:left="340" w:right="340" w:hanging="332"/>
        <w:spacing w:after="0" w:line="264" w:lineRule="auto"/>
        <w:tabs>
          <w:tab w:leader="none" w:pos="333" w:val="left"/>
        </w:tabs>
        <w:numPr>
          <w:ilvl w:val="0"/>
          <w:numId w:val="37"/>
        </w:numPr>
        <w:rPr>
          <w:rFonts w:ascii="Arial" w:cs="Arial" w:eastAsia="Arial" w:hAnsi="Arial"/>
          <w:sz w:val="9"/>
          <w:szCs w:val="9"/>
          <w:color w:val="auto"/>
        </w:rPr>
      </w:pPr>
      <w:r>
        <w:rPr>
          <w:rFonts w:ascii="Arial" w:cs="Arial" w:eastAsia="Arial" w:hAnsi="Arial"/>
          <w:sz w:val="14"/>
          <w:szCs w:val="14"/>
          <w:color w:val="auto"/>
        </w:rPr>
        <w:t>Mr. Blair and Ms. Mathew did not stand for reelection at the 2025 Annual Meeting, are no longer board members, and did not hold any outstanding equity awards as of December 31, 2025.</w:t>
      </w:r>
    </w:p>
    <w:p>
      <w:pPr>
        <w:spacing w:after="0" w:line="200" w:lineRule="exact"/>
        <w:rPr>
          <w:sz w:val="20"/>
          <w:szCs w:val="20"/>
          <w:color w:val="auto"/>
        </w:rPr>
      </w:pPr>
    </w:p>
    <w:p>
      <w:pPr>
        <w:spacing w:after="0" w:line="296" w:lineRule="exact"/>
        <w:rPr>
          <w:sz w:val="20"/>
          <w:szCs w:val="20"/>
          <w:color w:val="auto"/>
        </w:rPr>
      </w:pPr>
    </w:p>
    <w:p>
      <w:pPr>
        <w:ind w:left="580" w:hanging="554"/>
        <w:spacing w:after="0"/>
        <w:tabs>
          <w:tab w:leader="none" w:pos="5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PROPOSAL NO. 1—ELECTION OF DIRECTORS</w:t>
      </w:r>
    </w:p>
    <w:p>
      <w:pPr>
        <w:spacing w:after="0" w:line="200" w:lineRule="exact"/>
        <w:rPr>
          <w:sz w:val="20"/>
          <w:szCs w:val="20"/>
          <w:color w:val="auto"/>
        </w:rPr>
      </w:pPr>
    </w:p>
    <w:p>
      <w:pPr>
        <w:spacing w:after="0" w:line="27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board of directors consists of eight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noted above, Paul E. Jacobs is not standing for reelection at the annual meeting and therefore, following the meeting, the number of authorized directors will be decreased to seven. The board of directors is grateful for Dr. Jacobs' service.</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Nominees</w:t>
      </w:r>
    </w:p>
    <w:p>
      <w:pPr>
        <w:spacing w:after="0" w:line="23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Andrew W. Houston, Lisa Campbell, Warren Jenson, Andrew Moore, Abhay Parasnis, Karen Peacock and Michael Seibel as nominees for election as directors at the Annual Meeting. Each of the nominees is an incumbent director. If elected, each of the nominees will serve as directors until the 2027 annual meeting of stockholders and until their successors are duly elected and qualified. For information concerning the nominees, please see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 xml:space="preserve"> .” We expect that each of Dr. Moore, Messrs. Houston, Jenson, Parasnis and Seibel, and Mss. Campbell and Peacock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3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If you are a stockholder of record and you sign your proxy card or vote by telephone or over the Internet but do not give instructions with respect to the voting of directors, your shares will be voted “FOR” the election of Dr. Moore, Messrs. Houston, Jenson, Parasnis and Seibel, and Mss. Campbell and Peacock. If you are a street name stockholder and you do not give voting instructions to your broker or nominee, your broker will leave your shares unvoted on this matter.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Each director is elected by a plurality of the votes of the shares present virtually or represented by proxy at the meeting and entitled to vote on the election of directors at the Annual Meeting.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THE BOARD OF DIRECTORS RECOMMENDS A VOTE “FOR” EACH OF THE NOMINEES NAMED ABOVE.</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8" w:lineRule="exact"/>
        <w:rPr>
          <w:sz w:val="20"/>
          <w:szCs w:val="20"/>
          <w:color w:val="auto"/>
        </w:rPr>
      </w:pPr>
    </w:p>
    <w:p>
      <w:pPr>
        <w:ind w:right="680"/>
        <w:spacing w:after="0" w:line="268" w:lineRule="auto"/>
        <w:rPr>
          <w:sz w:val="20"/>
          <w:szCs w:val="20"/>
          <w:color w:val="auto"/>
        </w:rPr>
      </w:pPr>
      <w:r>
        <w:rPr>
          <w:rFonts w:ascii="Arial" w:cs="Arial" w:eastAsia="Arial" w:hAnsi="Arial"/>
          <w:sz w:val="31"/>
          <w:szCs w:val="31"/>
          <w:color w:val="0063A6"/>
        </w:rPr>
        <w:t>PROPOSAL NO. 2—RATIFICATION OF APPOINTMENT OF INDEPENDENT REGISTERED PUBLIC ACCOUNTING FIRM</w:t>
      </w:r>
    </w:p>
    <w:p>
      <w:pPr>
        <w:spacing w:after="0" w:line="6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audit committee has appointed Ernst &amp; Young LLP, an independent registered public accounting firm, to audit our consolidated financial statements for our fiscal year ending December 31, 2026. Ernst &amp; Young LLP has served as our independent registered public accounting firm since 2013.</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At the Annual Meeting, our stockholders are being asked to ratify the appointment of Ernst &amp; Young LLP as our independent registered public accounting firm for our fiscal year ending December 31, 2026.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color w:val="0063A6"/>
        </w:rPr>
        <w:t>Fees Paid to the Independent Registered Public Accounting Firm</w:t>
      </w:r>
    </w:p>
    <w:p>
      <w:pPr>
        <w:spacing w:after="0" w:line="21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following table presents fees for professional audit services and other services rendered to our company by Ernst &amp; Young LLP for our fiscal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39370</wp:posOffset>
            </wp:positionV>
            <wp:extent cx="17145" cy="9772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97726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39370</wp:posOffset>
            </wp:positionV>
            <wp:extent cx="17145" cy="9772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97726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520" w:type="dxa"/>
            <w:vAlign w:val="bottom"/>
            <w:tcBorders>
              <w:bottom w:val="single" w:sz="8" w:color="0063A6"/>
            </w:tcBorders>
            <w:shd w:val="clear" w:color="auto" w:fill="0063A6"/>
          </w:tcPr>
          <w:p>
            <w:pPr>
              <w:spacing w:after="0"/>
              <w:rPr>
                <w:sz w:val="24"/>
                <w:szCs w:val="24"/>
                <w:color w:val="auto"/>
              </w:rPr>
            </w:pPr>
          </w:p>
        </w:tc>
        <w:tc>
          <w:tcPr>
            <w:tcW w:w="440" w:type="dxa"/>
            <w:vAlign w:val="bottom"/>
            <w:tcBorders>
              <w:bottom w:val="single" w:sz="8" w:color="0063A6"/>
            </w:tcBorders>
            <w:shd w:val="clear" w:color="auto" w:fill="0063A6"/>
          </w:tcPr>
          <w:p>
            <w:pPr>
              <w:spacing w:after="0"/>
              <w:rPr>
                <w:sz w:val="24"/>
                <w:szCs w:val="24"/>
                <w:color w:val="auto"/>
              </w:rPr>
            </w:pPr>
          </w:p>
        </w:tc>
        <w:tc>
          <w:tcPr>
            <w:tcW w:w="1420" w:type="dxa"/>
            <w:vAlign w:val="bottom"/>
            <w:tcBorders>
              <w:bottom w:val="single" w:sz="8" w:color="0063A6"/>
            </w:tcBorders>
            <w:shd w:val="clear" w:color="auto" w:fill="0063A6"/>
          </w:tcPr>
          <w:p>
            <w:pPr>
              <w:jc w:val="right"/>
              <w:ind w:right="701"/>
              <w:spacing w:after="0"/>
              <w:rPr>
                <w:sz w:val="20"/>
                <w:szCs w:val="20"/>
                <w:color w:val="auto"/>
              </w:rPr>
            </w:pPr>
            <w:r>
              <w:rPr>
                <w:rFonts w:ascii="Arial" w:cs="Arial" w:eastAsia="Arial" w:hAnsi="Arial"/>
                <w:sz w:val="14"/>
                <w:szCs w:val="14"/>
                <w:b w:val="1"/>
                <w:bCs w:val="1"/>
                <w:color w:val="FFFFFF"/>
              </w:rPr>
              <w:t>2025</w:t>
            </w:r>
          </w:p>
        </w:tc>
        <w:tc>
          <w:tcPr>
            <w:tcW w:w="440" w:type="dxa"/>
            <w:vAlign w:val="bottom"/>
            <w:tcBorders>
              <w:bottom w:val="single" w:sz="8" w:color="0063A6"/>
            </w:tcBorders>
            <w:shd w:val="clear" w:color="auto" w:fill="0063A6"/>
          </w:tcPr>
          <w:p>
            <w:pPr>
              <w:spacing w:after="0"/>
              <w:rPr>
                <w:sz w:val="24"/>
                <w:szCs w:val="24"/>
                <w:color w:val="auto"/>
              </w:rPr>
            </w:pPr>
          </w:p>
        </w:tc>
        <w:tc>
          <w:tcPr>
            <w:tcW w:w="1420" w:type="dxa"/>
            <w:vAlign w:val="bottom"/>
            <w:tcBorders>
              <w:bottom w:val="single" w:sz="8" w:color="0063A6"/>
            </w:tcBorders>
            <w:shd w:val="clear" w:color="auto" w:fill="0063A6"/>
          </w:tcPr>
          <w:p>
            <w:pPr>
              <w:jc w:val="right"/>
              <w:ind w:right="681"/>
              <w:spacing w:after="0"/>
              <w:rPr>
                <w:sz w:val="20"/>
                <w:szCs w:val="20"/>
                <w:color w:val="auto"/>
              </w:rPr>
            </w:pPr>
            <w:r>
              <w:rPr>
                <w:rFonts w:ascii="Arial" w:cs="Arial" w:eastAsia="Arial" w:hAnsi="Arial"/>
                <w:sz w:val="14"/>
                <w:szCs w:val="14"/>
                <w:b w:val="1"/>
                <w:bCs w:val="1"/>
                <w:color w:val="FFFFFF"/>
              </w:rPr>
              <w:t>2024</w:t>
            </w:r>
          </w:p>
        </w:tc>
      </w:tr>
      <w:tr>
        <w:trPr>
          <w:trHeight w:val="243"/>
        </w:trPr>
        <w:tc>
          <w:tcPr>
            <w:tcW w:w="7520" w:type="dxa"/>
            <w:vAlign w:val="bottom"/>
            <w:shd w:val="clear" w:color="auto" w:fill="F2F2F2"/>
          </w:tcPr>
          <w:p>
            <w:pPr>
              <w:ind w:left="6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3,843,000</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4,780,000</w:t>
            </w:r>
          </w:p>
        </w:tc>
      </w:tr>
      <w:tr>
        <w:trPr>
          <w:trHeight w:val="243"/>
        </w:trPr>
        <w:tc>
          <w:tcPr>
            <w:tcW w:w="7520" w:type="dxa"/>
            <w:vAlign w:val="bottom"/>
          </w:tcPr>
          <w:p>
            <w:pPr>
              <w:ind w:left="6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1,318,000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1,744,000</w:t>
            </w:r>
          </w:p>
        </w:tc>
      </w:tr>
      <w:tr>
        <w:trPr>
          <w:trHeight w:val="243"/>
        </w:trPr>
        <w:tc>
          <w:tcPr>
            <w:tcW w:w="7520" w:type="dxa"/>
            <w:vAlign w:val="bottom"/>
            <w:shd w:val="clear" w:color="auto" w:fill="F2F2F2"/>
          </w:tcPr>
          <w:p>
            <w:pPr>
              <w:ind w:left="6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49,000</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239,000</w:t>
            </w:r>
          </w:p>
        </w:tc>
      </w:tr>
      <w:tr>
        <w:trPr>
          <w:trHeight w:val="243"/>
        </w:trPr>
        <w:tc>
          <w:tcPr>
            <w:tcW w:w="7520" w:type="dxa"/>
            <w:vAlign w:val="bottom"/>
          </w:tcPr>
          <w:p>
            <w:pPr>
              <w:ind w:left="6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7,000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7,000</w:t>
            </w:r>
          </w:p>
        </w:tc>
      </w:tr>
      <w:tr>
        <w:trPr>
          <w:trHeight w:val="223"/>
        </w:trPr>
        <w:tc>
          <w:tcPr>
            <w:tcW w:w="752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Total Fees</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b w:val="1"/>
                <w:bCs w:val="1"/>
                <w:color w:val="auto"/>
              </w:rPr>
              <w:t>5,217,000</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b w:val="1"/>
                <w:bCs w:val="1"/>
                <w:color w:val="auto"/>
              </w:rPr>
              <w:t>6,770,000</w:t>
            </w:r>
          </w:p>
        </w:tc>
      </w:tr>
      <w:tr>
        <w:trPr>
          <w:trHeight w:val="20"/>
        </w:trPr>
        <w:tc>
          <w:tcPr>
            <w:tcW w:w="7520" w:type="dxa"/>
            <w:vAlign w:val="bottom"/>
            <w:shd w:val="clear" w:color="auto" w:fill="F2F2F2"/>
          </w:tcPr>
          <w:p>
            <w:pPr>
              <w:spacing w:after="0" w:line="20" w:lineRule="exact"/>
              <w:rPr>
                <w:sz w:val="1"/>
                <w:szCs w:val="1"/>
                <w:color w:val="auto"/>
              </w:rPr>
            </w:pPr>
          </w:p>
        </w:tc>
        <w:tc>
          <w:tcPr>
            <w:tcW w:w="440" w:type="dxa"/>
            <w:vAlign w:val="bottom"/>
            <w:shd w:val="clear" w:color="auto" w:fill="F2F2F2"/>
          </w:tcPr>
          <w:p>
            <w:pPr>
              <w:spacing w:after="0" w:line="20" w:lineRule="exact"/>
              <w:rPr>
                <w:sz w:val="1"/>
                <w:szCs w:val="1"/>
                <w:color w:val="auto"/>
              </w:rPr>
            </w:pPr>
          </w:p>
        </w:tc>
        <w:tc>
          <w:tcPr>
            <w:tcW w:w="1420" w:type="dxa"/>
            <w:vAlign w:val="bottom"/>
            <w:shd w:val="clear" w:color="auto" w:fill="F2F2F2"/>
          </w:tcPr>
          <w:p>
            <w:pPr>
              <w:spacing w:after="0" w:line="20" w:lineRule="exact"/>
              <w:rPr>
                <w:sz w:val="1"/>
                <w:szCs w:val="1"/>
                <w:color w:val="auto"/>
              </w:rPr>
            </w:pPr>
          </w:p>
        </w:tc>
        <w:tc>
          <w:tcPr>
            <w:tcW w:w="440" w:type="dxa"/>
            <w:vAlign w:val="bottom"/>
            <w:shd w:val="clear" w:color="auto" w:fill="F2F2F2"/>
          </w:tcPr>
          <w:p>
            <w:pPr>
              <w:spacing w:after="0" w:line="20" w:lineRule="exact"/>
              <w:rPr>
                <w:sz w:val="1"/>
                <w:szCs w:val="1"/>
                <w:color w:val="auto"/>
              </w:rPr>
            </w:pPr>
          </w:p>
        </w:tc>
        <w:tc>
          <w:tcPr>
            <w:tcW w:w="1420" w:type="dxa"/>
            <w:vAlign w:val="bottom"/>
            <w:shd w:val="clear" w:color="auto" w:fill="F2F2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-770890</wp:posOffset>
            </wp:positionV>
            <wp:extent cx="17145" cy="771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771525"/>
                    </a:xfrm>
                    <a:prstGeom prst="rect">
                      <a:avLst/>
                    </a:prstGeom>
                    <a:noFill/>
                  </pic:spPr>
                </pic:pic>
              </a:graphicData>
            </a:graphic>
          </wp:anchor>
        </w:drawing>
      </w:r>
    </w:p>
    <w:p>
      <w:pPr>
        <w:spacing w:after="0" w:line="65" w:lineRule="exact"/>
        <w:rPr>
          <w:sz w:val="20"/>
          <w:szCs w:val="20"/>
          <w:color w:val="auto"/>
        </w:rPr>
      </w:pPr>
    </w:p>
    <w:p>
      <w:pPr>
        <w:ind w:left="340" w:right="220" w:hanging="332"/>
        <w:spacing w:after="0" w:line="222" w:lineRule="auto"/>
        <w:tabs>
          <w:tab w:leader="none" w:pos="333"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w:t>
      </w:r>
    </w:p>
    <w:p>
      <w:pPr>
        <w:jc w:val="both"/>
        <w:ind w:left="340" w:right="300" w:hanging="332"/>
        <w:spacing w:after="0" w:line="221" w:lineRule="auto"/>
        <w:tabs>
          <w:tab w:leader="none" w:pos="333"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our consolidated financial statements, audit of our internal controls over financial reporting, and not reported under “Audit Fees”. This includes fees for professional services with respect to the Statement on Standards for Attestation Engagements (SSAE) No. 18 and other service organization control related examinations, certifications, and assessments.</w:t>
      </w:r>
    </w:p>
    <w:p>
      <w:pPr>
        <w:spacing w:after="0" w:line="1" w:lineRule="exact"/>
        <w:rPr>
          <w:rFonts w:ascii="Arial" w:cs="Arial" w:eastAsia="Arial" w:hAnsi="Arial"/>
          <w:sz w:val="19"/>
          <w:szCs w:val="19"/>
          <w:color w:val="auto"/>
          <w:vertAlign w:val="superscript"/>
        </w:rPr>
      </w:pPr>
    </w:p>
    <w:p>
      <w:pPr>
        <w:ind w:left="320" w:hanging="312"/>
        <w:spacing w:after="0" w:line="192" w:lineRule="auto"/>
        <w:tabs>
          <w:tab w:leader="none" w:pos="32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Tax Fees consist of fees for professional services for domestic and international tax advisory services.</w:t>
      </w:r>
    </w:p>
    <w:p>
      <w:pPr>
        <w:ind w:left="340" w:right="60" w:hanging="332"/>
        <w:spacing w:after="0" w:line="264" w:lineRule="auto"/>
        <w:tabs>
          <w:tab w:leader="none" w:pos="333" w:val="left"/>
        </w:tabs>
        <w:numPr>
          <w:ilvl w:val="0"/>
          <w:numId w:val="39"/>
        </w:numPr>
        <w:rPr>
          <w:rFonts w:ascii="Arial" w:cs="Arial" w:eastAsia="Arial" w:hAnsi="Arial"/>
          <w:sz w:val="9"/>
          <w:szCs w:val="9"/>
          <w:color w:val="auto"/>
        </w:rPr>
      </w:pPr>
      <w:r>
        <w:rPr>
          <w:rFonts w:ascii="Arial" w:cs="Arial" w:eastAsia="Arial" w:hAnsi="Arial"/>
          <w:sz w:val="14"/>
          <w:szCs w:val="14"/>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pacing w:after="0" w:line="351" w:lineRule="exact"/>
        <w:rPr>
          <w:sz w:val="20"/>
          <w:szCs w:val="20"/>
          <w:color w:val="auto"/>
        </w:rPr>
      </w:pPr>
    </w:p>
    <w:p>
      <w:pPr>
        <w:spacing w:after="0"/>
        <w:rPr>
          <w:sz w:val="20"/>
          <w:szCs w:val="20"/>
          <w:color w:val="auto"/>
        </w:rPr>
      </w:pPr>
      <w:r>
        <w:rPr>
          <w:rFonts w:ascii="Arial" w:cs="Arial" w:eastAsia="Arial" w:hAnsi="Arial"/>
          <w:sz w:val="26"/>
          <w:szCs w:val="26"/>
          <w:color w:val="0063A6"/>
        </w:rPr>
        <w:t>Auditor Independence</w:t>
      </w:r>
    </w:p>
    <w:p>
      <w:pPr>
        <w:spacing w:after="0" w:line="21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our fiscal year ended December 31, 2025, there were no other professional services provided by Ernst &amp; Young LLP, other than those listed above, that would have required our audit committee to consider their compatibility with maintaining the independence of Ernst &amp; Young LLP.</w:t>
      </w:r>
    </w:p>
    <w:p>
      <w:pPr>
        <w:spacing w:after="0" w:line="326" w:lineRule="exact"/>
        <w:rPr>
          <w:sz w:val="20"/>
          <w:szCs w:val="20"/>
          <w:color w:val="auto"/>
        </w:rPr>
      </w:pPr>
    </w:p>
    <w:p>
      <w:pPr>
        <w:ind w:right="1100"/>
        <w:spacing w:after="0" w:line="276" w:lineRule="auto"/>
        <w:rPr>
          <w:sz w:val="20"/>
          <w:szCs w:val="20"/>
          <w:color w:val="auto"/>
        </w:rPr>
      </w:pPr>
      <w:r>
        <w:rPr>
          <w:rFonts w:ascii="Arial" w:cs="Arial" w:eastAsia="Arial" w:hAnsi="Arial"/>
          <w:sz w:val="26"/>
          <w:szCs w:val="26"/>
          <w:color w:val="0063A6"/>
        </w:rPr>
        <w:t>Audit Committee Policy on Pre-Approval of Audit and Permissible Non-Audit Services of Independent Registered Public Accounting Firm</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2024 and 2025 were pre-approved by our audit committee.</w:t>
      </w:r>
    </w:p>
    <w:p>
      <w:pPr>
        <w:spacing w:after="0" w:line="200" w:lineRule="exact"/>
        <w:rPr>
          <w:sz w:val="20"/>
          <w:szCs w:val="20"/>
          <w:color w:val="auto"/>
        </w:rPr>
      </w:pPr>
    </w:p>
    <w:p>
      <w:pPr>
        <w:spacing w:after="0" w:line="307" w:lineRule="exact"/>
        <w:rPr>
          <w:sz w:val="20"/>
          <w:szCs w:val="20"/>
          <w:color w:val="auto"/>
        </w:rPr>
      </w:pPr>
    </w:p>
    <w:p>
      <w:pPr>
        <w:ind w:left="580" w:hanging="554"/>
        <w:spacing w:after="0"/>
        <w:tabs>
          <w:tab w:leader="none" w:pos="5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8" w:lineRule="exact"/>
        <w:rPr>
          <w:sz w:val="20"/>
          <w:szCs w:val="20"/>
          <w:color w:val="auto"/>
        </w:rPr>
      </w:pPr>
    </w:p>
    <w:p>
      <w:pPr>
        <w:ind w:right="680"/>
        <w:spacing w:after="0" w:line="256" w:lineRule="auto"/>
        <w:rPr>
          <w:sz w:val="20"/>
          <w:szCs w:val="20"/>
          <w:color w:val="auto"/>
        </w:rPr>
      </w:pPr>
      <w:r>
        <w:rPr>
          <w:rFonts w:ascii="Arial" w:cs="Arial" w:eastAsia="Arial" w:hAnsi="Arial"/>
          <w:sz w:val="31"/>
          <w:szCs w:val="31"/>
          <w:color w:val="0063A6"/>
        </w:rPr>
        <w:t>PROPOSAL NO. 2—RATIFICATION OF APPOINTMENT OF INDEPENDENT REGISTERED PUBLIC ACCOUNTING FIRM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2026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347"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0063A6"/>
        </w:rPr>
        <w:t>THE BOARD OF DIRECTORS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31"/>
          <w:szCs w:val="31"/>
          <w:color w:val="0063A6"/>
        </w:rPr>
        <w:t>REPORT OF THE AUDIT COMMITTEE</w:t>
      </w:r>
    </w:p>
    <w:p>
      <w:pPr>
        <w:spacing w:after="0" w:line="35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 (1) establishing and maintaining internal controls and (2) preparing Dropbox’s consolidated financial statements. Dropbox’s independent registered public accounting firm, Ernst &amp; Young LLP (“</w:t>
      </w:r>
      <w:r>
        <w:rPr>
          <w:rFonts w:ascii="Arial" w:cs="Arial" w:eastAsia="Arial" w:hAnsi="Arial"/>
          <w:sz w:val="16"/>
          <w:szCs w:val="16"/>
          <w:b w:val="1"/>
          <w:bCs w:val="1"/>
          <w:i w:val="1"/>
          <w:iCs w:val="1"/>
          <w:color w:val="auto"/>
        </w:rPr>
        <w:t>Ernst &amp; Young</w:t>
      </w:r>
      <w:r>
        <w:rPr>
          <w:rFonts w:ascii="Arial" w:cs="Arial" w:eastAsia="Arial" w:hAnsi="Arial"/>
          <w:sz w:val="16"/>
          <w:szCs w:val="16"/>
          <w:color w:val="auto"/>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120" w:lineRule="exact"/>
        <w:rPr>
          <w:sz w:val="20"/>
          <w:szCs w:val="20"/>
          <w:color w:val="auto"/>
        </w:rPr>
      </w:pPr>
    </w:p>
    <w:p>
      <w:pPr>
        <w:ind w:left="720" w:hanging="307"/>
        <w:spacing w:after="0"/>
        <w:tabs>
          <w:tab w:leader="none" w:pos="720"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reviewed and discussed the audited consolidated financial statements with management, internal audit and Ernst &amp; Young;</w:t>
      </w:r>
    </w:p>
    <w:p>
      <w:pPr>
        <w:spacing w:after="0" w:line="167" w:lineRule="exact"/>
        <w:rPr>
          <w:rFonts w:ascii="Arial" w:cs="Arial" w:eastAsia="Arial" w:hAnsi="Arial"/>
          <w:sz w:val="16"/>
          <w:szCs w:val="16"/>
          <w:color w:val="0063A6"/>
        </w:rPr>
      </w:pPr>
    </w:p>
    <w:p>
      <w:pPr>
        <w:ind w:left="740" w:right="220" w:hanging="327"/>
        <w:spacing w:after="0" w:line="296" w:lineRule="auto"/>
        <w:tabs>
          <w:tab w:leader="none" w:pos="729"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discussed with Ernst &amp; Young the matters required to be discussed by the applicable requirements of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and the SEC; and</w:t>
      </w:r>
    </w:p>
    <w:p>
      <w:pPr>
        <w:spacing w:after="0" w:line="86" w:lineRule="exact"/>
        <w:rPr>
          <w:rFonts w:ascii="Arial" w:cs="Arial" w:eastAsia="Arial" w:hAnsi="Arial"/>
          <w:sz w:val="16"/>
          <w:szCs w:val="16"/>
          <w:color w:val="0063A6"/>
        </w:rPr>
      </w:pPr>
    </w:p>
    <w:p>
      <w:pPr>
        <w:ind w:left="740" w:right="200" w:hanging="327"/>
        <w:spacing w:after="0" w:line="286" w:lineRule="auto"/>
        <w:tabs>
          <w:tab w:leader="none" w:pos="729"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8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2025 for filing with the SEC.</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Warren Jenson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Lisa Campbell</w:t>
      </w:r>
    </w:p>
    <w:p>
      <w:pPr>
        <w:spacing w:after="0"/>
        <w:rPr>
          <w:sz w:val="20"/>
          <w:szCs w:val="20"/>
          <w:color w:val="auto"/>
        </w:rPr>
      </w:pPr>
      <w:r>
        <w:rPr>
          <w:rFonts w:ascii="Arial" w:cs="Arial" w:eastAsia="Arial" w:hAnsi="Arial"/>
          <w:sz w:val="16"/>
          <w:szCs w:val="16"/>
          <w:b w:val="1"/>
          <w:bCs w:val="1"/>
          <w:color w:val="auto"/>
        </w:rPr>
        <w:t>Andrew Moore</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under the Exchange Act, except to the extent that we specifically incorporate this information by reference, and will not otherwise be deemed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“soliciting material” or “filed” under either the Securities Act or the Exchange Act.</w:t>
      </w:r>
    </w:p>
    <w:p>
      <w:pPr>
        <w:spacing w:after="0" w:line="200" w:lineRule="exact"/>
        <w:rPr>
          <w:sz w:val="20"/>
          <w:szCs w:val="20"/>
          <w:color w:val="auto"/>
        </w:rPr>
      </w:pPr>
    </w:p>
    <w:p>
      <w:pPr>
        <w:spacing w:after="0" w:line="307" w:lineRule="exact"/>
        <w:rPr>
          <w:sz w:val="20"/>
          <w:szCs w:val="20"/>
          <w:color w:val="auto"/>
        </w:rPr>
      </w:pPr>
    </w:p>
    <w:p>
      <w:pPr>
        <w:ind w:left="580" w:hanging="554"/>
        <w:spacing w:after="0"/>
        <w:tabs>
          <w:tab w:leader="none" w:pos="58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8" w:lineRule="exact"/>
        <w:rPr>
          <w:sz w:val="20"/>
          <w:szCs w:val="20"/>
          <w:color w:val="auto"/>
        </w:rPr>
      </w:pPr>
    </w:p>
    <w:p>
      <w:pPr>
        <w:ind w:right="800"/>
        <w:spacing w:after="0" w:line="268" w:lineRule="auto"/>
        <w:rPr>
          <w:sz w:val="20"/>
          <w:szCs w:val="20"/>
          <w:color w:val="auto"/>
        </w:rPr>
      </w:pPr>
      <w:r>
        <w:rPr>
          <w:rFonts w:ascii="Arial" w:cs="Arial" w:eastAsia="Arial" w:hAnsi="Arial"/>
          <w:sz w:val="31"/>
          <w:szCs w:val="31"/>
          <w:color w:val="0063A6"/>
        </w:rPr>
        <w:t>PROPOSAL NO. 3—ADVISORY VOTE ON THE COMPENSATION OF OUR NAMED EXECUTIVE OFFICERS</w:t>
      </w:r>
    </w:p>
    <w:p>
      <w:pPr>
        <w:spacing w:after="0" w:line="6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accordance with Section 14A of the Exchange Act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1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Say-on-Pay vote is advisory, and therefore is not binding on us, our talent and compensation committee, or our board of directors. The Say-on-Pay vote will, however, provide information to us regarding investor sentiment about our executive compensation philosophy, policies and practices, which our talent and compensation committee will be able to consider when determining executive compensation for the remainder of the current fiscal year and beyond. Our board of directors and our talent and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talent and compensation committee will evaluate whether any actions are necessary to address those concerns.</w:t>
      </w:r>
    </w:p>
    <w:p>
      <w:pPr>
        <w:spacing w:after="0" w:line="13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believe that the information provided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in particular the information discussed in the section titled “</w:t>
      </w:r>
      <w:r>
        <w:rPr>
          <w:rFonts w:ascii="Arial" w:cs="Arial" w:eastAsia="Arial" w:hAnsi="Arial"/>
          <w:sz w:val="16"/>
          <w:szCs w:val="16"/>
          <w:i w:val="1"/>
          <w:iCs w:val="1"/>
          <w:color w:val="auto"/>
        </w:rPr>
        <w:t>Executive Compensation—Compensation Discussion and Analysis— Executive Compensation Philosophy and Objectives</w:t>
      </w:r>
      <w:r>
        <w:rPr>
          <w:rFonts w:ascii="Arial" w:cs="Arial" w:eastAsia="Arial" w:hAnsi="Arial"/>
          <w:sz w:val="16"/>
          <w:szCs w:val="16"/>
          <w:color w:val="auto"/>
        </w:rPr>
        <w:t>,”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29"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21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104"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of directors and our talent and compensation committee value the opinions of our stockholders and will consider the outcome of the vote when making future compensation decisions for our named executive officers.</w:t>
      </w:r>
    </w:p>
    <w:p>
      <w:pPr>
        <w:spacing w:after="0" w:line="347"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b w:val="1"/>
          <w:bCs w:val="1"/>
          <w:color w:val="0063A6"/>
        </w:rPr>
        <w:t>THE BOARD OF DIRECTORS RECOMMENDS A VOTE “FOR” THE APPROVAL, ON AN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5" w:lineRule="exact"/>
        <w:rPr>
          <w:sz w:val="20"/>
          <w:szCs w:val="20"/>
          <w:color w:val="auto"/>
        </w:rPr>
      </w:pPr>
    </w:p>
    <w:p>
      <w:pPr>
        <w:ind w:right="1220"/>
        <w:spacing w:after="0" w:line="246" w:lineRule="auto"/>
        <w:rPr>
          <w:sz w:val="20"/>
          <w:szCs w:val="20"/>
          <w:color w:val="auto"/>
        </w:rPr>
      </w:pPr>
      <w:r>
        <w:rPr>
          <w:rFonts w:ascii="Arial" w:cs="Arial" w:eastAsia="Arial" w:hAnsi="Arial"/>
          <w:sz w:val="31"/>
          <w:szCs w:val="31"/>
          <w:color w:val="0063A6"/>
        </w:rPr>
        <w:t>PROPOSAL NO. 4—PROPOSAL TO APPROVE AN AMENDMENT AND RESTATEMENT OF OUR ARTICLES (JURY TRIAL WAIVER)</w:t>
      </w:r>
    </w:p>
    <w:p>
      <w:pPr>
        <w:spacing w:after="0" w:line="1" w:lineRule="exact"/>
        <w:rPr>
          <w:sz w:val="20"/>
          <w:szCs w:val="20"/>
          <w:color w:val="auto"/>
        </w:rPr>
      </w:pPr>
    </w:p>
    <w:p>
      <w:pPr>
        <w:spacing w:after="0"/>
        <w:rPr>
          <w:sz w:val="20"/>
          <w:szCs w:val="20"/>
          <w:color w:val="auto"/>
        </w:rPr>
      </w:pPr>
      <w:r>
        <w:rPr>
          <w:rFonts w:ascii="Arial" w:cs="Arial" w:eastAsia="Arial" w:hAnsi="Arial"/>
          <w:sz w:val="26"/>
          <w:szCs w:val="26"/>
          <w:color w:val="0063A6"/>
        </w:rPr>
        <w:t>Overview and Background</w:t>
      </w:r>
    </w:p>
    <w:p>
      <w:pPr>
        <w:spacing w:after="0" w:line="19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March 2025, we reincorporated to Nevada from Delaware and the company is now incorporated under the laws of the State of Nevada, and governed by Chapters 78 and 92A of the Nevada Revised Statutes (“</w:t>
      </w:r>
      <w:r>
        <w:rPr>
          <w:rFonts w:ascii="Arial" w:cs="Arial" w:eastAsia="Arial" w:hAnsi="Arial"/>
          <w:sz w:val="16"/>
          <w:szCs w:val="16"/>
          <w:b w:val="1"/>
          <w:bCs w:val="1"/>
          <w:i w:val="1"/>
          <w:iCs w:val="1"/>
          <w:color w:val="auto"/>
        </w:rPr>
        <w:t>NRS</w:t>
      </w:r>
      <w:r>
        <w:rPr>
          <w:rFonts w:ascii="Arial" w:cs="Arial" w:eastAsia="Arial" w:hAnsi="Arial"/>
          <w:sz w:val="16"/>
          <w:szCs w:val="16"/>
          <w:color w:val="auto"/>
        </w:rPr>
        <w:t>”).</w:t>
      </w:r>
    </w:p>
    <w:p>
      <w:pPr>
        <w:spacing w:after="0" w:line="73"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As described below, in May 2025, the Nevada Legislature enacted Assembly Bill No. 239 (“</w:t>
      </w:r>
      <w:r>
        <w:rPr>
          <w:rFonts w:ascii="Arial" w:cs="Arial" w:eastAsia="Arial" w:hAnsi="Arial"/>
          <w:sz w:val="16"/>
          <w:szCs w:val="16"/>
          <w:b w:val="1"/>
          <w:bCs w:val="1"/>
          <w:i w:val="1"/>
          <w:iCs w:val="1"/>
          <w:color w:val="auto"/>
        </w:rPr>
        <w:t>AB 239</w:t>
      </w:r>
      <w:r>
        <w:rPr>
          <w:rFonts w:ascii="Arial" w:cs="Arial" w:eastAsia="Arial" w:hAnsi="Arial"/>
          <w:sz w:val="16"/>
          <w:szCs w:val="16"/>
          <w:color w:val="auto"/>
        </w:rPr>
        <w:t>”) which permits a Nevada corporation to include a provision in its articles of incorporation specifying that certain “internal actions” filed in Nevada state court must be tried by the presiding judge as the trier of fact. In consultation with counsel, our board of directors has evaluated this and certain other changes to our Articles and has approved, and recommended that our stockholders approve, the amendment and restatement of our Articles to include a limited jury trial waiver and make certain contextual and other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ministerial amendments</w:t>
      </w:r>
      <w:r>
        <w:rPr>
          <w:rFonts w:ascii="Arial" w:cs="Arial" w:eastAsia="Arial" w:hAnsi="Arial"/>
          <w:sz w:val="21"/>
          <w:szCs w:val="21"/>
          <w:color w:val="auto"/>
        </w:rPr>
        <w:t>.</w:t>
      </w:r>
    </w:p>
    <w:p>
      <w:pPr>
        <w:spacing w:after="0" w:line="367" w:lineRule="exact"/>
        <w:rPr>
          <w:sz w:val="20"/>
          <w:szCs w:val="20"/>
          <w:color w:val="auto"/>
        </w:rPr>
      </w:pPr>
    </w:p>
    <w:p>
      <w:pPr>
        <w:spacing w:after="0"/>
        <w:rPr>
          <w:sz w:val="20"/>
          <w:szCs w:val="20"/>
          <w:color w:val="auto"/>
        </w:rPr>
      </w:pPr>
      <w:r>
        <w:rPr>
          <w:rFonts w:ascii="Arial" w:cs="Arial" w:eastAsia="Arial" w:hAnsi="Arial"/>
          <w:sz w:val="26"/>
          <w:szCs w:val="26"/>
          <w:color w:val="0063A6"/>
        </w:rPr>
        <w:t>Description of Proposed Amendments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Limited Jury Trial Waiver</w:t>
      </w:r>
    </w:p>
    <w:p>
      <w:pPr>
        <w:spacing w:after="0" w:line="169"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AB 239 amended NRS 78.046 to permit a Nevada corporation to include a provision in its articles of incorporation specifying that, to the extent not inconsistent with U.S. federal law, all or certain “internal actions” (as defined in NRS 78.046) filed in Nevada state court must be tried before the presiding judge as the trier of fact, rather than before a jury. Under NRS 78.046, “internal actions” include any action, suit or proceeding:</w:t>
      </w:r>
    </w:p>
    <w:p>
      <w:pPr>
        <w:spacing w:after="0" w:line="14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Arial" w:cs="Arial" w:eastAsia="Arial" w:hAnsi="Arial"/>
          <w:sz w:val="16"/>
          <w:szCs w:val="16"/>
          <w:color w:val="auto"/>
        </w:rPr>
        <w:t>Brought in the name or right of the corporation;</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6"/>
          <w:szCs w:val="16"/>
          <w:color w:val="auto"/>
        </w:rPr>
        <w:t>For or based upon any breach of fiduciary duty owed by any director, officer or controlling stockholder; or</w:t>
      </w:r>
    </w:p>
    <w:p>
      <w:pPr>
        <w:spacing w:after="0" w:line="176" w:lineRule="exact"/>
        <w:rPr>
          <w:rFonts w:ascii="Times New Roman" w:cs="Times New Roman" w:eastAsia="Times New Roman" w:hAnsi="Times New Roman"/>
          <w:sz w:val="22"/>
          <w:szCs w:val="22"/>
          <w:color w:val="auto"/>
        </w:rPr>
      </w:pPr>
    </w:p>
    <w:p>
      <w:pPr>
        <w:jc w:val="both"/>
        <w:ind w:left="660" w:right="180" w:hanging="328"/>
        <w:spacing w:after="0" w:line="197" w:lineRule="auto"/>
        <w:tabs>
          <w:tab w:leader="none" w:pos="655"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6"/>
          <w:szCs w:val="16"/>
          <w:color w:val="auto"/>
        </w:rPr>
        <w:t>Arising pursuant to, or to interpret, apply, enforce or determine the validity of, any provision of NRS Title 7 (which includes Nevada’s corporation statutes), the articles of incorporation, the bylaws or any agreement entered into pursuant to NRS 78.365 to which the corporation is a party or a stated beneficiary thereof.</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 limited jury trial waiver must appear in the corporation’s articles of incorporation, which requires both board and stockholder approval.</w:t>
      </w:r>
    </w:p>
    <w:p>
      <w:pPr>
        <w:spacing w:after="0" w:line="15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board of directors believes that a limited jury trial waiver in our articles of incorporation would enhance the predictability and efficiency of resolving disputes relating to “internal actions” (as described above). A limited jury trial waiver for internal actions, such as fiduciary duty claims or derivative suits, could help these matters resolve more quickly and with greater consistency, potentially reducing litigation uncertainty, legal costs, and the potential for unpredictable outcomes that could negatively affect our operations or stockholder value. Including a limited jury trial waiver in the proposed amendments to our Articles also aligns our framework more closely with how we previously operated under Delaware law, where internal actions would have been tried before a judge in the Delaware Chancery Court, rather than before a jury.</w:t>
      </w:r>
    </w:p>
    <w:p>
      <w:pPr>
        <w:spacing w:after="0" w:line="12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light of this update in Nevada law, our board is proposing to amend and restate our Articles to include the limited jury trial waiver, as permitted by NRS 78.046.</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Certain Other Changes</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consideration of our proposal to amend and restate our Articles with respect to the limited jury trial waiver, the company considered additional textual and immaterial matters that require update in our Articles, and the company has included certain contextual and other ministerial revisions in the proposed amendments, including new defined terms and drafting refinements. If approved, the amendments to our Articles contemplated by this Proposal No. 4 would be filed with the Nevada Secretary of State in an amendment and restatement of our Articles.</w:t>
      </w:r>
    </w:p>
    <w:p>
      <w:pPr>
        <w:spacing w:after="0" w:line="129"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Taking into account the benefits our board of directors believes would accrue to the company and its stockholders with a limited jury trial waiver, along with incorporating certain textual and immaterial revisions, our board of directors has unanimously determined that it is advisable and in the best interests of the company and our stockholders to approve these amendments to our Articles and has approved and adopted the proposed amendment and restatement of our Articles, subject to approval by our stockholders.</w:t>
      </w:r>
    </w:p>
    <w:p>
      <w:pPr>
        <w:spacing w:after="0" w:line="200" w:lineRule="exact"/>
        <w:rPr>
          <w:sz w:val="20"/>
          <w:szCs w:val="20"/>
          <w:color w:val="auto"/>
        </w:rPr>
      </w:pPr>
    </w:p>
    <w:p>
      <w:pPr>
        <w:spacing w:after="0" w:line="312" w:lineRule="exact"/>
        <w:rPr>
          <w:sz w:val="20"/>
          <w:szCs w:val="20"/>
          <w:color w:val="auto"/>
        </w:rPr>
      </w:pPr>
    </w:p>
    <w:p>
      <w:pPr>
        <w:ind w:left="580" w:hanging="554"/>
        <w:spacing w:after="0"/>
        <w:tabs>
          <w:tab w:leader="none" w:pos="5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04"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5" w:lineRule="exact"/>
        <w:rPr>
          <w:sz w:val="20"/>
          <w:szCs w:val="20"/>
          <w:color w:val="auto"/>
        </w:rPr>
      </w:pPr>
    </w:p>
    <w:p>
      <w:pPr>
        <w:jc w:val="both"/>
        <w:ind w:right="1220"/>
        <w:spacing w:after="0" w:line="285" w:lineRule="auto"/>
        <w:rPr>
          <w:sz w:val="20"/>
          <w:szCs w:val="20"/>
          <w:color w:val="auto"/>
        </w:rPr>
      </w:pPr>
      <w:r>
        <w:rPr>
          <w:rFonts w:ascii="Arial" w:cs="Arial" w:eastAsia="Arial" w:hAnsi="Arial"/>
          <w:sz w:val="30"/>
          <w:szCs w:val="30"/>
          <w:color w:val="0063A6"/>
        </w:rPr>
        <w:t>PROPOSAL NO. 4—PROPOSAL TO APPROVE AN AMENDMENT AND RESTATEMENT OF OUR ARTICLES (JURY TRIAL WAIVER) (continued)</w:t>
      </w:r>
    </w:p>
    <w:p>
      <w:pPr>
        <w:spacing w:after="0" w:line="130" w:lineRule="exact"/>
        <w:rPr>
          <w:sz w:val="20"/>
          <w:szCs w:val="20"/>
          <w:color w:val="auto"/>
        </w:rPr>
      </w:pPr>
    </w:p>
    <w:p>
      <w:pPr>
        <w:spacing w:after="0"/>
        <w:rPr>
          <w:sz w:val="20"/>
          <w:szCs w:val="20"/>
          <w:color w:val="auto"/>
        </w:rPr>
      </w:pPr>
      <w:r>
        <w:rPr>
          <w:rFonts w:ascii="Arial" w:cs="Arial" w:eastAsia="Arial" w:hAnsi="Arial"/>
          <w:sz w:val="26"/>
          <w:szCs w:val="26"/>
          <w:color w:val="0063A6"/>
        </w:rPr>
        <w:t>Text of Proposed New Article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LIMITED WAIVER OF JURY TRIAL</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 the fullest extent not inconsistent with any applicable U.S. federal laws, any and all “internal actions” (as defined in NRS 78.046) must be tried in a court of competent jurisdiction before the presiding judge as the trier of fact and not before a jury. This Article XI shall conclusively operate as a waiver of the right to trial by jury by each party to any such internal action.</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 *</w:t>
      </w:r>
    </w:p>
    <w:p>
      <w:pPr>
        <w:spacing w:after="0" w:line="200" w:lineRule="exact"/>
        <w:rPr>
          <w:sz w:val="20"/>
          <w:szCs w:val="20"/>
          <w:color w:val="auto"/>
        </w:rPr>
      </w:pP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 xml:space="preserve">A copy of the proposed amended and restated Articles showing the proposed revisions, with deleted text shown in strikethrough and added text shown as underlined in blue, is included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proxy statement. All stockholders are encouraged to read the proposed amended and restated Articles in its entirety for a more complete description of its terms.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Accordingly, we ask our stockholders to vote on the following resolution:</w:t>
      </w:r>
    </w:p>
    <w:p>
      <w:pPr>
        <w:spacing w:after="0" w:line="167"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 xml:space="preserve">"RESOLVED, that the company’s stockholders approve the company’s proposed amendment and restatement of our Articles with respect to the limited jury trial waiver and related contextual and other ministerial amendments, as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219" w:lineRule="exact"/>
        <w:rPr>
          <w:sz w:val="20"/>
          <w:szCs w:val="20"/>
          <w:color w:val="auto"/>
        </w:rPr>
      </w:pPr>
    </w:p>
    <w:p>
      <w:pPr>
        <w:jc w:val="both"/>
        <w:ind w:right="160"/>
        <w:spacing w:after="0" w:line="257" w:lineRule="auto"/>
        <w:rPr>
          <w:sz w:val="20"/>
          <w:szCs w:val="20"/>
          <w:color w:val="auto"/>
        </w:rPr>
      </w:pPr>
      <w:r>
        <w:rPr>
          <w:rFonts w:ascii="Arial" w:cs="Arial" w:eastAsia="Arial" w:hAnsi="Arial"/>
          <w:sz w:val="16"/>
          <w:szCs w:val="16"/>
          <w:color w:val="auto"/>
        </w:rPr>
        <w:t>The approval of the amendment and restatement of our Articles to include the limited jury trial waiver (and other contextual and other ministerial revisions) requires the affirmative vote of the holders of at least two-thirds of the voting power of the outstanding shares of our common stock entitled to vote thereon, voting together as a single class. As a result, abstentions and broker non-votes will have the same effect as a vote “against” this proposal.</w:t>
      </w:r>
    </w:p>
    <w:p>
      <w:pPr>
        <w:spacing w:after="0" w:line="354" w:lineRule="exact"/>
        <w:rPr>
          <w:sz w:val="20"/>
          <w:szCs w:val="20"/>
          <w:color w:val="auto"/>
        </w:rPr>
      </w:pPr>
    </w:p>
    <w:p>
      <w:pPr>
        <w:ind w:right="540"/>
        <w:spacing w:after="0" w:line="279" w:lineRule="auto"/>
        <w:rPr>
          <w:sz w:val="20"/>
          <w:szCs w:val="20"/>
          <w:color w:val="auto"/>
        </w:rPr>
      </w:pPr>
      <w:r>
        <w:rPr>
          <w:rFonts w:ascii="Arial" w:cs="Arial" w:eastAsia="Arial" w:hAnsi="Arial"/>
          <w:sz w:val="16"/>
          <w:szCs w:val="16"/>
          <w:b w:val="1"/>
          <w:bCs w:val="1"/>
          <w:color w:val="0063A6"/>
        </w:rPr>
        <w:t>THE BOARD OF DIRECTORS UNANIMOUSLY RECOMMENDS A VOTE “FOR” THE PROPOSED AMENDED AND RESTATED ARTICLES WITH RESPECT TO THE LIMITED JURY TRIAL WAIVER AND RELATED CONTEXTUAL AND OTHER MINISTERIAL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OFFICERS</w:t>
      </w:r>
    </w:p>
    <w:p>
      <w:pPr>
        <w:spacing w:after="0" w:line="200" w:lineRule="exact"/>
        <w:rPr>
          <w:sz w:val="20"/>
          <w:szCs w:val="20"/>
          <w:color w:val="auto"/>
        </w:rPr>
      </w:pPr>
    </w:p>
    <w:p>
      <w:pPr>
        <w:spacing w:after="0" w:line="2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identifies certain information about our current executive officers as of April 6, 2026. Our executive officers are appointed by, and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660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60" w:type="dxa"/>
            <w:vAlign w:val="bottom"/>
            <w:shd w:val="clear" w:color="auto" w:fill="0063A6"/>
          </w:tcPr>
          <w:p>
            <w:pPr>
              <w:ind w:left="60"/>
              <w:spacing w:after="0"/>
              <w:rPr>
                <w:sz w:val="20"/>
                <w:szCs w:val="20"/>
                <w:color w:val="auto"/>
              </w:rPr>
            </w:pPr>
            <w:r>
              <w:rPr>
                <w:rFonts w:ascii="Arial" w:cs="Arial" w:eastAsia="Arial" w:hAnsi="Arial"/>
                <w:sz w:val="14"/>
                <w:szCs w:val="14"/>
                <w:color w:val="auto"/>
              </w:rPr>
              <w:t>Name</w:t>
            </w:r>
          </w:p>
        </w:tc>
        <w:tc>
          <w:tcPr>
            <w:tcW w:w="1700" w:type="dxa"/>
            <w:vAlign w:val="bottom"/>
            <w:shd w:val="clear" w:color="auto" w:fill="0063A6"/>
          </w:tcPr>
          <w:p>
            <w:pPr>
              <w:jc w:val="center"/>
              <w:spacing w:after="0"/>
              <w:rPr>
                <w:sz w:val="20"/>
                <w:szCs w:val="20"/>
                <w:color w:val="auto"/>
              </w:rPr>
            </w:pPr>
            <w:r>
              <w:rPr>
                <w:rFonts w:ascii="Arial" w:cs="Arial" w:eastAsia="Arial" w:hAnsi="Arial"/>
                <w:sz w:val="14"/>
                <w:szCs w:val="14"/>
                <w:color w:val="auto"/>
              </w:rPr>
              <w:t>Age</w:t>
            </w:r>
          </w:p>
        </w:tc>
        <w:tc>
          <w:tcPr>
            <w:tcW w:w="5980" w:type="dxa"/>
            <w:vAlign w:val="bottom"/>
            <w:shd w:val="clear" w:color="auto" w:fill="0063A6"/>
          </w:tcPr>
          <w:p>
            <w:pPr>
              <w:ind w:left="80"/>
              <w:spacing w:after="0"/>
              <w:rPr>
                <w:sz w:val="20"/>
                <w:szCs w:val="20"/>
                <w:color w:val="auto"/>
              </w:rPr>
            </w:pPr>
            <w:r>
              <w:rPr>
                <w:rFonts w:ascii="Arial" w:cs="Arial" w:eastAsia="Arial" w:hAnsi="Arial"/>
                <w:sz w:val="14"/>
                <w:szCs w:val="14"/>
                <w:color w:val="auto"/>
              </w:rPr>
              <w:t>Position</w:t>
            </w:r>
          </w:p>
        </w:tc>
      </w:tr>
      <w:tr>
        <w:trPr>
          <w:trHeight w:val="62"/>
        </w:trPr>
        <w:tc>
          <w:tcPr>
            <w:tcW w:w="3560" w:type="dxa"/>
            <w:vAlign w:val="bottom"/>
            <w:shd w:val="clear" w:color="auto" w:fill="0063A6"/>
          </w:tcPr>
          <w:p>
            <w:pPr>
              <w:spacing w:after="0"/>
              <w:rPr>
                <w:sz w:val="5"/>
                <w:szCs w:val="5"/>
                <w:color w:val="auto"/>
              </w:rPr>
            </w:pPr>
          </w:p>
        </w:tc>
        <w:tc>
          <w:tcPr>
            <w:tcW w:w="1700" w:type="dxa"/>
            <w:vAlign w:val="bottom"/>
            <w:shd w:val="clear" w:color="auto" w:fill="0063A6"/>
          </w:tcPr>
          <w:p>
            <w:pPr>
              <w:spacing w:after="0"/>
              <w:rPr>
                <w:sz w:val="5"/>
                <w:szCs w:val="5"/>
                <w:color w:val="auto"/>
              </w:rPr>
            </w:pPr>
          </w:p>
        </w:tc>
        <w:tc>
          <w:tcPr>
            <w:tcW w:w="5980" w:type="dxa"/>
            <w:vAlign w:val="bottom"/>
            <w:shd w:val="clear" w:color="auto" w:fill="0063A6"/>
          </w:tcPr>
          <w:p>
            <w:pPr>
              <w:spacing w:after="0"/>
              <w:rPr>
                <w:sz w:val="5"/>
                <w:szCs w:val="5"/>
                <w:color w:val="auto"/>
              </w:rPr>
            </w:pPr>
          </w:p>
        </w:tc>
      </w:tr>
      <w:tr>
        <w:trPr>
          <w:trHeight w:val="223"/>
        </w:trPr>
        <w:tc>
          <w:tcPr>
            <w:tcW w:w="35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Andrew W. Houston</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43</w:t>
            </w:r>
          </w:p>
        </w:tc>
        <w:tc>
          <w:tcPr>
            <w:tcW w:w="59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Chief Executive Officer, Co-Founder, and Chair</w:t>
            </w:r>
          </w:p>
        </w:tc>
      </w:tr>
      <w:tr>
        <w:trPr>
          <w:trHeight w:val="221"/>
        </w:trPr>
        <w:tc>
          <w:tcPr>
            <w:tcW w:w="3560" w:type="dxa"/>
            <w:vAlign w:val="bottom"/>
          </w:tcPr>
          <w:p>
            <w:pPr>
              <w:ind w:left="60"/>
              <w:spacing w:after="0"/>
              <w:rPr>
                <w:sz w:val="20"/>
                <w:szCs w:val="20"/>
                <w:color w:val="auto"/>
              </w:rPr>
            </w:pPr>
            <w:r>
              <w:rPr>
                <w:rFonts w:ascii="Arial" w:cs="Arial" w:eastAsia="Arial" w:hAnsi="Arial"/>
                <w:sz w:val="14"/>
                <w:szCs w:val="14"/>
                <w:color w:val="auto"/>
              </w:rPr>
              <w:t>Ross Tennenbaum</w:t>
            </w:r>
          </w:p>
        </w:tc>
        <w:tc>
          <w:tcPr>
            <w:tcW w:w="1700" w:type="dxa"/>
            <w:vAlign w:val="bottom"/>
          </w:tcPr>
          <w:p>
            <w:pPr>
              <w:jc w:val="center"/>
              <w:spacing w:after="0"/>
              <w:rPr>
                <w:sz w:val="20"/>
                <w:szCs w:val="20"/>
                <w:color w:val="auto"/>
              </w:rPr>
            </w:pPr>
            <w:r>
              <w:rPr>
                <w:rFonts w:ascii="Arial" w:cs="Arial" w:eastAsia="Arial" w:hAnsi="Arial"/>
                <w:sz w:val="14"/>
                <w:szCs w:val="14"/>
                <w:color w:val="auto"/>
              </w:rPr>
              <w:t>47</w:t>
            </w:r>
          </w:p>
        </w:tc>
        <w:tc>
          <w:tcPr>
            <w:tcW w:w="5980" w:type="dxa"/>
            <w:vAlign w:val="bottom"/>
          </w:tcPr>
          <w:p>
            <w:pPr>
              <w:ind w:left="80"/>
              <w:spacing w:after="0"/>
              <w:rPr>
                <w:sz w:val="20"/>
                <w:szCs w:val="20"/>
                <w:color w:val="auto"/>
              </w:rPr>
            </w:pPr>
            <w:r>
              <w:rPr>
                <w:rFonts w:ascii="Arial" w:cs="Arial" w:eastAsia="Arial" w:hAnsi="Arial"/>
                <w:sz w:val="14"/>
                <w:szCs w:val="14"/>
                <w:color w:val="auto"/>
              </w:rPr>
              <w:t>Chief Financial Officer</w:t>
            </w:r>
          </w:p>
        </w:tc>
      </w:tr>
      <w:tr>
        <w:trPr>
          <w:trHeight w:val="22"/>
        </w:trPr>
        <w:tc>
          <w:tcPr>
            <w:tcW w:w="3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0"/>
        </w:trPr>
        <w:tc>
          <w:tcPr>
            <w:tcW w:w="3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William Yoon</w:t>
            </w:r>
          </w:p>
        </w:tc>
        <w:tc>
          <w:tcPr>
            <w:tcW w:w="17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47</w:t>
            </w:r>
          </w:p>
        </w:tc>
        <w:tc>
          <w:tcPr>
            <w:tcW w:w="5980" w:type="dxa"/>
            <w:vAlign w:val="bottom"/>
            <w:shd w:val="clear" w:color="auto" w:fill="F2F2F2"/>
          </w:tcPr>
          <w:p>
            <w:pPr>
              <w:ind w:left="80"/>
              <w:spacing w:after="0"/>
              <w:rPr>
                <w:sz w:val="20"/>
                <w:szCs w:val="20"/>
                <w:color w:val="auto"/>
              </w:rPr>
            </w:pPr>
            <w:r>
              <w:rPr>
                <w:rFonts w:ascii="Arial" w:cs="Arial" w:eastAsia="Arial" w:hAnsi="Arial"/>
                <w:sz w:val="14"/>
                <w:szCs w:val="14"/>
                <w:color w:val="auto"/>
              </w:rPr>
              <w:t>Chief Legal Officer</w:t>
            </w:r>
          </w:p>
        </w:tc>
      </w:tr>
      <w:tr>
        <w:trPr>
          <w:trHeight w:val="212"/>
        </w:trPr>
        <w:tc>
          <w:tcPr>
            <w:tcW w:w="3560" w:type="dxa"/>
            <w:vAlign w:val="bottom"/>
          </w:tcPr>
          <w:p>
            <w:pPr>
              <w:ind w:left="60"/>
              <w:spacing w:after="0"/>
              <w:rPr>
                <w:sz w:val="20"/>
                <w:szCs w:val="20"/>
                <w:color w:val="auto"/>
              </w:rPr>
            </w:pPr>
            <w:r>
              <w:rPr>
                <w:rFonts w:ascii="Arial" w:cs="Arial" w:eastAsia="Arial" w:hAnsi="Arial"/>
                <w:sz w:val="14"/>
                <w:szCs w:val="14"/>
                <w:color w:val="auto"/>
              </w:rPr>
              <w:t>Ali Dasdan</w:t>
            </w:r>
          </w:p>
        </w:tc>
        <w:tc>
          <w:tcPr>
            <w:tcW w:w="1700" w:type="dxa"/>
            <w:vAlign w:val="bottom"/>
          </w:tcPr>
          <w:p>
            <w:pPr>
              <w:jc w:val="center"/>
              <w:spacing w:after="0"/>
              <w:rPr>
                <w:sz w:val="20"/>
                <w:szCs w:val="20"/>
                <w:color w:val="auto"/>
              </w:rPr>
            </w:pPr>
            <w:r>
              <w:rPr>
                <w:rFonts w:ascii="Arial" w:cs="Arial" w:eastAsia="Arial" w:hAnsi="Arial"/>
                <w:sz w:val="14"/>
                <w:szCs w:val="14"/>
                <w:color w:val="auto"/>
              </w:rPr>
              <w:t>56</w:t>
            </w:r>
          </w:p>
        </w:tc>
        <w:tc>
          <w:tcPr>
            <w:tcW w:w="5980" w:type="dxa"/>
            <w:vAlign w:val="bottom"/>
          </w:tcPr>
          <w:p>
            <w:pPr>
              <w:ind w:left="60"/>
              <w:spacing w:after="0"/>
              <w:rPr>
                <w:sz w:val="20"/>
                <w:szCs w:val="20"/>
                <w:color w:val="auto"/>
              </w:rPr>
            </w:pPr>
            <w:r>
              <w:rPr>
                <w:rFonts w:ascii="Arial" w:cs="Arial" w:eastAsia="Arial" w:hAnsi="Arial"/>
                <w:sz w:val="14"/>
                <w:szCs w:val="14"/>
                <w:color w:val="auto"/>
              </w:rPr>
              <w:t>Chief Technology Officer</w:t>
            </w:r>
          </w:p>
        </w:tc>
      </w:tr>
      <w:tr>
        <w:trPr>
          <w:trHeight w:val="220"/>
        </w:trPr>
        <w:tc>
          <w:tcPr>
            <w:tcW w:w="3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Ashraf Alkarmi</w:t>
            </w:r>
          </w:p>
        </w:tc>
        <w:tc>
          <w:tcPr>
            <w:tcW w:w="17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47</w:t>
            </w:r>
          </w:p>
        </w:tc>
        <w:tc>
          <w:tcPr>
            <w:tcW w:w="5980" w:type="dxa"/>
            <w:vAlign w:val="bottom"/>
            <w:shd w:val="clear" w:color="auto" w:fill="F2F2F2"/>
          </w:tcPr>
          <w:p>
            <w:pPr>
              <w:ind w:left="60"/>
              <w:spacing w:after="0"/>
              <w:rPr>
                <w:sz w:val="20"/>
                <w:szCs w:val="20"/>
                <w:color w:val="auto"/>
              </w:rPr>
            </w:pPr>
            <w:r>
              <w:rPr>
                <w:rFonts w:ascii="Arial" w:cs="Arial" w:eastAsia="Arial" w:hAnsi="Arial"/>
                <w:sz w:val="14"/>
                <w:szCs w:val="14"/>
                <w:color w:val="auto"/>
              </w:rPr>
              <w:t>General Manager and Senior Vice President, Core Products</w:t>
            </w:r>
          </w:p>
        </w:tc>
      </w:tr>
      <w:tr>
        <w:trPr>
          <w:trHeight w:val="208"/>
        </w:trPr>
        <w:tc>
          <w:tcPr>
            <w:tcW w:w="3560" w:type="dxa"/>
            <w:vAlign w:val="bottom"/>
          </w:tcPr>
          <w:p>
            <w:pPr>
              <w:ind w:left="60"/>
              <w:spacing w:after="0"/>
              <w:rPr>
                <w:sz w:val="20"/>
                <w:szCs w:val="20"/>
                <w:color w:val="auto"/>
              </w:rPr>
            </w:pPr>
            <w:r>
              <w:rPr>
                <w:rFonts w:ascii="Arial" w:cs="Arial" w:eastAsia="Arial" w:hAnsi="Arial"/>
                <w:sz w:val="14"/>
                <w:szCs w:val="14"/>
                <w:color w:val="auto"/>
              </w:rPr>
              <w:t>Eric Webster</w:t>
            </w:r>
          </w:p>
        </w:tc>
        <w:tc>
          <w:tcPr>
            <w:tcW w:w="1700" w:type="dxa"/>
            <w:vAlign w:val="bottom"/>
          </w:tcPr>
          <w:p>
            <w:pPr>
              <w:jc w:val="center"/>
              <w:spacing w:after="0"/>
              <w:rPr>
                <w:sz w:val="20"/>
                <w:szCs w:val="20"/>
                <w:color w:val="auto"/>
              </w:rPr>
            </w:pPr>
            <w:r>
              <w:rPr>
                <w:rFonts w:ascii="Arial" w:cs="Arial" w:eastAsia="Arial" w:hAnsi="Arial"/>
                <w:sz w:val="14"/>
                <w:szCs w:val="14"/>
                <w:color w:val="auto"/>
              </w:rPr>
              <w:t>48</w:t>
            </w:r>
          </w:p>
        </w:tc>
        <w:tc>
          <w:tcPr>
            <w:tcW w:w="5980" w:type="dxa"/>
            <w:vAlign w:val="bottom"/>
          </w:tcPr>
          <w:p>
            <w:pPr>
              <w:ind w:left="60"/>
              <w:spacing w:after="0"/>
              <w:rPr>
                <w:sz w:val="20"/>
                <w:szCs w:val="20"/>
                <w:color w:val="auto"/>
              </w:rPr>
            </w:pPr>
            <w:r>
              <w:rPr>
                <w:rFonts w:ascii="Arial" w:cs="Arial" w:eastAsia="Arial" w:hAnsi="Arial"/>
                <w:sz w:val="14"/>
                <w:szCs w:val="14"/>
                <w:color w:val="auto"/>
              </w:rPr>
              <w:t>Chief Business Officer</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Officer Biographies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For Mr. Houston's biography, see the section titled “</w:t>
      </w:r>
      <w:r>
        <w:rPr>
          <w:rFonts w:ascii="Arial" w:cs="Arial" w:eastAsia="Arial" w:hAnsi="Arial"/>
          <w:sz w:val="16"/>
          <w:szCs w:val="16"/>
          <w:i w:val="1"/>
          <w:iCs w:val="1"/>
          <w:color w:val="auto"/>
        </w:rPr>
        <w:t>Board of Directors and Corporate Governance—Nominees for Director</w:t>
      </w:r>
      <w:r>
        <w:rPr>
          <w:rFonts w:ascii="Arial" w:cs="Arial" w:eastAsia="Arial" w:hAnsi="Arial"/>
          <w:sz w:val="16"/>
          <w:szCs w:val="16"/>
          <w:color w:val="auto"/>
        </w:rPr>
        <w:t>.”</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0063A6"/>
        </w:rPr>
        <w:t>Ross Tennenbaum</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Ross Tennenbaum has served as Dropbox's Chief Financial Officer since December 2025. Prior to joining Dropbox, Mr. Tennenbaum</w:t>
      </w:r>
      <w:r>
        <w:rPr>
          <w:rFonts w:ascii="Arial" w:cs="Arial" w:eastAsia="Arial" w:hAnsi="Arial"/>
          <w:sz w:val="16"/>
          <w:szCs w:val="16"/>
          <w:b w:val="1"/>
          <w:bCs w:val="1"/>
          <w:color w:val="0063A6"/>
        </w:rPr>
        <w:t xml:space="preserve"> </w:t>
      </w:r>
      <w:r>
        <w:rPr>
          <w:rFonts w:ascii="Arial" w:cs="Arial" w:eastAsia="Arial" w:hAnsi="Arial"/>
          <w:sz w:val="16"/>
          <w:szCs w:val="16"/>
          <w:color w:val="000000"/>
        </w:rPr>
        <w:t>served in several leadership roles at Avalara, an agentic tax and compliance company, where he served as President from April 2024 to December 2025, as Chief Financial Officer from April 2020 to April 2024, and as Executive Vice President, Strategic Initiatives group from March 2019 to April 2024. He previously served as Vice President and later Managing Director, Software Investment Banking at Goldman Sachs from 2014 to 2019. Prior to Goldman Sachs, Mr. Tennenbaum served as Associate and later Vice President, Software Investment Banking at Credit Suisse from 2009 to 2014. Mr. Tennenbaum holds a B.S. in Finance and Economics from the University of Florida and an M.B.A. in Finance and Venture Capital from The Wharton School of the University of Pennsylvania.</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0063A6"/>
        </w:rPr>
        <w:t>William Yoon</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William Yoon has served as Dropbox's Chief Legal Officer since March 2025. Previously, he served as Dropbox's Vice President, Product</w:t>
      </w:r>
      <w:r>
        <w:rPr>
          <w:rFonts w:ascii="Arial" w:cs="Arial" w:eastAsia="Arial" w:hAnsi="Arial"/>
          <w:sz w:val="16"/>
          <w:szCs w:val="16"/>
          <w:b w:val="1"/>
          <w:bCs w:val="1"/>
          <w:color w:val="0063A6"/>
        </w:rPr>
        <w:t xml:space="preserve"> </w:t>
      </w:r>
      <w:r>
        <w:rPr>
          <w:rFonts w:ascii="Arial" w:cs="Arial" w:eastAsia="Arial" w:hAnsi="Arial"/>
          <w:sz w:val="16"/>
          <w:szCs w:val="16"/>
          <w:color w:val="000000"/>
        </w:rPr>
        <w:t>Counseling &amp; Privacy from September 2021 to March 2025 and as Dropbox's Chief Privacy Officer since 2020. He first joined Dropbox in 2013, when he established the company’s product counseling team, and has since taken on increasing responsibilities, most recently overseeing product counseling, privacy, commercial, litigation, and regulatory. In addition to Dropbox, Mr. Yoon has held leadership roles in product counseling and privacy functions at Facebook and Google. Prior to joining Google, Mr. Yoon practiced law at Foley &amp; Lardner LLP from 2006 to 2010. Mr. Yoon holds a Juris Doctor from Northwestern University Pritzker School of Law and a Bachelor of Arts in Government - Latin American Studies from Cornell University.</w:t>
      </w:r>
    </w:p>
    <w:p>
      <w:pPr>
        <w:spacing w:after="0" w:line="124"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b w:val="1"/>
          <w:bCs w:val="1"/>
          <w:color w:val="0063A6"/>
        </w:rPr>
        <w:t>Ali Dasdan</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Ali Dasdan has served as Dropbox's Chief Technology Officer since March 2025. Prior to joining Dropbox, he served as the Executive Vice</w:t>
      </w:r>
      <w:r>
        <w:rPr>
          <w:rFonts w:ascii="Arial" w:cs="Arial" w:eastAsia="Arial" w:hAnsi="Arial"/>
          <w:sz w:val="16"/>
          <w:szCs w:val="16"/>
          <w:b w:val="1"/>
          <w:bCs w:val="1"/>
          <w:color w:val="0063A6"/>
        </w:rPr>
        <w:t xml:space="preserve"> </w:t>
      </w:r>
      <w:r>
        <w:rPr>
          <w:rFonts w:ascii="Arial" w:cs="Arial" w:eastAsia="Arial" w:hAnsi="Arial"/>
          <w:sz w:val="16"/>
          <w:szCs w:val="16"/>
          <w:color w:val="000000"/>
        </w:rPr>
        <w:t>President and Chief Technology Officer at Zoominfo Technologies, Inc., a comprehensive sales and marketing intelligence software-as-a-service platform, from January 2023 to March 2025. From April 2019 to January 2023, Mr. Dasdan worked at Atlassian Corporation Plc, or Atlassian, an enterprise software company, where he served as Head of Engineering for Confluence Cloud and, later, Head of Engineering for Work Management for All. Prior to joining Atlassian, Mr. Dasdan was Head of Engineering and Product at Poynt LLC, a platform for next generation payments, from 2018 to 2019 and he was Head of Engineering, Data and Marketing Automation at Tesco PLC, or Tesco, a multinational grocery and general merchandise retailer, from 2016 to 2018. Prior to his role at Tesco, Mr. Dasdan held various engineering and product management leadership roles at other technology companies, including Turn Inc., eBay Inc., Yahoo! Inc., and Synopsys, Inc. Mr. Dasdan holds a PhD in Computer Science from the University of Illinois at Urbana-Champaign, USA, an MSc in Computer Engineering from Bilkent University, Türkiye and a BSc in Computer Engineering from Bogazici University, Türkiye.</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0063A6"/>
        </w:rPr>
        <w:t>Ashraf Alkarmi</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Ashraf Alkarmi has served as Dropbox's General Manager and Senior Vice President, Core Products since November 2024. Previously, he</w:t>
      </w:r>
      <w:r>
        <w:rPr>
          <w:rFonts w:ascii="Arial" w:cs="Arial" w:eastAsia="Arial" w:hAnsi="Arial"/>
          <w:sz w:val="16"/>
          <w:szCs w:val="16"/>
          <w:b w:val="1"/>
          <w:bCs w:val="1"/>
          <w:color w:val="0063A6"/>
        </w:rPr>
        <w:t xml:space="preserve"> </w:t>
      </w:r>
      <w:r>
        <w:rPr>
          <w:rFonts w:ascii="Arial" w:cs="Arial" w:eastAsia="Arial" w:hAnsi="Arial"/>
          <w:sz w:val="16"/>
          <w:szCs w:val="16"/>
          <w:color w:val="000000"/>
        </w:rPr>
        <w:t>served as Chief Product Officer at Vimeo, Inc. from July 2022 to September 2024. He also served as Director, General Manager, Freevee at Amazon.com, Inc., or Amazon, from May 2018 to June 2022, Founder and CEO of PresAsk from January 2013 to July 2021, Head of Product at Meta Platforms, Inc. from January 2017 to May 2018, and as Head of Product at Amazon from June 2013 to January 2017. Mr. Alkarmi has also served in various senior positions at Brightcove, Inc., Nokia Corporation and Motorola Solutions, Inc. Mr. Alkarmi received his Bachelor of Science in Electrical Engineering from University of Jordan in 2002, his Master of Science in Electrical Engineering from Southern Illinois University, Carbondale in 2004, and his Master of Arts in Management and Operations from Harvard University in 2009.</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0063A6"/>
        </w:rPr>
        <w:t>Eric Webster</w:t>
      </w:r>
      <w:r>
        <w:rPr>
          <w:rFonts w:ascii="Arial" w:cs="Arial" w:eastAsia="Arial" w:hAnsi="Arial"/>
          <w:sz w:val="16"/>
          <w:szCs w:val="16"/>
          <w:color w:val="000000"/>
        </w:rPr>
        <w:t>. Eric Webster has served as Dropbox's Chief Business Officer since December 2025. Prior to joining Dropbox, he served as Operating</w:t>
      </w:r>
      <w:r>
        <w:rPr>
          <w:rFonts w:ascii="Arial" w:cs="Arial" w:eastAsia="Arial" w:hAnsi="Arial"/>
          <w:sz w:val="16"/>
          <w:szCs w:val="16"/>
          <w:b w:val="1"/>
          <w:bCs w:val="1"/>
          <w:color w:val="0063A6"/>
        </w:rPr>
        <w:t xml:space="preserve"> </w:t>
      </w:r>
      <w:r>
        <w:rPr>
          <w:rFonts w:ascii="Arial" w:cs="Arial" w:eastAsia="Arial" w:hAnsi="Arial"/>
          <w:sz w:val="16"/>
          <w:szCs w:val="16"/>
          <w:color w:val="000000"/>
        </w:rPr>
        <w:t>Partner, GTM at Silversmith Capital Partners from April 2025 to December 2025. He previously served as Senior Vice President of Sales at Salesforce from June 2019 to March 2025. Prior to Salesforce, Mr. Webster served as Chief Revenue Officer at Mighty AI (acquired by UBER) from 2015 to 2019. He also served as a Mentor with Techstars from 2020 to 2023. Mr. Webster holds a B.S. in Management from Northeastern University.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0" w:hanging="554"/>
        <w:spacing w:after="0"/>
        <w:tabs>
          <w:tab w:leader="none" w:pos="5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Discussion and Analysis</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2025. It also provides an overview of our executive compensation philosophy, including our principal compensation policies and practices. Finally, it analyzes how and why our talent and compensation committee arrived at the specific compensation decisions for our executive officers, including our named executive officers in 2025, and discusses the key factors that our talent and compensation committee considered in determining their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for 2025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89535</wp:posOffset>
            </wp:positionV>
            <wp:extent cx="17145"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43180"/>
                    </a:xfrm>
                    <a:prstGeom prst="rect">
                      <a:avLst/>
                    </a:prstGeom>
                    <a:noFill/>
                  </pic:spPr>
                </pic:pic>
              </a:graphicData>
            </a:graphic>
          </wp:anchor>
        </w:drawing>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74"/>
        </w:trPr>
        <w:tc>
          <w:tcPr>
            <w:tcW w:w="3240" w:type="dxa"/>
            <w:vAlign w:val="bottom"/>
            <w:tcBorders>
              <w:top w:val="single" w:sz="8" w:color="0063A6"/>
              <w:left w:val="single" w:sz="8" w:color="F2F2F2"/>
              <w:right w:val="single" w:sz="8" w:color="0063A6"/>
            </w:tcBorders>
            <w:shd w:val="clear" w:color="auto" w:fill="F2F2F2"/>
          </w:tcPr>
          <w:p>
            <w:pPr>
              <w:spacing w:after="0"/>
              <w:rPr>
                <w:sz w:val="6"/>
                <w:szCs w:val="6"/>
                <w:color w:val="auto"/>
              </w:rPr>
            </w:pPr>
          </w:p>
        </w:tc>
        <w:tc>
          <w:tcPr>
            <w:tcW w:w="8020" w:type="dxa"/>
            <w:vAlign w:val="bottom"/>
            <w:tcBorders>
              <w:top w:val="single" w:sz="8" w:color="0063A6"/>
              <w:right w:val="single" w:sz="8" w:color="F2F2F2"/>
            </w:tcBorders>
            <w:shd w:val="clear" w:color="auto" w:fill="F2F2F2"/>
          </w:tcPr>
          <w:p>
            <w:pPr>
              <w:spacing w:after="0"/>
              <w:rPr>
                <w:sz w:val="6"/>
                <w:szCs w:val="6"/>
                <w:color w:val="auto"/>
              </w:rPr>
            </w:pPr>
          </w:p>
        </w:tc>
      </w:tr>
      <w:tr>
        <w:trPr>
          <w:trHeight w:val="262"/>
        </w:trPr>
        <w:tc>
          <w:tcPr>
            <w:tcW w:w="3240" w:type="dxa"/>
            <w:vAlign w:val="bottom"/>
            <w:tcBorders>
              <w:left w:val="single" w:sz="8" w:color="0063A6"/>
              <w:bottom w:val="single" w:sz="8" w:color="F2F2F2"/>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8020" w:type="dxa"/>
            <w:vAlign w:val="bottom"/>
            <w:tcBorders>
              <w:bottom w:val="single" w:sz="8" w:color="F2F2F2"/>
              <w:right w:val="single" w:sz="8" w:color="F2F2F2"/>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Title</w:t>
            </w:r>
          </w:p>
        </w:tc>
      </w:tr>
      <w:tr>
        <w:trPr>
          <w:trHeight w:val="223"/>
        </w:trPr>
        <w:tc>
          <w:tcPr>
            <w:tcW w:w="3240" w:type="dxa"/>
            <w:vAlign w:val="bottom"/>
            <w:tcBorders>
              <w:top w:val="single" w:sz="8" w:color="0063A6"/>
              <w:left w:val="single" w:sz="8" w:color="F2F2F2"/>
              <w:right w:val="single" w:sz="8" w:color="F2F2F2"/>
            </w:tcBorders>
          </w:tcPr>
          <w:p>
            <w:pPr>
              <w:ind w:left="80"/>
              <w:spacing w:after="0"/>
              <w:rPr>
                <w:sz w:val="20"/>
                <w:szCs w:val="20"/>
                <w:color w:val="auto"/>
              </w:rPr>
            </w:pPr>
            <w:r>
              <w:rPr>
                <w:rFonts w:ascii="Arial" w:cs="Arial" w:eastAsia="Arial" w:hAnsi="Arial"/>
                <w:sz w:val="16"/>
                <w:szCs w:val="16"/>
                <w:b w:val="1"/>
                <w:bCs w:val="1"/>
                <w:color w:val="auto"/>
              </w:rPr>
              <w:t>Andrew W. Houston</w:t>
            </w:r>
          </w:p>
        </w:tc>
        <w:tc>
          <w:tcPr>
            <w:tcW w:w="8020" w:type="dxa"/>
            <w:vAlign w:val="bottom"/>
            <w:tcBorders>
              <w:top w:val="single" w:sz="8" w:color="0063A6"/>
              <w:right w:val="single" w:sz="8" w:color="F2F2F2"/>
            </w:tcBorders>
          </w:tcPr>
          <w:p>
            <w:pPr>
              <w:ind w:left="60"/>
              <w:spacing w:after="0"/>
              <w:rPr>
                <w:sz w:val="20"/>
                <w:szCs w:val="20"/>
                <w:color w:val="auto"/>
              </w:rPr>
            </w:pPr>
            <w:r>
              <w:rPr>
                <w:rFonts w:ascii="Arial" w:cs="Arial" w:eastAsia="Arial" w:hAnsi="Arial"/>
                <w:sz w:val="16"/>
                <w:szCs w:val="16"/>
                <w:color w:val="auto"/>
              </w:rPr>
              <w:t>Chief Executive Officer</w:t>
            </w:r>
          </w:p>
        </w:tc>
      </w:tr>
      <w:tr>
        <w:trPr>
          <w:trHeight w:val="20"/>
        </w:trPr>
        <w:tc>
          <w:tcPr>
            <w:tcW w:w="3240" w:type="dxa"/>
            <w:vAlign w:val="bottom"/>
            <w:tcBorders>
              <w:left w:val="single" w:sz="8" w:color="F2F2F2"/>
              <w:right w:val="single" w:sz="8" w:color="F2F2F2"/>
            </w:tcBorders>
          </w:tcPr>
          <w:p>
            <w:pPr>
              <w:spacing w:after="0" w:line="20" w:lineRule="exact"/>
              <w:rPr>
                <w:sz w:val="1"/>
                <w:szCs w:val="1"/>
                <w:color w:val="auto"/>
              </w:rPr>
            </w:pPr>
          </w:p>
        </w:tc>
        <w:tc>
          <w:tcPr>
            <w:tcW w:w="8020" w:type="dxa"/>
            <w:vAlign w:val="bottom"/>
            <w:tcBorders>
              <w:right w:val="single" w:sz="8" w:color="F2F2F2"/>
            </w:tcBorders>
          </w:tcPr>
          <w:p>
            <w:pPr>
              <w:spacing w:after="0" w:line="20" w:lineRule="exact"/>
              <w:rPr>
                <w:sz w:val="1"/>
                <w:szCs w:val="1"/>
                <w:color w:val="auto"/>
              </w:rPr>
            </w:pPr>
          </w:p>
        </w:tc>
      </w:tr>
      <w:tr>
        <w:trPr>
          <w:trHeight w:val="270"/>
        </w:trPr>
        <w:tc>
          <w:tcPr>
            <w:tcW w:w="3240" w:type="dxa"/>
            <w:vAlign w:val="bottom"/>
            <w:tcBorders>
              <w:left w:val="single" w:sz="8" w:color="F2F2F2"/>
              <w:right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Ross Tennenbaum</w:t>
            </w:r>
            <w:r>
              <w:rPr>
                <w:rFonts w:ascii="Arial" w:cs="Arial" w:eastAsia="Arial" w:hAnsi="Arial"/>
                <w:sz w:val="21"/>
                <w:szCs w:val="21"/>
                <w:b w:val="1"/>
                <w:bCs w:val="1"/>
                <w:color w:val="auto"/>
                <w:vertAlign w:val="superscript"/>
              </w:rPr>
              <w:t>(1)</w:t>
            </w:r>
          </w:p>
        </w:tc>
        <w:tc>
          <w:tcPr>
            <w:tcW w:w="802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Chief Financial Officer</w:t>
            </w:r>
          </w:p>
        </w:tc>
      </w:tr>
      <w:tr>
        <w:trPr>
          <w:trHeight w:val="243"/>
        </w:trPr>
        <w:tc>
          <w:tcPr>
            <w:tcW w:w="3240" w:type="dxa"/>
            <w:vAlign w:val="bottom"/>
            <w:tcBorders>
              <w:left w:val="single" w:sz="8" w:color="F2F2F2"/>
              <w:right w:val="single" w:sz="8" w:color="F2F2F2"/>
            </w:tcBorders>
          </w:tcPr>
          <w:p>
            <w:pPr>
              <w:ind w:left="80"/>
              <w:spacing w:after="0"/>
              <w:rPr>
                <w:sz w:val="20"/>
                <w:szCs w:val="20"/>
                <w:color w:val="auto"/>
              </w:rPr>
            </w:pPr>
            <w:r>
              <w:rPr>
                <w:rFonts w:ascii="Arial" w:cs="Arial" w:eastAsia="Arial" w:hAnsi="Arial"/>
                <w:sz w:val="16"/>
                <w:szCs w:val="16"/>
                <w:b w:val="1"/>
                <w:bCs w:val="1"/>
                <w:color w:val="auto"/>
              </w:rPr>
              <w:t>Timothy Regan</w:t>
            </w:r>
            <w:r>
              <w:rPr>
                <w:rFonts w:ascii="Arial" w:cs="Arial" w:eastAsia="Arial" w:hAnsi="Arial"/>
                <w:sz w:val="21"/>
                <w:szCs w:val="21"/>
                <w:b w:val="1"/>
                <w:bCs w:val="1"/>
                <w:color w:val="auto"/>
                <w:vertAlign w:val="superscript"/>
              </w:rPr>
              <w:t>(2)</w:t>
            </w:r>
          </w:p>
        </w:tc>
        <w:tc>
          <w:tcPr>
            <w:tcW w:w="8020" w:type="dxa"/>
            <w:vAlign w:val="bottom"/>
            <w:tcBorders>
              <w:right w:val="single" w:sz="8" w:color="F2F2F2"/>
            </w:tcBorders>
          </w:tcPr>
          <w:p>
            <w:pPr>
              <w:ind w:left="60"/>
              <w:spacing w:after="0"/>
              <w:rPr>
                <w:sz w:val="20"/>
                <w:szCs w:val="20"/>
                <w:color w:val="auto"/>
              </w:rPr>
            </w:pPr>
            <w:r>
              <w:rPr>
                <w:rFonts w:ascii="Arial" w:cs="Arial" w:eastAsia="Arial" w:hAnsi="Arial"/>
                <w:sz w:val="16"/>
                <w:szCs w:val="16"/>
                <w:color w:val="auto"/>
              </w:rPr>
              <w:t>Former Chief Financial Officer</w:t>
            </w:r>
          </w:p>
        </w:tc>
      </w:tr>
      <w:tr>
        <w:trPr>
          <w:trHeight w:val="270"/>
        </w:trPr>
        <w:tc>
          <w:tcPr>
            <w:tcW w:w="3240" w:type="dxa"/>
            <w:vAlign w:val="bottom"/>
            <w:tcBorders>
              <w:left w:val="single" w:sz="8" w:color="F2F2F2"/>
              <w:right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William Yoon</w:t>
            </w:r>
            <w:r>
              <w:rPr>
                <w:rFonts w:ascii="Arial" w:cs="Arial" w:eastAsia="Arial" w:hAnsi="Arial"/>
                <w:sz w:val="21"/>
                <w:szCs w:val="21"/>
                <w:b w:val="1"/>
                <w:bCs w:val="1"/>
                <w:color w:val="auto"/>
                <w:vertAlign w:val="superscript"/>
              </w:rPr>
              <w:t>(3)</w:t>
            </w:r>
          </w:p>
        </w:tc>
        <w:tc>
          <w:tcPr>
            <w:tcW w:w="802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Chief Legal Officer</w:t>
            </w:r>
          </w:p>
        </w:tc>
      </w:tr>
      <w:tr>
        <w:trPr>
          <w:trHeight w:val="243"/>
        </w:trPr>
        <w:tc>
          <w:tcPr>
            <w:tcW w:w="3240" w:type="dxa"/>
            <w:vAlign w:val="bottom"/>
            <w:tcBorders>
              <w:left w:val="single" w:sz="8" w:color="F2F2F2"/>
              <w:right w:val="single" w:sz="8" w:color="F2F2F2"/>
            </w:tcBorders>
          </w:tcPr>
          <w:p>
            <w:pPr>
              <w:ind w:left="80"/>
              <w:spacing w:after="0"/>
              <w:rPr>
                <w:sz w:val="20"/>
                <w:szCs w:val="20"/>
                <w:color w:val="auto"/>
              </w:rPr>
            </w:pPr>
            <w:r>
              <w:rPr>
                <w:rFonts w:ascii="Arial" w:cs="Arial" w:eastAsia="Arial" w:hAnsi="Arial"/>
                <w:sz w:val="16"/>
                <w:szCs w:val="16"/>
                <w:b w:val="1"/>
                <w:bCs w:val="1"/>
                <w:color w:val="auto"/>
              </w:rPr>
              <w:t>Ali Dasdan</w:t>
            </w:r>
            <w:r>
              <w:rPr>
                <w:rFonts w:ascii="Arial" w:cs="Arial" w:eastAsia="Arial" w:hAnsi="Arial"/>
                <w:sz w:val="21"/>
                <w:szCs w:val="21"/>
                <w:b w:val="1"/>
                <w:bCs w:val="1"/>
                <w:color w:val="auto"/>
                <w:vertAlign w:val="superscript"/>
              </w:rPr>
              <w:t>(4)</w:t>
            </w:r>
          </w:p>
        </w:tc>
        <w:tc>
          <w:tcPr>
            <w:tcW w:w="8020" w:type="dxa"/>
            <w:vAlign w:val="bottom"/>
            <w:tcBorders>
              <w:right w:val="single" w:sz="8" w:color="F2F2F2"/>
            </w:tcBorders>
          </w:tcPr>
          <w:p>
            <w:pPr>
              <w:ind w:left="60"/>
              <w:spacing w:after="0"/>
              <w:rPr>
                <w:sz w:val="20"/>
                <w:szCs w:val="20"/>
                <w:color w:val="auto"/>
              </w:rPr>
            </w:pPr>
            <w:r>
              <w:rPr>
                <w:rFonts w:ascii="Arial" w:cs="Arial" w:eastAsia="Arial" w:hAnsi="Arial"/>
                <w:sz w:val="16"/>
                <w:szCs w:val="16"/>
                <w:color w:val="auto"/>
              </w:rPr>
              <w:t>Chief Technology Officer</w:t>
            </w:r>
          </w:p>
        </w:tc>
      </w:tr>
      <w:tr>
        <w:trPr>
          <w:trHeight w:val="236"/>
        </w:trPr>
        <w:tc>
          <w:tcPr>
            <w:tcW w:w="3240" w:type="dxa"/>
            <w:vAlign w:val="bottom"/>
            <w:tcBorders>
              <w:left w:val="single" w:sz="8" w:color="F2F2F2"/>
              <w:right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Ashraf Alkarmi</w:t>
            </w:r>
          </w:p>
        </w:tc>
        <w:tc>
          <w:tcPr>
            <w:tcW w:w="802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General Manager and Senior Vice President, Core Products</w:t>
            </w:r>
          </w:p>
        </w:tc>
      </w:tr>
      <w:tr>
        <w:trPr>
          <w:trHeight w:val="34"/>
        </w:trPr>
        <w:tc>
          <w:tcPr>
            <w:tcW w:w="3240" w:type="dxa"/>
            <w:vAlign w:val="bottom"/>
            <w:tcBorders>
              <w:left w:val="single" w:sz="8" w:color="F2F2F2"/>
              <w:right w:val="single" w:sz="8" w:color="F2F2F2"/>
            </w:tcBorders>
            <w:shd w:val="clear" w:color="auto" w:fill="F2F2F2"/>
          </w:tcPr>
          <w:p>
            <w:pPr>
              <w:spacing w:after="0"/>
              <w:rPr>
                <w:sz w:val="3"/>
                <w:szCs w:val="3"/>
                <w:color w:val="auto"/>
              </w:rPr>
            </w:pPr>
          </w:p>
        </w:tc>
        <w:tc>
          <w:tcPr>
            <w:tcW w:w="8020" w:type="dxa"/>
            <w:vAlign w:val="bottom"/>
            <w:tcBorders>
              <w:right w:val="single" w:sz="8" w:color="F2F2F2"/>
            </w:tcBorders>
            <w:shd w:val="clear" w:color="auto" w:fill="F2F2F2"/>
          </w:tcPr>
          <w:p>
            <w:pPr>
              <w:spacing w:after="0"/>
              <w:rPr>
                <w:sz w:val="3"/>
                <w:szCs w:val="3"/>
                <w:color w:val="auto"/>
              </w:rPr>
            </w:pPr>
          </w:p>
        </w:tc>
      </w:tr>
    </w:tbl>
    <w:p>
      <w:pPr>
        <w:spacing w:after="0" w:line="313"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Mr. Tennenbaum has served as our Chief Financial Officer since December 2025.</w:t>
      </w:r>
    </w:p>
    <w:p>
      <w:pPr>
        <w:ind w:left="320" w:hanging="312"/>
        <w:spacing w:after="0" w:line="192" w:lineRule="auto"/>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Mr. Regan resigned as our Chief Financial Officer, effective December 16, 2025.</w:t>
      </w:r>
    </w:p>
    <w:p>
      <w:pPr>
        <w:ind w:left="320" w:hanging="312"/>
        <w:spacing w:after="0"/>
        <w:tabs>
          <w:tab w:leader="none" w:pos="320" w:val="left"/>
        </w:tabs>
        <w:numPr>
          <w:ilvl w:val="0"/>
          <w:numId w:val="46"/>
        </w:numPr>
        <w:rPr>
          <w:rFonts w:ascii="Arial" w:cs="Arial" w:eastAsia="Arial" w:hAnsi="Arial"/>
          <w:sz w:val="9"/>
          <w:szCs w:val="9"/>
          <w:color w:val="auto"/>
        </w:rPr>
      </w:pPr>
      <w:r>
        <w:rPr>
          <w:rFonts w:ascii="Arial" w:cs="Arial" w:eastAsia="Arial" w:hAnsi="Arial"/>
          <w:sz w:val="14"/>
          <w:szCs w:val="14"/>
          <w:color w:val="auto"/>
        </w:rPr>
        <w:t>Mr. Yoon has served as our Chief Legal Officer since March 2025.</w:t>
      </w:r>
    </w:p>
    <w:p>
      <w:pPr>
        <w:spacing w:after="0" w:line="15" w:lineRule="exact"/>
        <w:rPr>
          <w:rFonts w:ascii="Arial" w:cs="Arial" w:eastAsia="Arial" w:hAnsi="Arial"/>
          <w:sz w:val="9"/>
          <w:szCs w:val="9"/>
          <w:color w:val="auto"/>
        </w:rPr>
      </w:pPr>
    </w:p>
    <w:p>
      <w:pPr>
        <w:ind w:left="320" w:hanging="312"/>
        <w:spacing w:after="0" w:line="207" w:lineRule="auto"/>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Mr. Dasdan has served as our Chief Technology Officer since March 2025.</w:t>
      </w: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Certain Fiscal 2025 Leadership Changes</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As previously disclosed, certain leadership changes occurred in fiscal year 2025. We remain focused on ensuring our executive leadership team has the depth of experience necessary to advance our strategic priorities, including scaling Dropbox Dash and strengthening our core file storage and sync experience.</w:t>
      </w:r>
    </w:p>
    <w:p>
      <w:pPr>
        <w:spacing w:after="0" w:line="312"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In December 2025, Mr. Regan, former Chief Financial Officer of Dropbox, notified the company of his decision to resign to pursue the next chapter of his career after more than five years as Chief Financial Officer and nine years with the company. As a result, the board of directors appointed Mr. Tennenbaum as the company's Chief Financial Officer in December 2025.</w:t>
      </w:r>
    </w:p>
    <w:p>
      <w:pPr>
        <w:spacing w:after="0" w:line="111" w:lineRule="exact"/>
        <w:rPr>
          <w:sz w:val="20"/>
          <w:szCs w:val="20"/>
          <w:color w:val="auto"/>
        </w:rPr>
      </w:pPr>
    </w:p>
    <w:p>
      <w:pPr>
        <w:jc w:val="both"/>
        <w:ind w:right="40"/>
        <w:spacing w:after="0" w:line="268" w:lineRule="auto"/>
        <w:rPr>
          <w:sz w:val="20"/>
          <w:szCs w:val="20"/>
          <w:color w:val="auto"/>
        </w:rPr>
      </w:pPr>
      <w:r>
        <w:rPr>
          <w:rFonts w:ascii="Arial" w:cs="Arial" w:eastAsia="Arial" w:hAnsi="Arial"/>
          <w:sz w:val="16"/>
          <w:szCs w:val="16"/>
          <w:color w:val="auto"/>
        </w:rPr>
        <w:t>In addition, in March 2025, Mr. Yoon was appointed as Chief Legal Officer to replace our prior Chief Legal Officer upon his resignation. Mr. Yoon previously served as our Vice President, Product Counseling &amp; Privacy and has over a decade of experience with Dropbox.</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also appointed Mr. Dasdan as the company's Chief Technology Officer in March 2025.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Messrs. Tennenbaum, Yoon, and Dasdan can be found in their biographies set forth above.</w:t>
      </w:r>
    </w:p>
    <w:p>
      <w:pPr>
        <w:spacing w:after="0" w:line="391" w:lineRule="exact"/>
        <w:rPr>
          <w:sz w:val="20"/>
          <w:szCs w:val="20"/>
          <w:color w:val="auto"/>
        </w:rPr>
      </w:pPr>
    </w:p>
    <w:p>
      <w:pPr>
        <w:spacing w:after="0"/>
        <w:rPr>
          <w:sz w:val="20"/>
          <w:szCs w:val="20"/>
          <w:color w:val="auto"/>
        </w:rPr>
      </w:pPr>
      <w:r>
        <w:rPr>
          <w:rFonts w:ascii="Arial" w:cs="Arial" w:eastAsia="Arial" w:hAnsi="Arial"/>
          <w:sz w:val="26"/>
          <w:szCs w:val="26"/>
          <w:color w:val="0063A6"/>
        </w:rPr>
        <w:t>Executive Summary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Who We Are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Dropbox is the one place to keep life organized and keep work moving.</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were founded in 2007 with a simple idea: Life would be a lot better if everyone could access their most important information anytime from any device. We’ve largely accomplished that mission by building tools to help people work from anywhere—and along the way we recognized that for most of our users, sharing and collaborating on the Dropbox platform was even more valuable than storing files.</w:t>
      </w:r>
    </w:p>
    <w:p>
      <w:pPr>
        <w:spacing w:after="0" w:line="12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market opportunity grew as we’ve expanded from keeping files in sync to keeping teams in sync. Today, we are focused on reimagining the way work gets done by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By solving these universal problems, we've become invaluable to our users. The popularity of our platform allows us to scale efficiently. We’ve built a thriving global business with 18.08 million paying users as of December 31, 2025.</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2025 Business Results and Business Strategy</w:t>
      </w:r>
    </w:p>
    <w:p>
      <w:pPr>
        <w:spacing w:after="0" w:line="116" w:lineRule="exact"/>
        <w:rPr>
          <w:sz w:val="20"/>
          <w:szCs w:val="20"/>
          <w:color w:val="auto"/>
        </w:rPr>
      </w:pPr>
    </w:p>
    <w:p>
      <w:pPr>
        <w:ind w:left="1640"/>
        <w:spacing w:after="0"/>
        <w:tabs>
          <w:tab w:leader="none" w:pos="7340" w:val="left"/>
        </w:tabs>
        <w:rPr>
          <w:sz w:val="20"/>
          <w:szCs w:val="20"/>
          <w:color w:val="auto"/>
        </w:rPr>
      </w:pPr>
      <w:r>
        <w:rPr>
          <w:rFonts w:ascii="Arial" w:cs="Arial" w:eastAsia="Arial" w:hAnsi="Arial"/>
          <w:sz w:val="25"/>
          <w:szCs w:val="25"/>
          <w:b w:val="1"/>
          <w:bCs w:val="1"/>
          <w:u w:val="single" w:color="auto"/>
          <w:color w:val="auto"/>
        </w:rPr>
        <w:t>Business Results</w:t>
      </w:r>
      <w:r>
        <w:rPr>
          <w:sz w:val="20"/>
          <w:szCs w:val="20"/>
          <w:color w:val="auto"/>
        </w:rPr>
        <w:tab/>
      </w:r>
      <w:r>
        <w:rPr>
          <w:rFonts w:ascii="Arial" w:cs="Arial" w:eastAsia="Arial" w:hAnsi="Arial"/>
          <w:sz w:val="25"/>
          <w:szCs w:val="25"/>
          <w:b w:val="1"/>
          <w:bCs w:val="1"/>
          <w:u w:val="single" w:color="auto"/>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0575" cy="4354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435483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Revenue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Paying</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Users (M)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left="840"/>
        <w:spacing w:after="0" w:line="261" w:lineRule="auto"/>
        <w:rPr>
          <w:sz w:val="20"/>
          <w:szCs w:val="20"/>
          <w:color w:val="auto"/>
        </w:rPr>
      </w:pPr>
      <w:r>
        <w:rPr>
          <w:rFonts w:ascii="Arial" w:cs="Arial" w:eastAsia="Arial" w:hAnsi="Arial"/>
          <w:sz w:val="16"/>
          <w:szCs w:val="16"/>
          <w:b w:val="1"/>
          <w:bCs w:val="1"/>
          <w:color w:val="auto"/>
        </w:rPr>
        <w:t>Average Revenue per Paying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Non-GAAP</w:t>
      </w:r>
    </w:p>
    <w:p>
      <w:pPr>
        <w:ind w:left="900"/>
        <w:spacing w:after="0"/>
        <w:rPr>
          <w:sz w:val="20"/>
          <w:szCs w:val="20"/>
          <w:color w:val="auto"/>
        </w:rPr>
      </w:pPr>
      <w:r>
        <w:rPr>
          <w:rFonts w:ascii="Arial" w:cs="Arial" w:eastAsia="Arial" w:hAnsi="Arial"/>
          <w:sz w:val="16"/>
          <w:szCs w:val="16"/>
          <w:b w:val="1"/>
          <w:bCs w:val="1"/>
          <w:color w:val="auto"/>
        </w:rPr>
        <w:t>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Free Cash</w:t>
      </w:r>
    </w:p>
    <w:p>
      <w:pPr>
        <w:jc w:val="right"/>
        <w:spacing w:after="0"/>
        <w:rPr>
          <w:sz w:val="20"/>
          <w:szCs w:val="20"/>
          <w:color w:val="auto"/>
        </w:rPr>
      </w:pPr>
      <w:r>
        <w:rPr>
          <w:rFonts w:ascii="Arial" w:cs="Arial" w:eastAsia="Arial" w:hAnsi="Arial"/>
          <w:sz w:val="16"/>
          <w:szCs w:val="16"/>
          <w:b w:val="1"/>
          <w:bCs w:val="1"/>
          <w:color w:val="auto"/>
        </w:rPr>
        <w:t>Flow ($M)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$2,548.2</w:t>
      </w:r>
    </w:p>
    <w:p>
      <w:pPr>
        <w:spacing w:after="0" w:line="3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2024</w:t>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18.22</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2024</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$140.23</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2024</w:t>
      </w: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36.4%</w:t>
      </w:r>
    </w:p>
    <w:p>
      <w:pPr>
        <w:spacing w:after="0" w:line="36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$871.6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4"/>
        </w:trPr>
        <w:tc>
          <w:tcPr>
            <w:tcW w:w="1360" w:type="dxa"/>
            <w:vAlign w:val="bottom"/>
            <w:tcBorders>
              <w:top w:val="single" w:sz="8" w:color="F9F9F7"/>
            </w:tcBorders>
            <w:shd w:val="clear" w:color="auto" w:fill="0063A6"/>
          </w:tcPr>
          <w:p>
            <w:pPr>
              <w:jc w:val="center"/>
              <w:spacing w:after="0"/>
              <w:rPr>
                <w:sz w:val="20"/>
                <w:szCs w:val="20"/>
                <w:color w:val="auto"/>
              </w:rPr>
            </w:pPr>
            <w:r>
              <w:rPr>
                <w:rFonts w:ascii="Arial" w:cs="Arial" w:eastAsia="Arial" w:hAnsi="Arial"/>
                <w:sz w:val="16"/>
                <w:szCs w:val="16"/>
                <w:b w:val="1"/>
                <w:bCs w:val="1"/>
                <w:color w:val="FFFFFF"/>
              </w:rPr>
              <w:t>$2,521.0</w:t>
            </w:r>
          </w:p>
        </w:tc>
        <w:tc>
          <w:tcPr>
            <w:tcW w:w="360" w:type="dxa"/>
            <w:vAlign w:val="bottom"/>
            <w:tcBorders>
              <w:top w:val="single" w:sz="8" w:color="F9F9F7"/>
            </w:tcBorders>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0063A6"/>
              </w:rPr>
              <w:t>•</w:t>
            </w:r>
          </w:p>
        </w:tc>
        <w:tc>
          <w:tcPr>
            <w:tcW w:w="5220" w:type="dxa"/>
            <w:vAlign w:val="bottom"/>
          </w:tcPr>
          <w:p>
            <w:pPr>
              <w:ind w:left="40"/>
              <w:spacing w:after="0"/>
              <w:rPr>
                <w:sz w:val="20"/>
                <w:szCs w:val="20"/>
                <w:color w:val="auto"/>
              </w:rPr>
            </w:pPr>
            <w:r>
              <w:rPr>
                <w:rFonts w:ascii="Arial" w:cs="Arial" w:eastAsia="Arial" w:hAnsi="Arial"/>
                <w:sz w:val="16"/>
                <w:szCs w:val="16"/>
                <w:color w:val="auto"/>
              </w:rPr>
              <w:t>From our founding, we’ve focused on simplifying the lives of our users.</w:t>
            </w:r>
          </w:p>
        </w:tc>
        <w:tc>
          <w:tcPr>
            <w:tcW w:w="0" w:type="dxa"/>
            <w:vAlign w:val="bottom"/>
          </w:tcPr>
          <w:p>
            <w:pPr>
              <w:spacing w:after="0"/>
              <w:rPr>
                <w:sz w:val="1"/>
                <w:szCs w:val="1"/>
                <w:color w:val="auto"/>
              </w:rPr>
            </w:pPr>
          </w:p>
        </w:tc>
      </w:tr>
      <w:tr>
        <w:trPr>
          <w:trHeight w:val="68"/>
        </w:trPr>
        <w:tc>
          <w:tcPr>
            <w:tcW w:w="1360" w:type="dxa"/>
            <w:vAlign w:val="bottom"/>
            <w:shd w:val="clear" w:color="auto" w:fill="0063A6"/>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20" w:type="dxa"/>
            <w:vAlign w:val="bottom"/>
            <w:vMerge w:val="restart"/>
          </w:tcPr>
          <w:p>
            <w:pPr>
              <w:ind w:left="60"/>
              <w:spacing w:after="0"/>
              <w:rPr>
                <w:sz w:val="20"/>
                <w:szCs w:val="20"/>
                <w:color w:val="auto"/>
              </w:rPr>
            </w:pPr>
            <w:r>
              <w:rPr>
                <w:rFonts w:ascii="Arial" w:cs="Arial" w:eastAsia="Arial" w:hAnsi="Arial"/>
                <w:sz w:val="16"/>
                <w:szCs w:val="16"/>
                <w:color w:val="auto"/>
              </w:rPr>
              <w:t>In a world where business software can be frustrating to use,</w:t>
            </w:r>
          </w:p>
        </w:tc>
        <w:tc>
          <w:tcPr>
            <w:tcW w:w="0" w:type="dxa"/>
            <w:vAlign w:val="bottom"/>
          </w:tcPr>
          <w:p>
            <w:pPr>
              <w:spacing w:after="0"/>
              <w:rPr>
                <w:sz w:val="1"/>
                <w:szCs w:val="1"/>
                <w:color w:val="auto"/>
              </w:rPr>
            </w:pPr>
          </w:p>
        </w:tc>
      </w:tr>
      <w:tr>
        <w:trPr>
          <w:trHeight w:val="121"/>
        </w:trPr>
        <w:tc>
          <w:tcPr>
            <w:tcW w:w="1360" w:type="dxa"/>
            <w:vAlign w:val="bottom"/>
            <w:shd w:val="clear" w:color="auto" w:fill="F9F9F7"/>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360" w:type="dxa"/>
            <w:vAlign w:val="bottom"/>
            <w:shd w:val="clear" w:color="auto" w:fill="F9F9F7"/>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challenging to integrate, and expensive to sell, we take a different</w:t>
            </w:r>
          </w:p>
        </w:tc>
        <w:tc>
          <w:tcPr>
            <w:tcW w:w="0" w:type="dxa"/>
            <w:vAlign w:val="bottom"/>
          </w:tcPr>
          <w:p>
            <w:pPr>
              <w:spacing w:after="0"/>
              <w:rPr>
                <w:sz w:val="1"/>
                <w:szCs w:val="1"/>
                <w:color w:val="auto"/>
              </w:rPr>
            </w:pPr>
          </w:p>
        </w:tc>
      </w:tr>
      <w:tr>
        <w:trPr>
          <w:trHeight w:val="215"/>
        </w:trPr>
        <w:tc>
          <w:tcPr>
            <w:tcW w:w="1360" w:type="dxa"/>
            <w:vAlign w:val="bottom"/>
            <w:shd w:val="clear" w:color="auto" w:fill="F9F9F7"/>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approach.</w:t>
            </w:r>
          </w:p>
        </w:tc>
        <w:tc>
          <w:tcPr>
            <w:tcW w:w="0" w:type="dxa"/>
            <w:vAlign w:val="bottom"/>
          </w:tcPr>
          <w:p>
            <w:pPr>
              <w:spacing w:after="0"/>
              <w:rPr>
                <w:sz w:val="1"/>
                <w:szCs w:val="1"/>
                <w:color w:val="auto"/>
              </w:rPr>
            </w:pPr>
          </w:p>
        </w:tc>
      </w:tr>
      <w:tr>
        <w:trPr>
          <w:trHeight w:val="150"/>
        </w:trPr>
        <w:tc>
          <w:tcPr>
            <w:tcW w:w="1360" w:type="dxa"/>
            <w:vAlign w:val="bottom"/>
            <w:shd w:val="clear" w:color="auto" w:fill="F9F9F7"/>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vMerge w:val="restart"/>
          </w:tcPr>
          <w:p>
            <w:pPr>
              <w:ind w:left="180"/>
              <w:spacing w:after="0"/>
              <w:rPr>
                <w:sz w:val="20"/>
                <w:szCs w:val="20"/>
                <w:color w:val="auto"/>
              </w:rPr>
            </w:pPr>
            <w:r>
              <w:rPr>
                <w:rFonts w:ascii="Arial" w:cs="Arial" w:eastAsia="Arial" w:hAnsi="Arial"/>
                <w:sz w:val="16"/>
                <w:szCs w:val="16"/>
                <w:color w:val="0063A6"/>
              </w:rPr>
              <w:t>•</w:t>
            </w: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While traditional tools developed in the desktop age have struggled to</w:t>
            </w:r>
          </w:p>
        </w:tc>
        <w:tc>
          <w:tcPr>
            <w:tcW w:w="0" w:type="dxa"/>
            <w:vAlign w:val="bottom"/>
          </w:tcPr>
          <w:p>
            <w:pPr>
              <w:spacing w:after="0"/>
              <w:rPr>
                <w:sz w:val="1"/>
                <w:szCs w:val="1"/>
                <w:color w:val="auto"/>
              </w:rPr>
            </w:pPr>
          </w:p>
        </w:tc>
      </w:tr>
      <w:tr>
        <w:trPr>
          <w:trHeight w:val="215"/>
        </w:trPr>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6"/>
                <w:szCs w:val="16"/>
                <w:b w:val="1"/>
                <w:bCs w:val="1"/>
                <w:color w:val="FFFFFF"/>
                <w:w w:val="99"/>
              </w:rPr>
              <w:t>18.08</w:t>
            </w:r>
          </w:p>
        </w:tc>
        <w:tc>
          <w:tcPr>
            <w:tcW w:w="3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5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60" w:type="dxa"/>
            <w:vAlign w:val="bottom"/>
            <w:vMerge w:val="continue"/>
            <w:shd w:val="clear" w:color="auto" w:fill="0063A6"/>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keep up with evolving user demands, Dropbox was designed for the</w:t>
            </w:r>
          </w:p>
        </w:tc>
        <w:tc>
          <w:tcPr>
            <w:tcW w:w="0" w:type="dxa"/>
            <w:vAlign w:val="bottom"/>
          </w:tcPr>
          <w:p>
            <w:pPr>
              <w:spacing w:after="0"/>
              <w:rPr>
                <w:sz w:val="1"/>
                <w:szCs w:val="1"/>
                <w:color w:val="auto"/>
              </w:rPr>
            </w:pPr>
          </w:p>
        </w:tc>
      </w:tr>
      <w:tr>
        <w:trPr>
          <w:trHeight w:val="176"/>
        </w:trPr>
        <w:tc>
          <w:tcPr>
            <w:tcW w:w="1360" w:type="dxa"/>
            <w:vAlign w:val="bottom"/>
            <w:shd w:val="clear" w:color="auto" w:fill="0063A6"/>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20" w:type="dxa"/>
            <w:vAlign w:val="bottom"/>
          </w:tcPr>
          <w:p>
            <w:pPr>
              <w:ind w:left="60"/>
              <w:spacing w:after="0" w:line="176" w:lineRule="exact"/>
              <w:rPr>
                <w:sz w:val="20"/>
                <w:szCs w:val="20"/>
                <w:color w:val="auto"/>
              </w:rPr>
            </w:pPr>
            <w:r>
              <w:rPr>
                <w:rFonts w:ascii="Arial" w:cs="Arial" w:eastAsia="Arial" w:hAnsi="Arial"/>
                <w:sz w:val="16"/>
                <w:szCs w:val="16"/>
                <w:color w:val="auto"/>
              </w:rPr>
              <w:t>cloud era. We build simple, beautiful products that bring joy to our users</w:t>
            </w:r>
          </w:p>
        </w:tc>
        <w:tc>
          <w:tcPr>
            <w:tcW w:w="0" w:type="dxa"/>
            <w:vAlign w:val="bottom"/>
          </w:tcPr>
          <w:p>
            <w:pPr>
              <w:spacing w:after="0"/>
              <w:rPr>
                <w:sz w:val="1"/>
                <w:szCs w:val="1"/>
                <w:color w:val="auto"/>
              </w:rPr>
            </w:pPr>
          </w:p>
        </w:tc>
      </w:tr>
      <w:tr>
        <w:trPr>
          <w:trHeight w:val="227"/>
        </w:trPr>
        <w:tc>
          <w:tcPr>
            <w:tcW w:w="1360" w:type="dxa"/>
            <w:vAlign w:val="bottom"/>
            <w:vMerge w:val="restart"/>
            <w:shd w:val="clear" w:color="auto" w:fill="F9F9F7"/>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and make it easier for them to do their best work.</w:t>
            </w:r>
          </w:p>
        </w:tc>
        <w:tc>
          <w:tcPr>
            <w:tcW w:w="0" w:type="dxa"/>
            <w:vAlign w:val="bottom"/>
          </w:tcPr>
          <w:p>
            <w:pPr>
              <w:spacing w:after="0"/>
              <w:rPr>
                <w:sz w:val="1"/>
                <w:szCs w:val="1"/>
                <w:color w:val="auto"/>
              </w:rPr>
            </w:pPr>
          </w:p>
        </w:tc>
      </w:tr>
      <w:tr>
        <w:trPr>
          <w:trHeight w:val="129"/>
        </w:trPr>
        <w:tc>
          <w:tcPr>
            <w:tcW w:w="1360" w:type="dxa"/>
            <w:vAlign w:val="bottom"/>
            <w:vMerge w:val="continue"/>
            <w:shd w:val="clear" w:color="auto" w:fill="F9F9F7"/>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60" w:type="dxa"/>
            <w:vAlign w:val="bottom"/>
            <w:shd w:val="clear" w:color="auto" w:fill="F9F9F7"/>
          </w:tcPr>
          <w:p>
            <w:pPr>
              <w:spacing w:after="0"/>
              <w:rPr>
                <w:sz w:val="14"/>
                <w:szCs w:val="14"/>
                <w:color w:val="auto"/>
              </w:rPr>
            </w:pPr>
          </w:p>
        </w:tc>
        <w:tc>
          <w:tcPr>
            <w:tcW w:w="360" w:type="dxa"/>
            <w:vAlign w:val="bottom"/>
            <w:vMerge w:val="restart"/>
          </w:tcPr>
          <w:p>
            <w:pPr>
              <w:spacing w:after="0"/>
              <w:rPr>
                <w:sz w:val="14"/>
                <w:szCs w:val="14"/>
                <w:color w:val="auto"/>
              </w:rPr>
            </w:pPr>
          </w:p>
        </w:tc>
        <w:tc>
          <w:tcPr>
            <w:tcW w:w="280" w:type="dxa"/>
            <w:vAlign w:val="bottom"/>
            <w:vMerge w:val="restart"/>
          </w:tcPr>
          <w:p>
            <w:pPr>
              <w:ind w:left="180"/>
              <w:spacing w:after="0"/>
              <w:rPr>
                <w:sz w:val="20"/>
                <w:szCs w:val="20"/>
                <w:color w:val="auto"/>
              </w:rPr>
            </w:pPr>
            <w:r>
              <w:rPr>
                <w:rFonts w:ascii="Arial" w:cs="Arial" w:eastAsia="Arial" w:hAnsi="Arial"/>
                <w:sz w:val="16"/>
                <w:szCs w:val="16"/>
                <w:color w:val="0063A6"/>
              </w:rPr>
              <w:t>•</w:t>
            </w: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Every year, millions of users sign up for Dropbox. Bottom-up adoption</w:t>
            </w: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6"/>
                <w:szCs w:val="16"/>
                <w:b w:val="1"/>
                <w:bCs w:val="1"/>
                <w:color w:val="FFFFFF"/>
              </w:rPr>
              <w:t>$138.91</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within organizations has been critical to our strategy and success as</w:t>
            </w:r>
          </w:p>
        </w:tc>
        <w:tc>
          <w:tcPr>
            <w:tcW w:w="0" w:type="dxa"/>
            <w:vAlign w:val="bottom"/>
          </w:tcPr>
          <w:p>
            <w:pPr>
              <w:spacing w:after="0"/>
              <w:rPr>
                <w:sz w:val="1"/>
                <w:szCs w:val="1"/>
                <w:color w:val="auto"/>
              </w:rPr>
            </w:pPr>
          </w:p>
        </w:tc>
      </w:tr>
      <w:tr>
        <w:trPr>
          <w:trHeight w:val="189"/>
        </w:trPr>
        <w:tc>
          <w:tcPr>
            <w:tcW w:w="1360" w:type="dxa"/>
            <w:vAlign w:val="bottom"/>
            <w:vMerge w:val="continue"/>
            <w:shd w:val="clear" w:color="auto" w:fill="0063A6"/>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users increasingly choose their own tools at work. We generate over</w:t>
            </w:r>
          </w:p>
        </w:tc>
        <w:tc>
          <w:tcPr>
            <w:tcW w:w="0" w:type="dxa"/>
            <w:vAlign w:val="bottom"/>
          </w:tcPr>
          <w:p>
            <w:pPr>
              <w:spacing w:after="0"/>
              <w:rPr>
                <w:sz w:val="1"/>
                <w:szCs w:val="1"/>
                <w:color w:val="auto"/>
              </w:rPr>
            </w:pPr>
          </w:p>
        </w:tc>
      </w:tr>
      <w:tr>
        <w:trPr>
          <w:trHeight w:val="190"/>
        </w:trPr>
        <w:tc>
          <w:tcPr>
            <w:tcW w:w="1360" w:type="dxa"/>
            <w:vAlign w:val="bottom"/>
            <w:shd w:val="clear" w:color="auto" w:fill="0063A6"/>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90% of our revenue from self-serve channels—users who purchase a</w:t>
            </w:r>
          </w:p>
        </w:tc>
        <w:tc>
          <w:tcPr>
            <w:tcW w:w="0" w:type="dxa"/>
            <w:vAlign w:val="bottom"/>
          </w:tcPr>
          <w:p>
            <w:pPr>
              <w:spacing w:after="0"/>
              <w:rPr>
                <w:sz w:val="1"/>
                <w:szCs w:val="1"/>
                <w:color w:val="auto"/>
              </w:rPr>
            </w:pPr>
          </w:p>
        </w:tc>
      </w:tr>
      <w:tr>
        <w:trPr>
          <w:trHeight w:val="215"/>
        </w:trPr>
        <w:tc>
          <w:tcPr>
            <w:tcW w:w="1360" w:type="dxa"/>
            <w:vAlign w:val="bottom"/>
            <w:vMerge w:val="restart"/>
            <w:shd w:val="clear" w:color="auto" w:fill="F9F9F7"/>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subscription through our app or website.</w:t>
            </w:r>
          </w:p>
        </w:tc>
        <w:tc>
          <w:tcPr>
            <w:tcW w:w="0" w:type="dxa"/>
            <w:vAlign w:val="bottom"/>
          </w:tcPr>
          <w:p>
            <w:pPr>
              <w:spacing w:after="0"/>
              <w:rPr>
                <w:sz w:val="1"/>
                <w:szCs w:val="1"/>
                <w:color w:val="auto"/>
              </w:rPr>
            </w:pPr>
          </w:p>
        </w:tc>
      </w:tr>
      <w:tr>
        <w:trPr>
          <w:trHeight w:val="142"/>
        </w:trPr>
        <w:tc>
          <w:tcPr>
            <w:tcW w:w="1360" w:type="dxa"/>
            <w:vAlign w:val="bottom"/>
            <w:vMerge w:val="continue"/>
            <w:shd w:val="clear" w:color="auto" w:fill="F9F9F7"/>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60" w:type="dxa"/>
            <w:vAlign w:val="bottom"/>
            <w:shd w:val="clear" w:color="auto" w:fill="F9F9F7"/>
          </w:tcPr>
          <w:p>
            <w:pPr>
              <w:spacing w:after="0"/>
              <w:rPr>
                <w:sz w:val="14"/>
                <w:szCs w:val="14"/>
                <w:color w:val="auto"/>
              </w:rPr>
            </w:pPr>
          </w:p>
        </w:tc>
        <w:tc>
          <w:tcPr>
            <w:tcW w:w="360" w:type="dxa"/>
            <w:vAlign w:val="bottom"/>
            <w:vMerge w:val="restart"/>
          </w:tcPr>
          <w:p>
            <w:pPr>
              <w:spacing w:after="0"/>
              <w:rPr>
                <w:sz w:val="14"/>
                <w:szCs w:val="14"/>
                <w:color w:val="auto"/>
              </w:rPr>
            </w:pPr>
          </w:p>
        </w:tc>
        <w:tc>
          <w:tcPr>
            <w:tcW w:w="280" w:type="dxa"/>
            <w:vAlign w:val="bottom"/>
            <w:vMerge w:val="restart"/>
          </w:tcPr>
          <w:p>
            <w:pPr>
              <w:ind w:left="180"/>
              <w:spacing w:after="0"/>
              <w:rPr>
                <w:sz w:val="20"/>
                <w:szCs w:val="20"/>
                <w:color w:val="auto"/>
              </w:rPr>
            </w:pPr>
            <w:r>
              <w:rPr>
                <w:rFonts w:ascii="Arial" w:cs="Arial" w:eastAsia="Arial" w:hAnsi="Arial"/>
                <w:sz w:val="16"/>
                <w:szCs w:val="16"/>
                <w:color w:val="0063A6"/>
              </w:rPr>
              <w:t>•</w:t>
            </w: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Dropbox allows individuals, teams, and organizations to collaborate</w:t>
            </w:r>
          </w:p>
        </w:tc>
        <w:tc>
          <w:tcPr>
            <w:tcW w:w="0" w:type="dxa"/>
            <w:vAlign w:val="bottom"/>
          </w:tcPr>
          <w:p>
            <w:pPr>
              <w:spacing w:after="0"/>
              <w:rPr>
                <w:sz w:val="1"/>
                <w:szCs w:val="1"/>
                <w:color w:val="auto"/>
              </w:rPr>
            </w:pPr>
          </w:p>
        </w:tc>
      </w:tr>
      <w:tr>
        <w:trPr>
          <w:trHeight w:val="67"/>
        </w:trPr>
        <w:tc>
          <w:tcPr>
            <w:tcW w:w="13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5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FFFFFF"/>
              </w:rPr>
              <w:t>40.6%</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20" w:type="dxa"/>
            <w:vAlign w:val="bottom"/>
          </w:tcPr>
          <w:p>
            <w:pPr>
              <w:ind w:left="60"/>
              <w:spacing w:after="0" w:line="175" w:lineRule="exact"/>
              <w:rPr>
                <w:sz w:val="20"/>
                <w:szCs w:val="20"/>
                <w:color w:val="auto"/>
              </w:rPr>
            </w:pPr>
            <w:r>
              <w:rPr>
                <w:rFonts w:ascii="Arial" w:cs="Arial" w:eastAsia="Arial" w:hAnsi="Arial"/>
                <w:sz w:val="16"/>
                <w:szCs w:val="16"/>
                <w:color w:val="auto"/>
              </w:rPr>
              <w:t>more effectively and focus on the work that matters. Anyone can sign up</w:t>
            </w:r>
          </w:p>
        </w:tc>
        <w:tc>
          <w:tcPr>
            <w:tcW w:w="0" w:type="dxa"/>
            <w:vAlign w:val="bottom"/>
          </w:tcPr>
          <w:p>
            <w:pPr>
              <w:spacing w:after="0"/>
              <w:rPr>
                <w:sz w:val="1"/>
                <w:szCs w:val="1"/>
                <w:color w:val="auto"/>
              </w:rPr>
            </w:pPr>
          </w:p>
        </w:tc>
      </w:tr>
      <w:tr>
        <w:trPr>
          <w:trHeight w:val="205"/>
        </w:trPr>
        <w:tc>
          <w:tcPr>
            <w:tcW w:w="1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for free through our website or app, and upgrade to a paid subscription</w:t>
            </w:r>
          </w:p>
        </w:tc>
        <w:tc>
          <w:tcPr>
            <w:tcW w:w="0" w:type="dxa"/>
            <w:vAlign w:val="bottom"/>
          </w:tcPr>
          <w:p>
            <w:pPr>
              <w:spacing w:after="0"/>
              <w:rPr>
                <w:sz w:val="1"/>
                <w:szCs w:val="1"/>
                <w:color w:val="auto"/>
              </w:rPr>
            </w:pPr>
          </w:p>
        </w:tc>
      </w:tr>
    </w:tbl>
    <w:p>
      <w:pPr>
        <w:ind w:left="2060"/>
        <w:spacing w:after="0"/>
        <w:rPr>
          <w:sz w:val="20"/>
          <w:szCs w:val="20"/>
          <w:color w:val="auto"/>
        </w:rPr>
      </w:pPr>
      <w:r>
        <w:rPr>
          <w:rFonts w:ascii="Arial" w:cs="Arial" w:eastAsia="Arial" w:hAnsi="Arial"/>
          <w:sz w:val="16"/>
          <w:szCs w:val="16"/>
          <w:color w:val="auto"/>
        </w:rPr>
        <w:t>plan for premium features.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2025</w:t>
      </w: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FFFFF"/>
        </w:rPr>
        <w:t>930.8</w:t>
      </w:r>
    </w:p>
    <w:p>
      <w:pPr>
        <w:spacing w:after="0" w:line="563" w:lineRule="exact"/>
        <w:rPr>
          <w:sz w:val="20"/>
          <w:szCs w:val="20"/>
          <w:color w:val="auto"/>
        </w:rPr>
      </w:pPr>
    </w:p>
    <w:p>
      <w:pPr>
        <w:sectPr>
          <w:pgSz w:w="11900" w:h="16838" w:orient="portrait"/>
          <w:cols w:equalWidth="0" w:num="3">
            <w:col w:w="2240" w:space="500"/>
            <w:col w:w="620" w:space="620"/>
            <w:col w:w="7220"/>
          </w:cols>
          <w:pgMar w:left="320" w:top="114" w:right="379" w:bottom="1440" w:gutter="0" w:footer="0" w:header="0"/>
          <w:type w:val="continuous"/>
        </w:sectPr>
      </w:pPr>
    </w:p>
    <w:p>
      <w:pPr>
        <w:ind w:left="2900"/>
        <w:spacing w:after="0"/>
        <w:tabs>
          <w:tab w:leader="none" w:pos="4480" w:val="left"/>
        </w:tabs>
        <w:rPr>
          <w:sz w:val="20"/>
          <w:szCs w:val="20"/>
          <w:color w:val="auto"/>
        </w:rPr>
      </w:pPr>
      <w:r>
        <w:rPr>
          <w:rFonts w:ascii="Arial" w:cs="Arial" w:eastAsia="Arial" w:hAnsi="Arial"/>
          <w:sz w:val="14"/>
          <w:szCs w:val="14"/>
          <w:color w:val="auto"/>
        </w:rPr>
        <w:t>2024</w:t>
      </w:r>
      <w:r>
        <w:rPr>
          <w:sz w:val="20"/>
          <w:szCs w:val="20"/>
          <w:color w:val="auto"/>
        </w:rPr>
        <w:tab/>
      </w:r>
      <w:r>
        <w:rPr>
          <w:rFonts w:ascii="Arial" w:cs="Arial" w:eastAsia="Arial" w:hAnsi="Arial"/>
          <w:sz w:val="14"/>
          <w:szCs w:val="14"/>
          <w:color w:val="auto"/>
        </w:rPr>
        <w:t>2025</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*A reconciliation of GAAP to non-GAAP results is provided in </w:t>
      </w:r>
      <w:r>
        <w:rPr>
          <w:rFonts w:ascii="Arial" w:cs="Arial" w:eastAsia="Arial" w:hAnsi="Arial"/>
          <w:sz w:val="14"/>
          <w:szCs w:val="14"/>
          <w:u w:val="single" w:color="auto"/>
          <w:color w:val="auto"/>
        </w:rPr>
        <w:t>Appendix A</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0" w:hanging="554"/>
        <w:spacing w:after="0"/>
        <w:tabs>
          <w:tab w:leader="none" w:pos="5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Executive Compensation Policies and Practices</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talent and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key executive compensation program and related policies and practices:</w:t>
      </w:r>
    </w:p>
    <w:p>
      <w:pPr>
        <w:spacing w:after="0" w:line="182" w:lineRule="exact"/>
        <w:rPr>
          <w:sz w:val="20"/>
          <w:szCs w:val="20"/>
          <w:color w:val="auto"/>
        </w:rPr>
      </w:pPr>
    </w:p>
    <w:p>
      <w:pPr>
        <w:ind w:left="2080"/>
        <w:spacing w:after="0"/>
        <w:tabs>
          <w:tab w:leader="none" w:pos="7400" w:val="left"/>
        </w:tabs>
        <w:rPr>
          <w:sz w:val="20"/>
          <w:szCs w:val="20"/>
          <w:color w:val="auto"/>
        </w:rPr>
      </w:pPr>
      <w:r>
        <w:rPr>
          <w:rFonts w:ascii="Arial" w:cs="Arial" w:eastAsia="Arial" w:hAnsi="Arial"/>
          <w:sz w:val="25"/>
          <w:szCs w:val="25"/>
          <w:b w:val="1"/>
          <w:bCs w:val="1"/>
          <w:color w:val="auto"/>
        </w:rPr>
        <w:t>What we do</w:t>
      </w:r>
      <w:r>
        <w:rPr>
          <w:sz w:val="20"/>
          <w:szCs w:val="20"/>
          <w:color w:val="auto"/>
        </w:rPr>
        <w:tab/>
      </w:r>
      <w:r>
        <w:rPr>
          <w:rFonts w:ascii="Arial" w:cs="Arial" w:eastAsia="Arial" w:hAnsi="Arial"/>
          <w:sz w:val="25"/>
          <w:szCs w:val="25"/>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48863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380" w:right="100" w:hanging="322"/>
        <w:spacing w:after="0" w:line="253"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Maintain an Independent Talent and Compensation Committee. </w:t>
      </w:r>
      <w:r>
        <w:rPr>
          <w:rFonts w:ascii="Arial" w:cs="Arial" w:eastAsia="Arial" w:hAnsi="Arial"/>
          <w:sz w:val="16"/>
          <w:szCs w:val="16"/>
          <w:color w:val="auto"/>
        </w:rPr>
        <w:t>The talent and compensation committee consists solely of independent directors who establish our executive compensation policies and practices.</w:t>
      </w:r>
    </w:p>
    <w:p>
      <w:pPr>
        <w:spacing w:after="0" w:line="115" w:lineRule="exact"/>
        <w:rPr>
          <w:rFonts w:ascii="MS PGothic" w:cs="MS PGothic" w:eastAsia="MS PGothic" w:hAnsi="MS PGothic"/>
          <w:sz w:val="16"/>
          <w:szCs w:val="16"/>
          <w:color w:val="auto"/>
        </w:rPr>
      </w:pPr>
    </w:p>
    <w:p>
      <w:pPr>
        <w:ind w:left="380" w:hanging="322"/>
        <w:spacing w:after="0" w:line="252"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Retain an Independent Compensation Advisor. </w:t>
      </w:r>
      <w:r>
        <w:rPr>
          <w:rFonts w:ascii="Arial" w:cs="Arial" w:eastAsia="Arial" w:hAnsi="Arial"/>
          <w:sz w:val="16"/>
          <w:szCs w:val="16"/>
          <w:color w:val="auto"/>
        </w:rPr>
        <w:t>The talent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has engaged its own compensation consultant to provide information, analysis, and other advice on executive compensation independent of management. This consultant performed no other consulting or other services for us in 2025.</w:t>
      </w:r>
    </w:p>
    <w:p>
      <w:pPr>
        <w:spacing w:after="0" w:line="100" w:lineRule="exact"/>
        <w:rPr>
          <w:rFonts w:ascii="MS PGothic" w:cs="MS PGothic" w:eastAsia="MS PGothic" w:hAnsi="MS PGothic"/>
          <w:sz w:val="16"/>
          <w:szCs w:val="16"/>
          <w:color w:val="auto"/>
        </w:rPr>
      </w:pPr>
    </w:p>
    <w:p>
      <w:pPr>
        <w:jc w:val="both"/>
        <w:ind w:left="380" w:right="280" w:hanging="322"/>
        <w:spacing w:after="0" w:line="266"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We maintain robust stock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guidelines for our Chief Executive Officer, our executive officers, and the independent members of our board of directors.</w:t>
      </w:r>
    </w:p>
    <w:p>
      <w:pPr>
        <w:spacing w:after="0" w:line="90" w:lineRule="exact"/>
        <w:rPr>
          <w:rFonts w:ascii="MS PGothic" w:cs="MS PGothic" w:eastAsia="MS PGothic" w:hAnsi="MS PGothic"/>
          <w:sz w:val="16"/>
          <w:szCs w:val="16"/>
          <w:color w:val="auto"/>
        </w:rPr>
      </w:pPr>
    </w:p>
    <w:p>
      <w:pPr>
        <w:ind w:left="380" w:right="280" w:hanging="322"/>
        <w:spacing w:after="0" w:line="286" w:lineRule="auto"/>
        <w:tabs>
          <w:tab w:leader="none" w:pos="380" w:val="left"/>
        </w:tabs>
        <w:numPr>
          <w:ilvl w:val="0"/>
          <w:numId w:val="48"/>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Compensation Clawback Policy. </w:t>
      </w:r>
      <w:r>
        <w:rPr>
          <w:rFonts w:ascii="Arial" w:cs="Arial" w:eastAsia="Arial" w:hAnsi="Arial"/>
          <w:sz w:val="16"/>
          <w:szCs w:val="16"/>
          <w:color w:val="auto"/>
        </w:rPr>
        <w:t>We maintain a Nasdaq-compliant</w:t>
      </w:r>
      <w:r>
        <w:rPr>
          <w:rFonts w:ascii="Arial" w:cs="Arial" w:eastAsia="Arial" w:hAnsi="Arial"/>
          <w:sz w:val="16"/>
          <w:szCs w:val="16"/>
          <w:b w:val="1"/>
          <w:bCs w:val="1"/>
          <w:color w:val="auto"/>
        </w:rPr>
        <w:t xml:space="preserve"> </w:t>
      </w:r>
      <w:r>
        <w:rPr>
          <w:rFonts w:ascii="Arial" w:cs="Arial" w:eastAsia="Arial" w:hAnsi="Arial"/>
          <w:sz w:val="16"/>
          <w:szCs w:val="16"/>
          <w:color w:val="auto"/>
        </w:rPr>
        <w:t>clawback policy covering both cash and equity compensation.</w:t>
      </w:r>
    </w:p>
    <w:p>
      <w:pPr>
        <w:spacing w:after="0" w:line="88" w:lineRule="exact"/>
        <w:rPr>
          <w:rFonts w:ascii="MS PGothic" w:cs="MS PGothic" w:eastAsia="MS PGothic" w:hAnsi="MS PGothic"/>
          <w:sz w:val="16"/>
          <w:szCs w:val="16"/>
          <w:color w:val="auto"/>
          <w:highlight w:val="black"/>
        </w:rPr>
      </w:pPr>
    </w:p>
    <w:p>
      <w:pPr>
        <w:ind w:left="380" w:right="220" w:hanging="322"/>
        <w:spacing w:after="0" w:line="252"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Executive Compensation Review. </w:t>
      </w:r>
      <w:r>
        <w:rPr>
          <w:rFonts w:ascii="Arial" w:cs="Arial" w:eastAsia="Arial" w:hAnsi="Arial"/>
          <w:sz w:val="16"/>
          <w:szCs w:val="16"/>
          <w:color w:val="auto"/>
        </w:rPr>
        <w:t>The talent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conducts an annual review of our compensation strategy and a review of our compensation-related risk profile to ensure that our compensation programs do not encourage excessive or inappropriate risk-taking.</w:t>
      </w:r>
    </w:p>
    <w:p>
      <w:pPr>
        <w:spacing w:after="0" w:line="100" w:lineRule="exact"/>
        <w:rPr>
          <w:rFonts w:ascii="MS PGothic" w:cs="MS PGothic" w:eastAsia="MS PGothic" w:hAnsi="MS PGothic"/>
          <w:sz w:val="16"/>
          <w:szCs w:val="16"/>
          <w:color w:val="auto"/>
        </w:rPr>
      </w:pPr>
    </w:p>
    <w:p>
      <w:pPr>
        <w:ind w:left="380" w:right="220" w:hanging="322"/>
        <w:spacing w:after="0" w:line="252"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Compensation At-Risk. </w:t>
      </w:r>
      <w:r>
        <w:rPr>
          <w:rFonts w:ascii="Arial" w:cs="Arial" w:eastAsia="Arial" w:hAnsi="Arial"/>
          <w:sz w:val="16"/>
          <w:szCs w:val="16"/>
          <w:color w:val="auto"/>
        </w:rPr>
        <w:t>Our executive compensation program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so that a significant portion of our executive officers' compensation is “at-risk” based on corporate performance, as well as equity-based, to align the interests of our executive officers and stockholders.</w:t>
      </w:r>
    </w:p>
    <w:p>
      <w:pPr>
        <w:spacing w:after="0" w:line="114" w:lineRule="exact"/>
        <w:rPr>
          <w:rFonts w:ascii="MS PGothic" w:cs="MS PGothic" w:eastAsia="MS PGothic" w:hAnsi="MS PGothic"/>
          <w:sz w:val="16"/>
          <w:szCs w:val="16"/>
          <w:color w:val="auto"/>
        </w:rPr>
      </w:pPr>
    </w:p>
    <w:p>
      <w:pPr>
        <w:ind w:left="380" w:right="20" w:hanging="322"/>
        <w:spacing w:after="0" w:line="250"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Use a Pay-for-Performance Philosophy. </w:t>
      </w:r>
      <w:r>
        <w:rPr>
          <w:rFonts w:ascii="Arial" w:cs="Arial" w:eastAsia="Arial" w:hAnsi="Arial"/>
          <w:sz w:val="16"/>
          <w:szCs w:val="16"/>
          <w:color w:val="auto"/>
        </w:rPr>
        <w:t>The majority of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compensation is directly linked to corporate performance; we also structure their annual target total direct compensation opportunities with a significant long-term equity component, thereby making a substantial portion of each executive officer’s annual target total direct compensation dependent upon our stock price and/or total stockholder return.</w:t>
      </w:r>
    </w:p>
    <w:p>
      <w:pPr>
        <w:spacing w:after="0" w:line="102" w:lineRule="exact"/>
        <w:rPr>
          <w:rFonts w:ascii="MS PGothic" w:cs="MS PGothic" w:eastAsia="MS PGothic" w:hAnsi="MS PGothic"/>
          <w:sz w:val="16"/>
          <w:szCs w:val="16"/>
          <w:color w:val="auto"/>
        </w:rPr>
      </w:pPr>
    </w:p>
    <w:p>
      <w:pPr>
        <w:ind w:left="380" w:right="160" w:hanging="322"/>
        <w:spacing w:after="0" w:line="266"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Succession Planning. </w:t>
      </w:r>
      <w:r>
        <w:rPr>
          <w:rFonts w:ascii="Arial" w:cs="Arial" w:eastAsia="Arial" w:hAnsi="Arial"/>
          <w:sz w:val="16"/>
          <w:szCs w:val="16"/>
          <w:color w:val="auto"/>
        </w:rPr>
        <w:t>We review the risks associated with our key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positions to ensure adequate succession plans are in 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325" w:right="180" w:hanging="325"/>
        <w:spacing w:after="0" w:line="286"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Guaranteed Bonuses. </w:t>
      </w:r>
      <w:r>
        <w:rPr>
          <w:rFonts w:ascii="Arial" w:cs="Arial" w:eastAsia="Arial" w:hAnsi="Arial"/>
          <w:sz w:val="16"/>
          <w:szCs w:val="16"/>
          <w:color w:val="auto"/>
        </w:rPr>
        <w:t>We do not provide guaranteed bonuses to</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 officers.</w:t>
      </w:r>
    </w:p>
    <w:p>
      <w:pPr>
        <w:spacing w:after="0" w:line="74" w:lineRule="exact"/>
        <w:rPr>
          <w:rFonts w:ascii="MS PGothic" w:cs="MS PGothic" w:eastAsia="MS PGothic" w:hAnsi="MS PGothic"/>
          <w:sz w:val="16"/>
          <w:szCs w:val="16"/>
          <w:color w:val="auto"/>
        </w:rPr>
      </w:pPr>
    </w:p>
    <w:p>
      <w:pPr>
        <w:ind w:left="325" w:right="420" w:hanging="325"/>
        <w:spacing w:after="0" w:line="253"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Executive Retirement Plans. </w:t>
      </w:r>
      <w:r>
        <w:rPr>
          <w:rFonts w:ascii="Arial" w:cs="Arial" w:eastAsia="Arial" w:hAnsi="Arial"/>
          <w:sz w:val="16"/>
          <w:szCs w:val="16"/>
          <w:color w:val="auto"/>
        </w:rPr>
        <w:t>We do not offer defined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plans or any non-qualified deferred compensation plans or arrangements to our executive officers, other than the plans and arrangements that are available to all employees.</w:t>
      </w:r>
    </w:p>
    <w:p>
      <w:pPr>
        <w:spacing w:after="0" w:line="115" w:lineRule="exact"/>
        <w:rPr>
          <w:rFonts w:ascii="MS PGothic" w:cs="MS PGothic" w:eastAsia="MS PGothic" w:hAnsi="MS PGothic"/>
          <w:sz w:val="16"/>
          <w:szCs w:val="16"/>
          <w:color w:val="auto"/>
        </w:rPr>
      </w:pPr>
    </w:p>
    <w:p>
      <w:pPr>
        <w:ind w:left="325" w:right="300" w:hanging="325"/>
        <w:spacing w:after="0" w:line="266"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Hedging or Pledging. </w:t>
      </w:r>
      <w:r>
        <w:rPr>
          <w:rFonts w:ascii="Arial" w:cs="Arial" w:eastAsia="Arial" w:hAnsi="Arial"/>
          <w:sz w:val="16"/>
          <w:szCs w:val="16"/>
          <w:color w:val="auto"/>
        </w:rPr>
        <w:t>We prohibit our employees (including our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and the non-employee members of our board of directors from hedging or pledging our securities.</w:t>
      </w:r>
    </w:p>
    <w:p>
      <w:pPr>
        <w:spacing w:after="0" w:line="90" w:lineRule="exact"/>
        <w:rPr>
          <w:rFonts w:ascii="MS PGothic" w:cs="MS PGothic" w:eastAsia="MS PGothic" w:hAnsi="MS PGothic"/>
          <w:sz w:val="16"/>
          <w:szCs w:val="16"/>
          <w:color w:val="auto"/>
        </w:rPr>
      </w:pPr>
    </w:p>
    <w:p>
      <w:pPr>
        <w:ind w:left="325" w:right="160" w:hanging="325"/>
        <w:spacing w:after="0" w:line="266"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Tax Payments on Perquisites. </w:t>
      </w:r>
      <w:r>
        <w:rPr>
          <w:rFonts w:ascii="Arial" w:cs="Arial" w:eastAsia="Arial" w:hAnsi="Arial"/>
          <w:sz w:val="16"/>
          <w:szCs w:val="16"/>
          <w:color w:val="auto"/>
        </w:rPr>
        <w:t>We do not provide any tax</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reimbursement payments (including “gross-ups”) on any perquisites or other personal benefits.</w:t>
      </w:r>
    </w:p>
    <w:p>
      <w:pPr>
        <w:spacing w:after="0" w:line="90" w:lineRule="exact"/>
        <w:rPr>
          <w:rFonts w:ascii="MS PGothic" w:cs="MS PGothic" w:eastAsia="MS PGothic" w:hAnsi="MS PGothic"/>
          <w:sz w:val="16"/>
          <w:szCs w:val="16"/>
          <w:color w:val="auto"/>
        </w:rPr>
      </w:pPr>
    </w:p>
    <w:p>
      <w:pPr>
        <w:ind w:left="325" w:right="460" w:hanging="325"/>
        <w:spacing w:after="0" w:line="253"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Excise Tax Payments on Future Post-Employment Compensation Arrangements. </w:t>
      </w:r>
      <w:r>
        <w:rPr>
          <w:rFonts w:ascii="Arial" w:cs="Arial" w:eastAsia="Arial" w:hAnsi="Arial"/>
          <w:sz w:val="16"/>
          <w:szCs w:val="16"/>
          <w:color w:val="auto"/>
        </w:rPr>
        <w:t>We do not provide any excise tax</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reimbursement payments (including “gross-ups”) on payments or benefits contingent upon a change in control of the company.</w:t>
      </w:r>
    </w:p>
    <w:p>
      <w:pPr>
        <w:spacing w:after="0" w:line="115" w:lineRule="exact"/>
        <w:rPr>
          <w:rFonts w:ascii="MS PGothic" w:cs="MS PGothic" w:eastAsia="MS PGothic" w:hAnsi="MS PGothic"/>
          <w:sz w:val="16"/>
          <w:szCs w:val="16"/>
          <w:color w:val="auto"/>
        </w:rPr>
      </w:pPr>
    </w:p>
    <w:p>
      <w:pPr>
        <w:ind w:left="325" w:right="340" w:hanging="325"/>
        <w:spacing w:after="0" w:line="252"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Special Welfare or Health Benefits. </w:t>
      </w:r>
      <w:r>
        <w:rPr>
          <w:rFonts w:ascii="Arial" w:cs="Arial" w:eastAsia="Arial" w:hAnsi="Arial"/>
          <w:sz w:val="16"/>
          <w:szCs w:val="16"/>
          <w:color w:val="auto"/>
        </w:rPr>
        <w:t>We do not provide our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with any welfare or health benefit programs, other than participation in our broad-based employee programs. All highly compensated employees are eligible for special long-term disability insurance.</w:t>
      </w:r>
    </w:p>
    <w:p>
      <w:pPr>
        <w:spacing w:after="0" w:line="2923" w:lineRule="exact"/>
        <w:rPr>
          <w:sz w:val="20"/>
          <w:szCs w:val="20"/>
          <w:color w:val="auto"/>
        </w:rPr>
      </w:pPr>
    </w:p>
    <w:p>
      <w:pPr>
        <w:sectPr>
          <w:pgSz w:w="11900" w:h="16838" w:orient="portrait"/>
          <w:cols w:equalWidth="0" w:num="2">
            <w:col w:w="5560" w:space="155"/>
            <w:col w:w="5525"/>
          </w:cols>
          <w:pgMar w:left="320" w:top="114"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Executive Compensation Philosophy and Objectives</w:t>
      </w:r>
    </w:p>
    <w:p>
      <w:pPr>
        <w:spacing w:after="0" w:line="21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02" w:lineRule="exact"/>
        <w:rPr>
          <w:sz w:val="20"/>
          <w:szCs w:val="20"/>
          <w:color w:val="auto"/>
        </w:rPr>
      </w:pPr>
    </w:p>
    <w:p>
      <w:pPr>
        <w:ind w:left="340" w:right="300" w:hanging="332"/>
        <w:spacing w:after="0" w:line="286" w:lineRule="auto"/>
        <w:tabs>
          <w:tab w:leader="none" w:pos="329" w:val="left"/>
        </w:tabs>
        <w:numPr>
          <w:ilvl w:val="0"/>
          <w:numId w:val="50"/>
        </w:numPr>
        <w:rPr>
          <w:rFonts w:ascii="Arial" w:cs="Arial" w:eastAsia="Arial" w:hAnsi="Arial"/>
          <w:sz w:val="16"/>
          <w:szCs w:val="16"/>
          <w:color w:val="0063A6"/>
        </w:rPr>
      </w:pPr>
      <w:r>
        <w:rPr>
          <w:rFonts w:ascii="Arial" w:cs="Arial" w:eastAsia="Arial" w:hAnsi="Arial"/>
          <w:sz w:val="16"/>
          <w:szCs w:val="16"/>
          <w:color w:val="auto"/>
        </w:rPr>
        <w:t>Provide market-competitive compensation and benefit levels that will attract, retain, motivate, and reward a highly-talented team of executive officers within the context of responsible cost management;</w:t>
      </w:r>
    </w:p>
    <w:p>
      <w:pPr>
        <w:spacing w:after="0" w:line="88"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50"/>
        </w:numPr>
        <w:rPr>
          <w:rFonts w:ascii="Arial" w:cs="Arial" w:eastAsia="Arial" w:hAnsi="Arial"/>
          <w:sz w:val="16"/>
          <w:szCs w:val="16"/>
          <w:color w:val="0063A6"/>
        </w:rPr>
      </w:pPr>
      <w:r>
        <w:rPr>
          <w:rFonts w:ascii="Arial" w:cs="Arial" w:eastAsia="Arial" w:hAnsi="Arial"/>
          <w:sz w:val="16"/>
          <w:szCs w:val="16"/>
          <w:color w:val="auto"/>
        </w:rPr>
        <w:t>Establish a direct link between our financial, operational, and strategic objectives and results, as well as our values, and the compensation of our executive officers; and</w:t>
      </w:r>
    </w:p>
    <w:p>
      <w:pPr>
        <w:spacing w:after="0" w:line="101"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50"/>
        </w:numPr>
        <w:rPr>
          <w:rFonts w:ascii="Arial" w:cs="Arial" w:eastAsia="Arial" w:hAnsi="Arial"/>
          <w:sz w:val="16"/>
          <w:szCs w:val="16"/>
          <w:color w:val="0063A6"/>
        </w:rPr>
      </w:pPr>
      <w:r>
        <w:rPr>
          <w:rFonts w:ascii="Arial" w:cs="Arial" w:eastAsia="Arial" w:hAnsi="Arial"/>
          <w:sz w:val="16"/>
          <w:szCs w:val="16"/>
          <w:color w:val="auto"/>
        </w:rPr>
        <w:t>Align the interests and objectives of our executive officers with those of our stockholders by linking their long-term equity incentive compensation opportunities to long-term stockholder value creation and their cash incentives to our annual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Pay-for-Performance</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emphasize variable compensation that appropriately rewards our executive officers through two separate compensation elements:</w:t>
      </w:r>
    </w:p>
    <w:p>
      <w:pPr>
        <w:spacing w:after="0" w:line="154" w:lineRule="exact"/>
        <w:rPr>
          <w:sz w:val="20"/>
          <w:szCs w:val="20"/>
          <w:color w:val="auto"/>
        </w:rPr>
      </w:pPr>
    </w:p>
    <w:p>
      <w:pPr>
        <w:ind w:left="340" w:right="420" w:hanging="332"/>
        <w:spacing w:after="0" w:line="286" w:lineRule="auto"/>
        <w:tabs>
          <w:tab w:leader="none" w:pos="329" w:val="left"/>
        </w:tabs>
        <w:numPr>
          <w:ilvl w:val="0"/>
          <w:numId w:val="51"/>
        </w:numPr>
        <w:rPr>
          <w:rFonts w:ascii="Arial" w:cs="Arial" w:eastAsia="Arial" w:hAnsi="Arial"/>
          <w:sz w:val="16"/>
          <w:szCs w:val="16"/>
          <w:color w:val="0063A6"/>
        </w:rPr>
      </w:pPr>
      <w:r>
        <w:rPr>
          <w:rFonts w:ascii="Arial" w:cs="Arial" w:eastAsia="Arial" w:hAnsi="Arial"/>
          <w:sz w:val="16"/>
          <w:szCs w:val="16"/>
          <w:color w:val="auto"/>
        </w:rPr>
        <w:t>Our annual cash bonus plan provides cash payments if our executive officers produce short-term financial, operational, and/or strategic results that meet or exceed the objectives set forth in our annual operating plan.</w:t>
      </w:r>
    </w:p>
    <w:p>
      <w:pPr>
        <w:spacing w:after="0" w:line="101" w:lineRule="exact"/>
        <w:rPr>
          <w:rFonts w:ascii="Arial" w:cs="Arial" w:eastAsia="Arial" w:hAnsi="Arial"/>
          <w:sz w:val="16"/>
          <w:szCs w:val="16"/>
          <w:color w:val="0063A6"/>
        </w:rPr>
      </w:pPr>
    </w:p>
    <w:p>
      <w:pPr>
        <w:ind w:left="340" w:right="440" w:hanging="332"/>
        <w:spacing w:after="0" w:line="266" w:lineRule="auto"/>
        <w:tabs>
          <w:tab w:leader="none" w:pos="329" w:val="left"/>
        </w:tabs>
        <w:numPr>
          <w:ilvl w:val="0"/>
          <w:numId w:val="51"/>
        </w:numPr>
        <w:rPr>
          <w:rFonts w:ascii="Arial" w:cs="Arial" w:eastAsia="Arial" w:hAnsi="Arial"/>
          <w:sz w:val="16"/>
          <w:szCs w:val="16"/>
          <w:color w:val="0063A6"/>
        </w:rPr>
      </w:pPr>
      <w:r>
        <w:rPr>
          <w:rFonts w:ascii="Arial" w:cs="Arial" w:eastAsia="Arial" w:hAnsi="Arial"/>
          <w:sz w:val="16"/>
          <w:szCs w:val="16"/>
          <w:color w:val="auto"/>
        </w:rPr>
        <w:t>Equity-based awards, which represent a majority of our executive officers’ annual target total direct compensation opportunities, the value of which depends entirely on the value of our common stock, incentivize our executive officers to build sustainable long-term value for the benefit of our stockholders.</w:t>
      </w:r>
    </w:p>
    <w:p>
      <w:pPr>
        <w:spacing w:after="0" w:line="10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These variable pay elements are intended to result in a substantial portion of our executive officers’ annual target total direct compensation opportunities being contingent (rather than fixed) in nature, with the amounts ultimately payable subject to variability above or below target levels commensurate with our actual performance.</w:t>
      </w:r>
    </w:p>
    <w:p>
      <w:pPr>
        <w:spacing w:after="0" w:line="117"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auto"/>
        </w:rPr>
        <w:t>We believe that this design provides balanced incentives for our executive officers to drive financial performance and long-term growth. Our talent and compensation committee regularly evaluates the relationship between the reported values of the equity awards granted to our executive officers and the amount of realizable and realized value from such awards in subsequent years.</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63A6"/>
        </w:rPr>
        <w:t>Compensation-Setting Process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Role of Talent and Compensation Committee and the Stock Committee</w:t>
      </w:r>
    </w:p>
    <w:p>
      <w:pPr>
        <w:spacing w:after="0" w:line="154"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talent and compensation committee discharges many of the responsibilities of our board of directors relating to the compensation of our executives and non-employee directors. The talent and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talent and compensation committee makes all final decisions regarding the compensation of our Chief Executive Officer and our other executive officers.</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In carrying out its responsibilities, the talent and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w:t>
      </w:r>
    </w:p>
    <w:p>
      <w:pPr>
        <w:spacing w:after="0" w:line="12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talent and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hanging="554"/>
        <w:spacing w:after="0"/>
        <w:tabs>
          <w:tab w:leader="none" w:pos="5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We also formed a stock committee, which is currently composed of our Chief Financial Officer, our Chief People Officer, and a non-employee director appointed by our talent and compensation committee. The stock committee has authority to grant equity awards to (a) employees who are not executive officers and (b) consultants subject to certain limitations established from time to time by the talent and compensation committee.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Role of Compensation Consultant</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talent and compensation committee engages an external compensation consultant to assist the committee in discharging its responsibilities by providing information, analysis, and other guidance relating to our executive compensation program and the decisions resulting from its annual executive compensation review. The compensation consultant reports directly to the talent and compensation committee and its chair and serves at the discretion of the talent and compensation committee, which reviews the engagement annually.</w:t>
      </w:r>
    </w:p>
    <w:p>
      <w:pPr>
        <w:spacing w:after="0" w:line="110"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For 2025, the talent and compensation committee retained Compensia to serve as its compensation consultant to advise on executive and director compensation matters, including competitive market pay practices for our executive officers, and data selection of the compensation peer group used for purposes of Compensia's competitive market and other analyses.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2025, Compensia attended talent and compensation committee meetings and provided the following services:</w:t>
      </w:r>
    </w:p>
    <w:p>
      <w:pPr>
        <w:spacing w:after="0" w:line="167"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Consulted with the talent and compensation committee chair and other members between talent and compensation committee meetings;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Conducted a review, identification and updating of our compensation peer group;</w:t>
      </w:r>
    </w:p>
    <w:p>
      <w:pPr>
        <w:spacing w:after="0" w:line="167" w:lineRule="exact"/>
        <w:rPr>
          <w:rFonts w:ascii="Arial" w:cs="Arial" w:eastAsia="Arial" w:hAnsi="Arial"/>
          <w:sz w:val="16"/>
          <w:szCs w:val="16"/>
          <w:color w:val="0063A6"/>
        </w:rPr>
      </w:pPr>
    </w:p>
    <w:p>
      <w:pPr>
        <w:ind w:left="340" w:right="240" w:hanging="332"/>
        <w:spacing w:after="0" w:line="266" w:lineRule="auto"/>
        <w:tabs>
          <w:tab w:leader="none" w:pos="329"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Provided a competitive market analysis based on data drawn from the compensation peer group for our executive officer positions, including new hire compensation, and evaluated how the compensation of our executive officers compared both to our performance and to how the companies in our compensation peer group compensate their executives in comparable positions;</w:t>
      </w:r>
    </w:p>
    <w:p>
      <w:pPr>
        <w:spacing w:after="0" w:line="117" w:lineRule="exact"/>
        <w:rPr>
          <w:rFonts w:ascii="Arial" w:cs="Arial" w:eastAsia="Arial" w:hAnsi="Arial"/>
          <w:sz w:val="16"/>
          <w:szCs w:val="16"/>
          <w:color w:val="0063A6"/>
        </w:rPr>
      </w:pPr>
    </w:p>
    <w:p>
      <w:pPr>
        <w:ind w:left="340" w:right="340" w:hanging="332"/>
        <w:spacing w:after="0" w:line="257" w:lineRule="auto"/>
        <w:tabs>
          <w:tab w:leader="none" w:pos="329"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Provided a competitive market analysis based on data drawn from the compensation peer group for non-employee directors, and evaluated how the compensation of our non-employee directors compared to how the companies in our compensation peer group compensate their non-employee directors;</w:t>
      </w:r>
    </w:p>
    <w:p>
      <w:pPr>
        <w:spacing w:after="0" w:line="124" w:lineRule="exact"/>
        <w:rPr>
          <w:rFonts w:ascii="Arial" w:cs="Arial" w:eastAsia="Arial" w:hAnsi="Arial"/>
          <w:sz w:val="16"/>
          <w:szCs w:val="16"/>
          <w:color w:val="0063A6"/>
        </w:rPr>
      </w:pPr>
    </w:p>
    <w:p>
      <w:pPr>
        <w:ind w:left="340" w:right="700" w:hanging="332"/>
        <w:spacing w:after="0" w:line="286" w:lineRule="auto"/>
        <w:tabs>
          <w:tab w:leader="none" w:pos="329"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Reviewed and analyzed base salary levels, annual cash bonus opportunities, and long-term equity incentive compensation opportunities of our executive officers;</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Conducted a “burn rate” and “overhang” analysis;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Conducted a review and analysis of short-term and long-term incentive compensation program designs;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Conducted a review and analysis of the competitive market with respect to the compensation arrangements for the Chief Financial Officer position;</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Assessed executive compensation trends within our industry, and provided updates on corporate governance and regulatory issues and developments;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Reviewed our executive compensation disclosure;</w:t>
      </w:r>
    </w:p>
    <w:p>
      <w:pPr>
        <w:spacing w:after="0" w:line="167" w:lineRule="exact"/>
        <w:rPr>
          <w:rFonts w:ascii="Arial" w:cs="Arial" w:eastAsia="Arial" w:hAnsi="Arial"/>
          <w:sz w:val="16"/>
          <w:szCs w:val="16"/>
          <w:color w:val="0063A6"/>
        </w:rPr>
      </w:pPr>
    </w:p>
    <w:p>
      <w:pPr>
        <w:ind w:left="340" w:right="160" w:hanging="332"/>
        <w:spacing w:after="0" w:line="268" w:lineRule="auto"/>
        <w:tabs>
          <w:tab w:leader="none" w:pos="329"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Assessed compensation risk to determine whether our compensation policies and practices are reasonably likely to have a material adverse impact on the company; and</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 xml:space="preserve">Supported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 throughout the year.</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Compensia did not provide any services to us other than the consulting services to the talent and compensation committee. The talent and compensation committee regularly reviews the objectivity and independence of the advice provided by its compensation consultant on executive and director compensation matters. The talent and compensation committee has evaluated Compensia’s engagement, and based on the six factors for assessing independence and identifying potential conflicts of interest that are set forth in Rule 10C-1(b)(4) of the Exchange Act, Rule 5605(d)(3)(D) of the Nasdaq Marketplace Rules, and such other factors as were deemed relevant under the circumstances, has determined that its relationship with Compensia and the work of Compensia on behalf of the talent and compensation committee did not raise any conflict of interest, and that Compensia is independent as defined in Rule 5605(a)(2) of the Nasdaq Marketplace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Role of Management</w:t>
      </w:r>
    </w:p>
    <w:p>
      <w:pPr>
        <w:spacing w:after="0" w:line="167"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In discharging its responsibilities, the talent and compensation committee also works with members of our management, including our Chief Executive Officer. Our management assists the talent and compensation committee by providing information on corporate and individual performance, competitive market data, and management’s perspective and recommendations on compensation matters.</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Typically, our Chief Executive Officer makes recommendations to the talent and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talent and compensation committee for each element of compensation as described above.</w:t>
      </w:r>
    </w:p>
    <w:p>
      <w:pPr>
        <w:spacing w:after="0" w:line="12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talent and compensation committee reviews and discusses these recommendations and proposals with our Chief Executive Officer and uses them as one factor in determining and approving the compensation for our executive officers.</w:t>
      </w:r>
    </w:p>
    <w:p>
      <w:pPr>
        <w:spacing w:after="0" w:line="102"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Our Chief Executive Officer also attends meetings of our board of directors and the talent and compensation committee at which executive compensation matters are discussed, except with respect to discussions involving his own compensation. Decisions with respect to our Chief Executive Officer’s compensation are made solely by our talent and compensation committee, which is comprised entirely of independent members of our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Competitive Positioning</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For purposes of assessing our executive compensation against the competitive market, the talent and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2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companies in the compensation peer group for 2025 were approved in August 2024 on the basis of their similarity to us, as determined using the following criteria, each as of July 2024:</w:t>
      </w:r>
    </w:p>
    <w:p>
      <w:pPr>
        <w:spacing w:after="0" w:line="102" w:lineRule="exact"/>
        <w:rPr>
          <w:sz w:val="20"/>
          <w:szCs w:val="20"/>
          <w:color w:val="auto"/>
        </w:rPr>
      </w:pPr>
    </w:p>
    <w:p>
      <w:pPr>
        <w:ind w:left="340" w:right="100" w:hanging="332"/>
        <w:spacing w:after="0" w:line="286" w:lineRule="auto"/>
        <w:tabs>
          <w:tab w:leader="none" w:pos="329" w:val="left"/>
        </w:tabs>
        <w:numPr>
          <w:ilvl w:val="0"/>
          <w:numId w:val="54"/>
        </w:numPr>
        <w:rPr>
          <w:rFonts w:ascii="Arial" w:cs="Arial" w:eastAsia="Arial" w:hAnsi="Arial"/>
          <w:sz w:val="16"/>
          <w:szCs w:val="16"/>
          <w:color w:val="0063A6"/>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approximately 0.4x to approximately 2.5x our last four fiscal quarter revenue of approximately $2.5 billion (approximately $1.0 billion to $6.3</w:t>
      </w:r>
      <w:r>
        <w:rPr>
          <w:rFonts w:ascii="Arial" w:cs="Arial" w:eastAsia="Arial" w:hAnsi="Arial"/>
          <w:sz w:val="16"/>
          <w:szCs w:val="16"/>
          <w:b w:val="1"/>
          <w:bCs w:val="1"/>
          <w:color w:val="auto"/>
        </w:rPr>
        <w:t xml:space="preserve"> </w:t>
      </w:r>
      <w:r>
        <w:rPr>
          <w:rFonts w:ascii="Arial" w:cs="Arial" w:eastAsia="Arial" w:hAnsi="Arial"/>
          <w:sz w:val="16"/>
          <w:szCs w:val="16"/>
          <w:color w:val="auto"/>
        </w:rPr>
        <w:t>billion);</w:t>
      </w:r>
    </w:p>
    <w:p>
      <w:pPr>
        <w:spacing w:after="0" w:line="88" w:lineRule="exact"/>
        <w:rPr>
          <w:rFonts w:ascii="Arial" w:cs="Arial" w:eastAsia="Arial" w:hAnsi="Arial"/>
          <w:sz w:val="16"/>
          <w:szCs w:val="16"/>
          <w:color w:val="0063A6"/>
        </w:rPr>
      </w:pPr>
    </w:p>
    <w:p>
      <w:pPr>
        <w:ind w:left="340" w:right="180" w:hanging="332"/>
        <w:spacing w:after="0" w:line="286" w:lineRule="auto"/>
        <w:tabs>
          <w:tab w:leader="none" w:pos="329" w:val="left"/>
        </w:tabs>
        <w:numPr>
          <w:ilvl w:val="0"/>
          <w:numId w:val="54"/>
        </w:numPr>
        <w:rPr>
          <w:rFonts w:ascii="Arial" w:cs="Arial" w:eastAsia="Arial" w:hAnsi="Arial"/>
          <w:sz w:val="16"/>
          <w:szCs w:val="16"/>
          <w:color w:val="0063A6"/>
        </w:rPr>
      </w:pPr>
      <w:r>
        <w:rPr>
          <w:rFonts w:ascii="Arial" w:cs="Arial" w:eastAsia="Arial" w:hAnsi="Arial"/>
          <w:sz w:val="16"/>
          <w:szCs w:val="16"/>
          <w:b w:val="1"/>
          <w:bCs w:val="1"/>
          <w:color w:val="auto"/>
        </w:rPr>
        <w:t xml:space="preserve">market capitalization </w:t>
      </w:r>
      <w:r>
        <w:rPr>
          <w:rFonts w:ascii="Arial" w:cs="Arial" w:eastAsia="Arial" w:hAnsi="Arial"/>
          <w:sz w:val="16"/>
          <w:szCs w:val="16"/>
          <w:color w:val="auto"/>
        </w:rPr>
        <w:t>– approximately 0.2x to approximately 5.0x our market capitalization of approximately $7.5 billion (approximately $1.5 billion to</w:t>
      </w:r>
      <w:r>
        <w:rPr>
          <w:rFonts w:ascii="Arial" w:cs="Arial" w:eastAsia="Arial" w:hAnsi="Arial"/>
          <w:sz w:val="16"/>
          <w:szCs w:val="16"/>
          <w:b w:val="1"/>
          <w:bCs w:val="1"/>
          <w:color w:val="auto"/>
        </w:rPr>
        <w:t xml:space="preserve"> </w:t>
      </w:r>
      <w:r>
        <w:rPr>
          <w:rFonts w:ascii="Arial" w:cs="Arial" w:eastAsia="Arial" w:hAnsi="Arial"/>
          <w:sz w:val="16"/>
          <w:szCs w:val="16"/>
          <w:color w:val="auto"/>
        </w:rPr>
        <w:t>$37.5 billion);</w:t>
      </w:r>
    </w:p>
    <w:p>
      <w:pPr>
        <w:spacing w:after="0" w:line="101" w:lineRule="exact"/>
        <w:rPr>
          <w:rFonts w:ascii="Arial" w:cs="Arial" w:eastAsia="Arial" w:hAnsi="Arial"/>
          <w:sz w:val="16"/>
          <w:szCs w:val="16"/>
          <w:color w:val="0063A6"/>
        </w:rPr>
      </w:pPr>
    </w:p>
    <w:p>
      <w:pPr>
        <w:ind w:left="340" w:right="360" w:hanging="332"/>
        <w:spacing w:after="0" w:line="286" w:lineRule="auto"/>
        <w:tabs>
          <w:tab w:leader="none" w:pos="329" w:val="left"/>
        </w:tabs>
        <w:numPr>
          <w:ilvl w:val="0"/>
          <w:numId w:val="54"/>
        </w:numPr>
        <w:rPr>
          <w:rFonts w:ascii="Arial" w:cs="Arial" w:eastAsia="Arial" w:hAnsi="Arial"/>
          <w:sz w:val="16"/>
          <w:szCs w:val="16"/>
          <w:color w:val="0063A6"/>
        </w:rPr>
      </w:pPr>
      <w:r>
        <w:rPr>
          <w:rFonts w:ascii="Arial" w:cs="Arial" w:eastAsia="Arial" w:hAnsi="Arial"/>
          <w:sz w:val="16"/>
          <w:szCs w:val="16"/>
          <w:b w:val="1"/>
          <w:bCs w:val="1"/>
          <w:color w:val="auto"/>
        </w:rPr>
        <w:t xml:space="preserve">industry sector </w:t>
      </w:r>
      <w:r>
        <w:rPr>
          <w:rFonts w:ascii="Arial" w:cs="Arial" w:eastAsia="Arial" w:hAnsi="Arial"/>
          <w:sz w:val="16"/>
          <w:szCs w:val="16"/>
          <w:color w:val="auto"/>
        </w:rPr>
        <w:t>– software and SaaS, internet services and infrastructure, interactive media services, software, technology hardware and storage,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and payment processing services, and certain SaaS companies not classified as such; and</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54"/>
        </w:numPr>
        <w:rPr>
          <w:rFonts w:ascii="Arial" w:cs="Arial" w:eastAsia="Arial" w:hAnsi="Arial"/>
          <w:sz w:val="16"/>
          <w:szCs w:val="16"/>
          <w:color w:val="0063A6"/>
        </w:rPr>
      </w:pPr>
      <w:r>
        <w:rPr>
          <w:rFonts w:ascii="Arial" w:cs="Arial" w:eastAsia="Arial" w:hAnsi="Arial"/>
          <w:sz w:val="16"/>
          <w:szCs w:val="16"/>
          <w:b w:val="1"/>
          <w:bCs w:val="1"/>
          <w:color w:val="auto"/>
        </w:rPr>
        <w:t xml:space="preserve">relevance </w:t>
      </w:r>
      <w:r>
        <w:rPr>
          <w:rFonts w:ascii="Arial" w:cs="Arial" w:eastAsia="Arial" w:hAnsi="Arial"/>
          <w:sz w:val="16"/>
          <w:szCs w:val="16"/>
          <w:color w:val="auto"/>
        </w:rPr>
        <w:t>– software-as-a-service model or product similarity.</w:t>
      </w:r>
    </w:p>
    <w:p>
      <w:pPr>
        <w:spacing w:after="0" w:line="200" w:lineRule="exact"/>
        <w:rPr>
          <w:sz w:val="20"/>
          <w:szCs w:val="20"/>
          <w:color w:val="auto"/>
        </w:rPr>
      </w:pPr>
    </w:p>
    <w:p>
      <w:pPr>
        <w:spacing w:after="0" w:line="350" w:lineRule="exact"/>
        <w:rPr>
          <w:sz w:val="20"/>
          <w:szCs w:val="20"/>
          <w:color w:val="auto"/>
        </w:rPr>
      </w:pPr>
    </w:p>
    <w:p>
      <w:pPr>
        <w:ind w:left="580" w:hanging="554"/>
        <w:spacing w:after="0"/>
        <w:tabs>
          <w:tab w:leader="none" w:pos="58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selecting the 2025 compensation peer group, the talent and compensation committee chose companies that resulted in us being near the median of the group as of July 2024, in terms of both revenue and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99060</wp:posOffset>
            </wp:positionV>
            <wp:extent cx="2391410" cy="368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91410" cy="368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2391410" cy="368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91410" cy="36830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7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2024 Compensation Peer Group</w:t>
            </w:r>
          </w:p>
        </w:tc>
        <w:tc>
          <w:tcPr>
            <w:tcW w:w="37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Changes to Peer Group</w:t>
            </w:r>
          </w:p>
        </w:tc>
        <w:tc>
          <w:tcPr>
            <w:tcW w:w="37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2025 Compensation Peer Group</w:t>
            </w:r>
          </w:p>
        </w:tc>
      </w:tr>
      <w:tr>
        <w:trPr>
          <w:trHeight w:val="237"/>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Affirm Holdings</w:t>
            </w:r>
          </w:p>
        </w:tc>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Removed</w:t>
            </w:r>
            <w:r>
              <w:rPr>
                <w:rFonts w:ascii="Arial" w:cs="Arial" w:eastAsia="Arial" w:hAnsi="Arial"/>
                <w:sz w:val="16"/>
                <w:szCs w:val="16"/>
                <w:color w:val="auto"/>
              </w:rPr>
              <w:t>:</w:t>
            </w: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Affirm Holdings</w:t>
            </w:r>
          </w:p>
        </w:tc>
      </w:tr>
      <w:tr>
        <w:trPr>
          <w:trHeight w:val="235"/>
        </w:trPr>
        <w:tc>
          <w:tcPr>
            <w:tcW w:w="3740" w:type="dxa"/>
            <w:vAlign w:val="bottom"/>
          </w:tcPr>
          <w:p>
            <w:pPr>
              <w:jc w:val="center"/>
              <w:spacing w:after="0"/>
              <w:rPr>
                <w:sz w:val="20"/>
                <w:szCs w:val="20"/>
                <w:color w:val="auto"/>
              </w:rPr>
            </w:pPr>
            <w:r>
              <w:rPr>
                <w:rFonts w:ascii="Arial" w:cs="Arial" w:eastAsia="Arial" w:hAnsi="Arial"/>
                <w:sz w:val="16"/>
                <w:szCs w:val="16"/>
                <w:color w:val="auto"/>
              </w:rPr>
              <w:t>AppLovin</w:t>
            </w:r>
          </w:p>
        </w:tc>
        <w:tc>
          <w:tcPr>
            <w:tcW w:w="3740" w:type="dxa"/>
            <w:vAlign w:val="bottom"/>
          </w:tcPr>
          <w:p>
            <w:pPr>
              <w:jc w:val="center"/>
              <w:spacing w:after="0"/>
              <w:rPr>
                <w:sz w:val="20"/>
                <w:szCs w:val="20"/>
                <w:color w:val="auto"/>
              </w:rPr>
            </w:pPr>
            <w:r>
              <w:rPr>
                <w:rFonts w:ascii="Arial" w:cs="Arial" w:eastAsia="Arial" w:hAnsi="Arial"/>
                <w:sz w:val="16"/>
                <w:szCs w:val="16"/>
                <w:color w:val="auto"/>
              </w:rPr>
              <w:t>Splunk (acquired)</w:t>
            </w: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AppLovin</w:t>
            </w:r>
          </w:p>
        </w:tc>
      </w:tr>
      <w:tr>
        <w:trPr>
          <w:trHeight w:val="231"/>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Box</w:t>
            </w:r>
          </w:p>
        </w:tc>
        <w:tc>
          <w:tcPr>
            <w:tcW w:w="3740" w:type="dxa"/>
            <w:vAlign w:val="bottom"/>
            <w:tcBorders>
              <w:bottom w:val="single" w:sz="8" w:color="F2F2F2"/>
            </w:tcBorders>
            <w:shd w:val="clear" w:color="auto" w:fill="F2F2F2"/>
          </w:tcPr>
          <w:p>
            <w:pPr>
              <w:spacing w:after="0"/>
              <w:rPr>
                <w:sz w:val="20"/>
                <w:szCs w:val="20"/>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4"/>
              </w:rPr>
              <w:t>Box</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DocuSign</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DocuSign</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Dolby Laboratories</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Dolby Laboratories</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w w:val="97"/>
              </w:rPr>
              <w:t>Elastic</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Elastic</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Etsy</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Etsy</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w w:val="96"/>
              </w:rPr>
              <w:t>F5</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6"/>
              </w:rPr>
              <w:t>F5</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GoDaddy</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GoDaddy</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HubSpot</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9"/>
              </w:rPr>
              <w:t>HubSpot</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Informatica</w:t>
            </w:r>
          </w:p>
        </w:tc>
        <w:tc>
          <w:tcPr>
            <w:tcW w:w="374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rPr>
              <w:t xml:space="preserve">Added: </w:t>
            </w:r>
            <w:r>
              <w:rPr>
                <w:rFonts w:ascii="Arial" w:cs="Arial" w:eastAsia="Arial" w:hAnsi="Arial"/>
                <w:sz w:val="16"/>
                <w:szCs w:val="16"/>
                <w:color w:val="auto"/>
              </w:rPr>
              <w:t>None</w:t>
            </w:r>
          </w:p>
        </w:tc>
        <w:tc>
          <w:tcPr>
            <w:tcW w:w="37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Informatica</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Nutanix</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Nutanix</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Okta</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Okta</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Paycom Software</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Paycom Software</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Pinterest</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Pinterest</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Pure Storage</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Pure Storage</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RingCentral</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RingCentral</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Roku</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Roku</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Splunk</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Teradata</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w w:val="99"/>
              </w:rPr>
              <w:t>Teradata</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Zoom Communications</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15"/>
        </w:trPr>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Zoom Communications</w:t>
            </w:r>
          </w:p>
        </w:tc>
        <w:tc>
          <w:tcPr>
            <w:tcW w:w="3740" w:type="dxa"/>
            <w:vAlign w:val="bottom"/>
            <w:shd w:val="clear" w:color="auto" w:fill="F2F2F2"/>
          </w:tcPr>
          <w:p>
            <w:pPr>
              <w:spacing w:after="0"/>
              <w:rPr>
                <w:sz w:val="18"/>
                <w:szCs w:val="18"/>
                <w:color w:val="auto"/>
              </w:rPr>
            </w:pPr>
          </w:p>
        </w:tc>
        <w:tc>
          <w:tcPr>
            <w:tcW w:w="3760" w:type="dxa"/>
            <w:vAlign w:val="bottom"/>
            <w:shd w:val="clear" w:color="auto" w:fill="F2F2F2"/>
          </w:tcPr>
          <w:p>
            <w:pPr>
              <w:spacing w:after="0"/>
              <w:rPr>
                <w:sz w:val="18"/>
                <w:szCs w:val="18"/>
                <w:color w:val="auto"/>
              </w:rPr>
            </w:pPr>
          </w:p>
        </w:tc>
      </w:tr>
      <w:tr>
        <w:trPr>
          <w:trHeight w:val="28"/>
        </w:trPr>
        <w:tc>
          <w:tcPr>
            <w:tcW w:w="3740" w:type="dxa"/>
            <w:vAlign w:val="bottom"/>
            <w:shd w:val="clear" w:color="auto" w:fill="F2F2F2"/>
          </w:tcPr>
          <w:p>
            <w:pPr>
              <w:spacing w:after="0"/>
              <w:rPr>
                <w:sz w:val="2"/>
                <w:szCs w:val="2"/>
                <w:color w:val="auto"/>
              </w:rPr>
            </w:pPr>
          </w:p>
        </w:tc>
        <w:tc>
          <w:tcPr>
            <w:tcW w:w="3740" w:type="dxa"/>
            <w:vAlign w:val="bottom"/>
            <w:shd w:val="clear" w:color="auto" w:fill="F2F2F2"/>
          </w:tcPr>
          <w:p>
            <w:pPr>
              <w:spacing w:after="0"/>
              <w:rPr>
                <w:sz w:val="2"/>
                <w:szCs w:val="2"/>
                <w:color w:val="auto"/>
              </w:rPr>
            </w:pPr>
          </w:p>
        </w:tc>
        <w:tc>
          <w:tcPr>
            <w:tcW w:w="3760" w:type="dxa"/>
            <w:vAlign w:val="bottom"/>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-1079500</wp:posOffset>
            </wp:positionV>
            <wp:extent cx="1714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-1079500</wp:posOffset>
            </wp:positionV>
            <wp:extent cx="1714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-1388110</wp:posOffset>
            </wp:positionV>
            <wp:extent cx="1714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-1696720</wp:posOffset>
            </wp:positionV>
            <wp:extent cx="1714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-1696720</wp:posOffset>
            </wp:positionV>
            <wp:extent cx="1714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-2005330</wp:posOffset>
            </wp:positionV>
            <wp:extent cx="1714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-2005330</wp:posOffset>
            </wp:positionV>
            <wp:extent cx="1714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-2313940</wp:posOffset>
            </wp:positionV>
            <wp:extent cx="1714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-2313940</wp:posOffset>
            </wp:positionV>
            <wp:extent cx="1714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-2622550</wp:posOffset>
            </wp:positionV>
            <wp:extent cx="17145"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-2622550</wp:posOffset>
            </wp:positionV>
            <wp:extent cx="1714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-2931160</wp:posOffset>
            </wp:positionV>
            <wp:extent cx="1714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-2931160</wp:posOffset>
            </wp:positionV>
            <wp:extent cx="1714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195"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The compensation practices of the compensation peer group were the primary guide used by the talent and compensation committee in 2025 to compare the competitiveness of each compensation element and our annual target total direct compensation (base salary, target annual cash bonus opportunities, and target long-term equity incentive compensation opportunities) for our executive officers.</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To analyze the compensation practices of our compensation peer group, Compensia gathered data from public filings of the peer group companies, as well as from the Radford Global Technology Survey. This market data was then used as a reference point for the talent and compensation committee to assess our current compensation levels in the course of its deliberations on compensation forms and amounts. The talent and compensation committee does not engage in formal benchmarking against other companies’ compensation programs or practices to establish our compensation levels or make specific compensation recommendations with respect to our executive officers, including our named executive officers.</w:t>
      </w:r>
    </w:p>
    <w:p>
      <w:pPr>
        <w:spacing w:after="0" w:line="128"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color w:val="auto"/>
        </w:rPr>
        <w:t>The talent and compensation committee reviews our compensation peer group each year and adjusts its composition if warranted, taking into account changes in both our business and the businesses of the companies in the peer group.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Compensation Setting</w:t>
      </w:r>
    </w:p>
    <w:p>
      <w:pPr>
        <w:spacing w:after="0" w:line="16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talent and compensation committee reviews the base salary levels, target annual cash bonus opportunities, and target long-term equity incentive compensation opportunities of our executive officers and all related performance criteria at the beginning of each year, or more frequently as warranted.</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We do not establish a specific target for formulating the annual target total direct compensation opportunities of our executive officers, including our named executive officers.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making decisions about the compensation of our executive officers, the talent and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194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25" w:lineRule="exact"/>
        <w:rPr>
          <w:sz w:val="20"/>
          <w:szCs w:val="20"/>
          <w:color w:val="auto"/>
        </w:rPr>
      </w:pPr>
    </w:p>
    <w:p>
      <w:pPr>
        <w:ind w:left="200" w:hanging="158"/>
        <w:spacing w:after="0"/>
        <w:tabs>
          <w:tab w:leader="none" w:pos="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executive compensation program objectives;</w:t>
      </w:r>
    </w:p>
    <w:p>
      <w:pPr>
        <w:spacing w:after="0" w:line="113" w:lineRule="exact"/>
        <w:rPr>
          <w:rFonts w:ascii="Arial" w:cs="Arial" w:eastAsia="Arial" w:hAnsi="Arial"/>
          <w:sz w:val="16"/>
          <w:szCs w:val="16"/>
          <w:color w:val="auto"/>
        </w:rPr>
      </w:pPr>
    </w:p>
    <w:p>
      <w:pPr>
        <w:ind w:left="200" w:hanging="158"/>
        <w:spacing w:after="0" w:line="255" w:lineRule="auto"/>
        <w:tabs>
          <w:tab w:leader="none" w:pos="188" w:val="left"/>
        </w:tabs>
        <w:numPr>
          <w:ilvl w:val="0"/>
          <w:numId w:val="56"/>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Our performance against the financial, operational, and strategic objectives established by the talent and compensation committee and our board of directors;</w:t>
      </w:r>
    </w:p>
    <w:p>
      <w:pPr>
        <w:spacing w:after="0" w:line="61" w:lineRule="exact"/>
        <w:rPr>
          <w:rFonts w:ascii="Arial" w:cs="Arial" w:eastAsia="Arial" w:hAnsi="Arial"/>
          <w:sz w:val="16"/>
          <w:szCs w:val="16"/>
          <w:color w:val="auto"/>
          <w:shd w:val="clear" w:color="auto" w:fill="F2F2F2"/>
        </w:rPr>
      </w:pPr>
    </w:p>
    <w:p>
      <w:pPr>
        <w:ind w:left="200" w:right="160" w:hanging="158"/>
        <w:spacing w:after="0" w:line="252" w:lineRule="auto"/>
        <w:tabs>
          <w:tab w:leader="none" w:pos="188" w:val="left"/>
        </w:tabs>
        <w:numPr>
          <w:ilvl w:val="0"/>
          <w:numId w:val="56"/>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Each individual executive officer’s knowledge, skills, experience, qualifications, and tenure relative to other similarly-situated executives at the companies in our compensation peer group and/or selected broad-based compensation surveys;</w:t>
      </w:r>
    </w:p>
    <w:p>
      <w:pPr>
        <w:spacing w:after="0" w:line="77" w:lineRule="exact"/>
        <w:rPr>
          <w:rFonts w:ascii="Arial" w:cs="Arial" w:eastAsia="Arial" w:hAnsi="Arial"/>
          <w:sz w:val="16"/>
          <w:szCs w:val="16"/>
          <w:color w:val="auto"/>
          <w:shd w:val="clear" w:color="auto" w:fill="F2F2F2"/>
        </w:rPr>
      </w:pPr>
    </w:p>
    <w:p>
      <w:pPr>
        <w:ind w:left="200" w:right="20" w:hanging="158"/>
        <w:spacing w:after="0" w:line="255" w:lineRule="auto"/>
        <w:tabs>
          <w:tab w:leader="none" w:pos="188" w:val="left"/>
        </w:tabs>
        <w:numPr>
          <w:ilvl w:val="0"/>
          <w:numId w:val="56"/>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scope of each executive officer’s role and responsibilities compared to other similarly-situated executives at the companies in our compensation peer group and/or selected broad-based compensation surveys;</w:t>
      </w:r>
    </w:p>
    <w:p>
      <w:pPr>
        <w:spacing w:after="0" w:line="75" w:lineRule="exact"/>
        <w:rPr>
          <w:rFonts w:ascii="Arial" w:cs="Arial" w:eastAsia="Arial" w:hAnsi="Arial"/>
          <w:sz w:val="16"/>
          <w:szCs w:val="16"/>
          <w:color w:val="auto"/>
          <w:shd w:val="clear" w:color="auto" w:fill="F2F2F2"/>
        </w:rPr>
      </w:pPr>
    </w:p>
    <w:p>
      <w:pPr>
        <w:ind w:left="200" w:hanging="158"/>
        <w:spacing w:after="0" w:line="252" w:lineRule="auto"/>
        <w:tabs>
          <w:tab w:leader="none" w:pos="188" w:val="left"/>
        </w:tabs>
        <w:numPr>
          <w:ilvl w:val="0"/>
          <w:numId w:val="56"/>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69" w:right="240" w:hanging="169"/>
        <w:spacing w:after="0" w:line="281" w:lineRule="auto"/>
        <w:tabs>
          <w:tab w:leader="none" w:pos="15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potential of each individual executive officer to contribute to our long-</w:t>
      </w:r>
      <w:r>
        <w:rPr>
          <w:rFonts w:ascii="Arial" w:cs="Arial" w:eastAsia="Arial" w:hAnsi="Arial"/>
          <w:sz w:val="16"/>
          <w:szCs w:val="16"/>
          <w:color w:val="auto"/>
          <w:shd w:val="clear" w:color="auto" w:fill="F2F2F2"/>
        </w:rPr>
        <w:t>term financial, operational, and strategic objectives;</w:t>
      </w:r>
    </w:p>
    <w:p>
      <w:pPr>
        <w:spacing w:after="0" w:line="41" w:lineRule="exact"/>
        <w:rPr>
          <w:rFonts w:ascii="Arial" w:cs="Arial" w:eastAsia="Arial" w:hAnsi="Arial"/>
          <w:sz w:val="16"/>
          <w:szCs w:val="16"/>
          <w:color w:val="auto"/>
        </w:rPr>
      </w:pPr>
    </w:p>
    <w:p>
      <w:pPr>
        <w:ind w:left="169" w:right="100" w:hanging="169"/>
        <w:spacing w:after="0" w:line="281" w:lineRule="auto"/>
        <w:tabs>
          <w:tab w:leader="none" w:pos="157" w:val="left"/>
        </w:tabs>
        <w:numPr>
          <w:ilvl w:val="0"/>
          <w:numId w:val="57"/>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Our Chief Executive Officer’s compensation relative to that of our executive officers, and compensation parity among our executive officers;</w:t>
      </w:r>
    </w:p>
    <w:p>
      <w:pPr>
        <w:spacing w:after="0" w:line="41" w:lineRule="exact"/>
        <w:rPr>
          <w:rFonts w:ascii="Arial" w:cs="Arial" w:eastAsia="Arial" w:hAnsi="Arial"/>
          <w:sz w:val="16"/>
          <w:szCs w:val="16"/>
          <w:color w:val="auto"/>
          <w:shd w:val="clear" w:color="auto" w:fill="F2F2F2"/>
        </w:rPr>
      </w:pPr>
    </w:p>
    <w:p>
      <w:pPr>
        <w:ind w:left="149" w:hanging="149"/>
        <w:spacing w:after="0"/>
        <w:tabs>
          <w:tab w:leader="none" w:pos="149" w:val="left"/>
        </w:tabs>
        <w:numPr>
          <w:ilvl w:val="0"/>
          <w:numId w:val="57"/>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Our financial performance and profile relative to our compensation peers;</w:t>
      </w:r>
    </w:p>
    <w:p>
      <w:pPr>
        <w:spacing w:after="0" w:line="113" w:lineRule="exact"/>
        <w:rPr>
          <w:rFonts w:ascii="Arial" w:cs="Arial" w:eastAsia="Arial" w:hAnsi="Arial"/>
          <w:sz w:val="16"/>
          <w:szCs w:val="16"/>
          <w:color w:val="auto"/>
          <w:shd w:val="clear" w:color="auto" w:fill="F2F2F2"/>
        </w:rPr>
      </w:pPr>
    </w:p>
    <w:p>
      <w:pPr>
        <w:ind w:left="169" w:right="160" w:hanging="169"/>
        <w:spacing w:after="0" w:line="252" w:lineRule="auto"/>
        <w:tabs>
          <w:tab w:leader="none" w:pos="157" w:val="left"/>
        </w:tabs>
        <w:numPr>
          <w:ilvl w:val="0"/>
          <w:numId w:val="57"/>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compensation practices of our compensation peer group and the positioning of each executive officer’s compensation in a ranking of peer company compensation levels based on an analysis of competitive market data; and</w:t>
      </w:r>
    </w:p>
    <w:p>
      <w:pPr>
        <w:spacing w:after="0" w:line="77" w:lineRule="exact"/>
        <w:rPr>
          <w:rFonts w:ascii="Arial" w:cs="Arial" w:eastAsia="Arial" w:hAnsi="Arial"/>
          <w:sz w:val="16"/>
          <w:szCs w:val="16"/>
          <w:color w:val="auto"/>
          <w:shd w:val="clear" w:color="auto" w:fill="F2F2F2"/>
        </w:rPr>
      </w:pPr>
    </w:p>
    <w:p>
      <w:pPr>
        <w:ind w:left="169" w:right="360" w:hanging="169"/>
        <w:spacing w:after="0" w:line="263" w:lineRule="auto"/>
        <w:tabs>
          <w:tab w:leader="none" w:pos="157" w:val="left"/>
        </w:tabs>
        <w:numPr>
          <w:ilvl w:val="0"/>
          <w:numId w:val="57"/>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recommendations of our Chief Executive Officer with respect to the compensation of our other executive officers.</w:t>
      </w:r>
    </w:p>
    <w:p>
      <w:pPr>
        <w:spacing w:after="0" w:line="934" w:lineRule="exact"/>
        <w:rPr>
          <w:sz w:val="20"/>
          <w:szCs w:val="20"/>
          <w:color w:val="auto"/>
        </w:rPr>
      </w:pPr>
    </w:p>
    <w:p>
      <w:pPr>
        <w:sectPr>
          <w:pgSz w:w="11900" w:h="16838" w:orient="portrait"/>
          <w:cols w:equalWidth="0" w:num="2">
            <w:col w:w="5500" w:space="171"/>
            <w:col w:w="5569"/>
          </w:cols>
          <w:pgMar w:left="320" w:top="114" w:right="339" w:bottom="1440" w:gutter="0" w:footer="0" w:header="0"/>
          <w:type w:val="continuous"/>
        </w:sectPr>
      </w:pPr>
    </w:p>
    <w:p>
      <w:pPr>
        <w:spacing w:after="0" w:line="9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11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do not weight these factors in any predetermined manner, nor do we apply any formulas in developing our compensation recommendations or decisions. The members of the talent and compensation committee consider all of this information in light of their individual experience, knowledge of management, knowledge of the competitive market, knowledge of each executive officer, and business judgment in making their decisions.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addition, the talent and compensation committee considered feedback from our stockholders and the result of our most recent Say-on-Pay vote. Our fiscal 2025 Say-on-Pay vote reflected 98.8% support from our stockholders, based on the percentage of the stockholder votes present and entitled to vote on the proposal. The talent and compensation committee believes this indicates that our stockholders support the philosophy, strategy, objectives, and administration of our executive compensation programs.</w:t>
      </w:r>
    </w:p>
    <w:p>
      <w:pPr>
        <w:spacing w:after="0" w:line="129"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The talent and compensation committee also considers the potential risks in our business when designing and administering our executive compensation program and believes our balanced approach to performance measurement and pay delivery serves to avoid misaligned incentives for individuals to undertake excessive or inappropriate risk.</w:t>
      </w:r>
    </w:p>
    <w:p>
      <w:pPr>
        <w:spacing w:after="0" w:line="119"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Elements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2025, the principal elements of our executive compensation program, and the purposes for each element,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568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6845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3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Element</w:t>
            </w:r>
          </w:p>
        </w:tc>
        <w:tc>
          <w:tcPr>
            <w:tcW w:w="184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Type of Element</w:t>
            </w:r>
          </w:p>
        </w:tc>
        <w:tc>
          <w:tcPr>
            <w:tcW w:w="20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Compensation Element</w:t>
            </w:r>
          </w:p>
        </w:tc>
        <w:tc>
          <w:tcPr>
            <w:tcW w:w="5080" w:type="dxa"/>
            <w:vAlign w:val="bottom"/>
            <w:tcBorders>
              <w:bottom w:val="single" w:sz="8" w:color="0063A6"/>
            </w:tcBorders>
            <w:shd w:val="clear" w:color="auto" w:fill="0063A6"/>
          </w:tcPr>
          <w:p>
            <w:pPr>
              <w:ind w:left="340"/>
              <w:spacing w:after="0"/>
              <w:rPr>
                <w:sz w:val="20"/>
                <w:szCs w:val="20"/>
                <w:color w:val="auto"/>
              </w:rPr>
            </w:pPr>
            <w:r>
              <w:rPr>
                <w:rFonts w:ascii="Arial" w:cs="Arial" w:eastAsia="Arial" w:hAnsi="Arial"/>
                <w:sz w:val="14"/>
                <w:szCs w:val="14"/>
                <w:b w:val="1"/>
                <w:bCs w:val="1"/>
                <w:color w:val="FFFFFF"/>
              </w:rPr>
              <w:t>Objective</w:t>
            </w:r>
          </w:p>
        </w:tc>
      </w:tr>
      <w:tr>
        <w:trPr>
          <w:trHeight w:val="242"/>
        </w:trPr>
        <w:tc>
          <w:tcPr>
            <w:tcW w:w="2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Base Salary</w:t>
            </w:r>
          </w:p>
        </w:tc>
        <w:tc>
          <w:tcPr>
            <w:tcW w:w="1840" w:type="dxa"/>
            <w:vAlign w:val="bottom"/>
            <w:shd w:val="clear" w:color="auto" w:fill="F2F2F2"/>
          </w:tcPr>
          <w:p>
            <w:pPr>
              <w:ind w:left="80"/>
              <w:spacing w:after="0"/>
              <w:rPr>
                <w:sz w:val="20"/>
                <w:szCs w:val="20"/>
                <w:color w:val="auto"/>
              </w:rPr>
            </w:pPr>
            <w:r>
              <w:rPr>
                <w:rFonts w:ascii="Arial" w:cs="Arial" w:eastAsia="Arial" w:hAnsi="Arial"/>
                <w:sz w:val="16"/>
                <w:szCs w:val="16"/>
                <w:color w:val="auto"/>
              </w:rPr>
              <w:t>Fixed</w:t>
            </w:r>
          </w:p>
        </w:tc>
        <w:tc>
          <w:tcPr>
            <w:tcW w:w="2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Cash</w:t>
            </w: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Attract and retain highly talented executives by providing fixed</w:t>
            </w:r>
          </w:p>
        </w:tc>
      </w:tr>
      <w:tr>
        <w:trPr>
          <w:trHeight w:val="189"/>
        </w:trPr>
        <w:tc>
          <w:tcPr>
            <w:tcW w:w="2320" w:type="dxa"/>
            <w:vAlign w:val="bottom"/>
            <w:shd w:val="clear" w:color="auto" w:fill="F2F2F2"/>
          </w:tcPr>
          <w:p>
            <w:pPr>
              <w:spacing w:after="0"/>
              <w:rPr>
                <w:sz w:val="16"/>
                <w:szCs w:val="16"/>
                <w:color w:val="auto"/>
              </w:rPr>
            </w:pPr>
          </w:p>
        </w:tc>
        <w:tc>
          <w:tcPr>
            <w:tcW w:w="1840" w:type="dxa"/>
            <w:vAlign w:val="bottom"/>
            <w:shd w:val="clear" w:color="auto" w:fill="F2F2F2"/>
          </w:tcPr>
          <w:p>
            <w:pPr>
              <w:spacing w:after="0"/>
              <w:rPr>
                <w:sz w:val="16"/>
                <w:szCs w:val="16"/>
                <w:color w:val="auto"/>
              </w:rPr>
            </w:pPr>
          </w:p>
        </w:tc>
        <w:tc>
          <w:tcPr>
            <w:tcW w:w="2000" w:type="dxa"/>
            <w:vAlign w:val="bottom"/>
            <w:shd w:val="clear" w:color="auto" w:fill="F2F2F2"/>
          </w:tcPr>
          <w:p>
            <w:pPr>
              <w:spacing w:after="0"/>
              <w:rPr>
                <w:sz w:val="16"/>
                <w:szCs w:val="16"/>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compensation amounts that are competitive in the market and</w:t>
            </w:r>
          </w:p>
        </w:tc>
      </w:tr>
      <w:tr>
        <w:trPr>
          <w:trHeight w:val="215"/>
        </w:trPr>
        <w:tc>
          <w:tcPr>
            <w:tcW w:w="2320" w:type="dxa"/>
            <w:vAlign w:val="bottom"/>
            <w:shd w:val="clear" w:color="auto" w:fill="F2F2F2"/>
          </w:tcPr>
          <w:p>
            <w:pPr>
              <w:spacing w:after="0"/>
              <w:rPr>
                <w:sz w:val="18"/>
                <w:szCs w:val="18"/>
                <w:color w:val="auto"/>
              </w:rPr>
            </w:pPr>
          </w:p>
        </w:tc>
        <w:tc>
          <w:tcPr>
            <w:tcW w:w="1840" w:type="dxa"/>
            <w:vAlign w:val="bottom"/>
            <w:shd w:val="clear" w:color="auto" w:fill="F2F2F2"/>
          </w:tcPr>
          <w:p>
            <w:pPr>
              <w:spacing w:after="0"/>
              <w:rPr>
                <w:sz w:val="18"/>
                <w:szCs w:val="18"/>
                <w:color w:val="auto"/>
              </w:rPr>
            </w:pPr>
          </w:p>
        </w:tc>
        <w:tc>
          <w:tcPr>
            <w:tcW w:w="2000" w:type="dxa"/>
            <w:vAlign w:val="bottom"/>
            <w:shd w:val="clear" w:color="auto" w:fill="F2F2F2"/>
          </w:tcPr>
          <w:p>
            <w:pPr>
              <w:spacing w:after="0"/>
              <w:rPr>
                <w:sz w:val="18"/>
                <w:szCs w:val="18"/>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reward performance.</w:t>
            </w:r>
          </w:p>
        </w:tc>
      </w:tr>
      <w:tr>
        <w:trPr>
          <w:trHeight w:val="70"/>
        </w:trPr>
        <w:tc>
          <w:tcPr>
            <w:tcW w:w="2320" w:type="dxa"/>
            <w:vAlign w:val="bottom"/>
            <w:shd w:val="clear" w:color="auto" w:fill="F2F2F2"/>
          </w:tcPr>
          <w:p>
            <w:pPr>
              <w:spacing w:after="0"/>
              <w:rPr>
                <w:sz w:val="6"/>
                <w:szCs w:val="6"/>
                <w:color w:val="auto"/>
              </w:rPr>
            </w:pPr>
          </w:p>
        </w:tc>
        <w:tc>
          <w:tcPr>
            <w:tcW w:w="1840" w:type="dxa"/>
            <w:vAlign w:val="bottom"/>
            <w:shd w:val="clear" w:color="auto" w:fill="F2F2F2"/>
          </w:tcPr>
          <w:p>
            <w:pPr>
              <w:spacing w:after="0"/>
              <w:rPr>
                <w:sz w:val="6"/>
                <w:szCs w:val="6"/>
                <w:color w:val="auto"/>
              </w:rPr>
            </w:pPr>
          </w:p>
        </w:tc>
        <w:tc>
          <w:tcPr>
            <w:tcW w:w="2000" w:type="dxa"/>
            <w:vAlign w:val="bottom"/>
            <w:shd w:val="clear" w:color="auto" w:fill="F2F2F2"/>
          </w:tcPr>
          <w:p>
            <w:pPr>
              <w:spacing w:after="0"/>
              <w:rPr>
                <w:sz w:val="6"/>
                <w:szCs w:val="6"/>
                <w:color w:val="auto"/>
              </w:rPr>
            </w:pPr>
          </w:p>
        </w:tc>
        <w:tc>
          <w:tcPr>
            <w:tcW w:w="5080" w:type="dxa"/>
            <w:vAlign w:val="bottom"/>
            <w:shd w:val="clear" w:color="auto" w:fill="F2F2F2"/>
          </w:tcPr>
          <w:p>
            <w:pPr>
              <w:spacing w:after="0"/>
              <w:rPr>
                <w:sz w:val="6"/>
                <w:szCs w:val="6"/>
                <w:color w:val="auto"/>
              </w:rPr>
            </w:pPr>
          </w:p>
        </w:tc>
      </w:tr>
      <w:tr>
        <w:trPr>
          <w:trHeight w:val="242"/>
        </w:trPr>
        <w:tc>
          <w:tcPr>
            <w:tcW w:w="2320" w:type="dxa"/>
            <w:vAlign w:val="bottom"/>
          </w:tcPr>
          <w:p>
            <w:pPr>
              <w:ind w:left="60"/>
              <w:spacing w:after="0"/>
              <w:rPr>
                <w:sz w:val="20"/>
                <w:szCs w:val="20"/>
                <w:color w:val="auto"/>
              </w:rPr>
            </w:pPr>
            <w:r>
              <w:rPr>
                <w:rFonts w:ascii="Arial" w:cs="Arial" w:eastAsia="Arial" w:hAnsi="Arial"/>
                <w:sz w:val="16"/>
                <w:szCs w:val="16"/>
                <w:color w:val="auto"/>
              </w:rPr>
              <w:t>Annual Cash Bonus</w:t>
            </w:r>
          </w:p>
        </w:tc>
        <w:tc>
          <w:tcPr>
            <w:tcW w:w="1840" w:type="dxa"/>
            <w:vAlign w:val="bottom"/>
          </w:tcPr>
          <w:p>
            <w:pPr>
              <w:ind w:left="80"/>
              <w:spacing w:after="0"/>
              <w:rPr>
                <w:sz w:val="20"/>
                <w:szCs w:val="20"/>
                <w:color w:val="auto"/>
              </w:rPr>
            </w:pPr>
            <w:r>
              <w:rPr>
                <w:rFonts w:ascii="Arial" w:cs="Arial" w:eastAsia="Arial" w:hAnsi="Arial"/>
                <w:sz w:val="16"/>
                <w:szCs w:val="16"/>
                <w:color w:val="auto"/>
              </w:rPr>
              <w:t>Variable</w:t>
            </w:r>
          </w:p>
        </w:tc>
        <w:tc>
          <w:tcPr>
            <w:tcW w:w="2000" w:type="dxa"/>
            <w:vAlign w:val="bottom"/>
          </w:tcPr>
          <w:p>
            <w:pPr>
              <w:ind w:left="60"/>
              <w:spacing w:after="0"/>
              <w:rPr>
                <w:sz w:val="20"/>
                <w:szCs w:val="20"/>
                <w:color w:val="auto"/>
              </w:rPr>
            </w:pPr>
            <w:r>
              <w:rPr>
                <w:rFonts w:ascii="Arial" w:cs="Arial" w:eastAsia="Arial" w:hAnsi="Arial"/>
                <w:sz w:val="16"/>
                <w:szCs w:val="16"/>
                <w:color w:val="auto"/>
              </w:rPr>
              <w:t>Cash</w:t>
            </w:r>
          </w:p>
        </w:tc>
        <w:tc>
          <w:tcPr>
            <w:tcW w:w="5080" w:type="dxa"/>
            <w:vAlign w:val="bottom"/>
          </w:tcPr>
          <w:p>
            <w:pPr>
              <w:ind w:left="340"/>
              <w:spacing w:after="0"/>
              <w:rPr>
                <w:sz w:val="20"/>
                <w:szCs w:val="20"/>
                <w:color w:val="auto"/>
              </w:rPr>
            </w:pPr>
            <w:r>
              <w:rPr>
                <w:rFonts w:ascii="Arial" w:cs="Arial" w:eastAsia="Arial" w:hAnsi="Arial"/>
                <w:sz w:val="16"/>
                <w:szCs w:val="16"/>
                <w:color w:val="auto"/>
              </w:rPr>
              <w:t>Motivate our executives to achieve annual business objectives set</w:t>
            </w:r>
          </w:p>
        </w:tc>
      </w:tr>
      <w:tr>
        <w:trPr>
          <w:trHeight w:val="189"/>
        </w:trPr>
        <w:tc>
          <w:tcPr>
            <w:tcW w:w="23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080" w:type="dxa"/>
            <w:vAlign w:val="bottom"/>
          </w:tcPr>
          <w:p>
            <w:pPr>
              <w:ind w:left="340"/>
              <w:spacing w:after="0"/>
              <w:rPr>
                <w:sz w:val="20"/>
                <w:szCs w:val="20"/>
                <w:color w:val="auto"/>
              </w:rPr>
            </w:pPr>
            <w:r>
              <w:rPr>
                <w:rFonts w:ascii="Arial" w:cs="Arial" w:eastAsia="Arial" w:hAnsi="Arial"/>
                <w:sz w:val="16"/>
                <w:szCs w:val="16"/>
                <w:color w:val="auto"/>
              </w:rPr>
              <w:t>forth in our annual operating plan and provide financial incentives</w:t>
            </w:r>
          </w:p>
        </w:tc>
      </w:tr>
      <w:tr>
        <w:trPr>
          <w:trHeight w:val="215"/>
        </w:trPr>
        <w:tc>
          <w:tcPr>
            <w:tcW w:w="2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6"/>
                <w:szCs w:val="16"/>
                <w:color w:val="auto"/>
              </w:rPr>
              <w:t>when we meet or exceed these annual objectives.</w:t>
            </w:r>
          </w:p>
        </w:tc>
      </w:tr>
      <w:tr>
        <w:trPr>
          <w:trHeight w:val="70"/>
        </w:trPr>
        <w:tc>
          <w:tcPr>
            <w:tcW w:w="23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5080" w:type="dxa"/>
            <w:vAlign w:val="bottom"/>
          </w:tcPr>
          <w:p>
            <w:pPr>
              <w:spacing w:after="0"/>
              <w:rPr>
                <w:sz w:val="6"/>
                <w:szCs w:val="6"/>
                <w:color w:val="auto"/>
              </w:rPr>
            </w:pPr>
          </w:p>
        </w:tc>
      </w:tr>
      <w:tr>
        <w:trPr>
          <w:trHeight w:val="242"/>
        </w:trPr>
        <w:tc>
          <w:tcPr>
            <w:tcW w:w="2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Long-Term Equity Incentive</w:t>
            </w:r>
          </w:p>
        </w:tc>
        <w:tc>
          <w:tcPr>
            <w:tcW w:w="1840" w:type="dxa"/>
            <w:vAlign w:val="bottom"/>
            <w:shd w:val="clear" w:color="auto" w:fill="F2F2F2"/>
          </w:tcPr>
          <w:p>
            <w:pPr>
              <w:ind w:left="80"/>
              <w:spacing w:after="0"/>
              <w:rPr>
                <w:sz w:val="20"/>
                <w:szCs w:val="20"/>
                <w:color w:val="auto"/>
              </w:rPr>
            </w:pPr>
            <w:r>
              <w:rPr>
                <w:rFonts w:ascii="Arial" w:cs="Arial" w:eastAsia="Arial" w:hAnsi="Arial"/>
                <w:sz w:val="16"/>
                <w:szCs w:val="16"/>
                <w:color w:val="auto"/>
              </w:rPr>
              <w:t>Variable</w:t>
            </w:r>
          </w:p>
        </w:tc>
        <w:tc>
          <w:tcPr>
            <w:tcW w:w="2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Equity</w:t>
            </w: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Align the interests of our executives and our stockholders by</w:t>
            </w:r>
          </w:p>
        </w:tc>
      </w:tr>
      <w:tr>
        <w:trPr>
          <w:trHeight w:val="189"/>
        </w:trPr>
        <w:tc>
          <w:tcPr>
            <w:tcW w:w="2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Compensation</w:t>
            </w:r>
          </w:p>
        </w:tc>
        <w:tc>
          <w:tcPr>
            <w:tcW w:w="1840" w:type="dxa"/>
            <w:vAlign w:val="bottom"/>
            <w:shd w:val="clear" w:color="auto" w:fill="F2F2F2"/>
          </w:tcPr>
          <w:p>
            <w:pPr>
              <w:spacing w:after="0"/>
              <w:rPr>
                <w:sz w:val="16"/>
                <w:szCs w:val="16"/>
                <w:color w:val="auto"/>
              </w:rPr>
            </w:pPr>
          </w:p>
        </w:tc>
        <w:tc>
          <w:tcPr>
            <w:tcW w:w="2000" w:type="dxa"/>
            <w:vAlign w:val="bottom"/>
            <w:shd w:val="clear" w:color="auto" w:fill="F2F2F2"/>
          </w:tcPr>
          <w:p>
            <w:pPr>
              <w:spacing w:after="0"/>
              <w:rPr>
                <w:sz w:val="16"/>
                <w:szCs w:val="16"/>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motivating them to create sustainable long-term stockholder</w:t>
            </w:r>
          </w:p>
        </w:tc>
      </w:tr>
      <w:tr>
        <w:trPr>
          <w:trHeight w:val="215"/>
        </w:trPr>
        <w:tc>
          <w:tcPr>
            <w:tcW w:w="2320" w:type="dxa"/>
            <w:vAlign w:val="bottom"/>
            <w:shd w:val="clear" w:color="auto" w:fill="F2F2F2"/>
          </w:tcPr>
          <w:p>
            <w:pPr>
              <w:spacing w:after="0"/>
              <w:rPr>
                <w:sz w:val="18"/>
                <w:szCs w:val="18"/>
                <w:color w:val="auto"/>
              </w:rPr>
            </w:pPr>
          </w:p>
        </w:tc>
        <w:tc>
          <w:tcPr>
            <w:tcW w:w="1840" w:type="dxa"/>
            <w:vAlign w:val="bottom"/>
            <w:shd w:val="clear" w:color="auto" w:fill="F2F2F2"/>
          </w:tcPr>
          <w:p>
            <w:pPr>
              <w:spacing w:after="0"/>
              <w:rPr>
                <w:sz w:val="18"/>
                <w:szCs w:val="18"/>
                <w:color w:val="auto"/>
              </w:rPr>
            </w:pPr>
          </w:p>
        </w:tc>
        <w:tc>
          <w:tcPr>
            <w:tcW w:w="2000" w:type="dxa"/>
            <w:vAlign w:val="bottom"/>
            <w:shd w:val="clear" w:color="auto" w:fill="F2F2F2"/>
          </w:tcPr>
          <w:p>
            <w:pPr>
              <w:spacing w:after="0"/>
              <w:rPr>
                <w:sz w:val="18"/>
                <w:szCs w:val="18"/>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value.</w:t>
            </w:r>
          </w:p>
        </w:tc>
      </w:tr>
      <w:tr>
        <w:trPr>
          <w:trHeight w:val="69"/>
        </w:trPr>
        <w:tc>
          <w:tcPr>
            <w:tcW w:w="2320" w:type="dxa"/>
            <w:vAlign w:val="bottom"/>
            <w:shd w:val="clear" w:color="auto" w:fill="F2F2F2"/>
          </w:tcPr>
          <w:p>
            <w:pPr>
              <w:spacing w:after="0"/>
              <w:rPr>
                <w:sz w:val="6"/>
                <w:szCs w:val="6"/>
                <w:color w:val="auto"/>
              </w:rPr>
            </w:pPr>
          </w:p>
        </w:tc>
        <w:tc>
          <w:tcPr>
            <w:tcW w:w="1840" w:type="dxa"/>
            <w:vAlign w:val="bottom"/>
            <w:shd w:val="clear" w:color="auto" w:fill="F2F2F2"/>
          </w:tcPr>
          <w:p>
            <w:pPr>
              <w:spacing w:after="0"/>
              <w:rPr>
                <w:sz w:val="6"/>
                <w:szCs w:val="6"/>
                <w:color w:val="auto"/>
              </w:rPr>
            </w:pPr>
          </w:p>
        </w:tc>
        <w:tc>
          <w:tcPr>
            <w:tcW w:w="2000" w:type="dxa"/>
            <w:vAlign w:val="bottom"/>
            <w:shd w:val="clear" w:color="auto" w:fill="F2F2F2"/>
          </w:tcPr>
          <w:p>
            <w:pPr>
              <w:spacing w:after="0"/>
              <w:rPr>
                <w:sz w:val="6"/>
                <w:szCs w:val="6"/>
                <w:color w:val="auto"/>
              </w:rPr>
            </w:pPr>
          </w:p>
        </w:tc>
        <w:tc>
          <w:tcPr>
            <w:tcW w:w="5080" w:type="dxa"/>
            <w:vAlign w:val="bottom"/>
            <w:shd w:val="clear" w:color="auto" w:fill="F2F2F2"/>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554"/>
        <w:spacing w:after="0"/>
        <w:tabs>
          <w:tab w:leader="none" w:pos="58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Mix of Pay</w:t>
      </w:r>
    </w:p>
    <w:p>
      <w:pPr>
        <w:spacing w:after="0" w:line="16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primary focus in compensating our executive officers is on the longer-term and performance-based elements of their annual target total direct compensation opportunities. Under our 2025 executive compensation program, approximately 96% of the annual target total direct compensation opportunities of our named executive officers (excluding our CEO), as of December 31, 2025, was variable in the form of annual cash bonus and long-term equity incentive compensation. Our CEO’s mix of pay was weighted equally between base salary and annual bonus. Mr. Houston does not receive annual equity awards due to his significant holdings as a co-founder and the “Co-Founder Grant” (in the form of a restricted stock award) he received in December 2017 prior to our IPO. Details of Mr. Houston’s Co-Founder Grant are further described in “</w:t>
      </w:r>
      <w:r>
        <w:rPr>
          <w:rFonts w:ascii="Arial" w:cs="Arial" w:eastAsia="Arial" w:hAnsi="Arial"/>
          <w:sz w:val="16"/>
          <w:szCs w:val="16"/>
          <w:i w:val="1"/>
          <w:iCs w:val="1"/>
          <w:color w:val="auto"/>
        </w:rPr>
        <w:t>Co-Founder Grant</w:t>
      </w:r>
      <w:r>
        <w:rPr>
          <w:rFonts w:ascii="Arial" w:cs="Arial" w:eastAsia="Arial" w:hAnsi="Arial"/>
          <w:sz w:val="16"/>
          <w:szCs w:val="16"/>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424815</wp:posOffset>
            </wp:positionV>
            <wp:extent cx="5803265" cy="2074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0326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*The pay mix calculations for "Other Named Executive Officers" include all other NEOs with the</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exception of Mr. Tennenbaum given his December 2025 start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Base Salary</w:t>
      </w:r>
    </w:p>
    <w:p>
      <w:pPr>
        <w:spacing w:after="0" w:line="16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use base salary to provide our executive officers with a specified level of cash compensation during the year with the expectation that they will perform their responsibilities to the best of their ability and in our best interests.</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negotiations at the time of hire, taking into account their position, qualifications, experience, and the base salaries of our other executive officers. Thereafter, the talent and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competitive market conditions.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March 2025, the talent and compensation committee reviewed the base salaries of our incumbent executive officers, including our incumbent named executive officers at that time, taking into consideration a competitive market analysis prepared by our compensation consultant and the recommendations of our Chief Executive Officer (except with respect to his own base salary), as well as the other factors described in “</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Setting</w:t>
      </w:r>
      <w:r>
        <w:rPr>
          <w:rFonts w:ascii="Arial" w:cs="Arial" w:eastAsia="Arial" w:hAnsi="Arial"/>
          <w:sz w:val="16"/>
          <w:szCs w:val="16"/>
          <w:color w:val="auto"/>
        </w:rPr>
        <w:t>” above. The base salaries of Messrs. Houston, Regan and Alkarmi were maintained at their 2024 levels because the talent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determined their current base salaries continued to reflect the competitive market for their positions. Mr. Yoon's base salary was increased in connection with his appointment as Chief Legal Officer to reflect his increased responsibilities in his new role.</w:t>
      </w:r>
    </w:p>
    <w:p>
      <w:pPr>
        <w:spacing w:after="0" w:line="128"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Base salaries for Messrs. Dasdan and Tennenbaum were determined by the talent and compensation committee in connection with their hiring, prior to commencement of employment. Mr. Dasdan’s initial base salary was set in December 2024 in advance of his March 2025 start date, and Mr. Tennenbaum’s initial base salary was set in advance of his December 2025 start date. In each case, these initial base salary determinations were made taking into account a competitive market analysis prepared by the talent and compensation committee's compensation consultant and the recommendations of our Chief Executive Officer, as well as the other factors described in the section titled “</w:t>
      </w:r>
      <w:r>
        <w:rPr>
          <w:rFonts w:ascii="Arial" w:cs="Arial" w:eastAsia="Arial" w:hAnsi="Arial"/>
          <w:sz w:val="16"/>
          <w:szCs w:val="16"/>
          <w:i w:val="1"/>
          <w:iCs w:val="1"/>
          <w:color w:val="auto"/>
        </w:rPr>
        <w:t>Executive Compensation—Compensation-Setting Process—Compensation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Setting</w:t>
      </w:r>
      <w:r>
        <w:rPr>
          <w:rFonts w:ascii="Arial" w:cs="Arial" w:eastAsia="Arial" w:hAnsi="Arial"/>
          <w:sz w:val="16"/>
          <w:szCs w:val="16"/>
          <w:color w:val="auto"/>
        </w:rPr>
        <w:t>” above.</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named executive officers for 2025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5837555" cy="5829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37555" cy="58293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shd w:val="clear" w:color="auto" w:fill="0063A6"/>
          </w:tcPr>
          <w:p>
            <w:pPr>
              <w:spacing w:after="0"/>
              <w:rPr>
                <w:sz w:val="20"/>
                <w:szCs w:val="20"/>
                <w:color w:val="auto"/>
              </w:rPr>
            </w:pPr>
          </w:p>
        </w:tc>
        <w:tc>
          <w:tcPr>
            <w:tcW w:w="2060" w:type="dxa"/>
            <w:vAlign w:val="bottom"/>
            <w:shd w:val="clear" w:color="auto" w:fill="0063A6"/>
          </w:tcPr>
          <w:p>
            <w:pPr>
              <w:spacing w:after="0"/>
              <w:rPr>
                <w:sz w:val="20"/>
                <w:szCs w:val="20"/>
                <w:color w:val="auto"/>
              </w:rPr>
            </w:pPr>
          </w:p>
        </w:tc>
        <w:tc>
          <w:tcPr>
            <w:tcW w:w="2180" w:type="dxa"/>
            <w:vAlign w:val="bottom"/>
            <w:shd w:val="clear" w:color="auto" w:fill="0063A6"/>
          </w:tcPr>
          <w:p>
            <w:pPr>
              <w:spacing w:after="0"/>
              <w:rPr>
                <w:sz w:val="20"/>
                <w:szCs w:val="20"/>
                <w:color w:val="auto"/>
              </w:rPr>
            </w:pPr>
          </w:p>
        </w:tc>
        <w:tc>
          <w:tcPr>
            <w:tcW w:w="1920" w:type="dxa"/>
            <w:vAlign w:val="bottom"/>
            <w:shd w:val="clear" w:color="auto" w:fill="0063A6"/>
          </w:tcPr>
          <w:p>
            <w:pPr>
              <w:jc w:val="center"/>
              <w:ind w:right="42"/>
              <w:spacing w:after="0"/>
              <w:rPr>
                <w:sz w:val="20"/>
                <w:szCs w:val="20"/>
                <w:color w:val="auto"/>
              </w:rPr>
            </w:pPr>
            <w:r>
              <w:rPr>
                <w:rFonts w:ascii="Arial" w:cs="Arial" w:eastAsia="Arial" w:hAnsi="Arial"/>
                <w:sz w:val="14"/>
                <w:szCs w:val="14"/>
                <w:b w:val="1"/>
                <w:bCs w:val="1"/>
                <w:color w:val="FFFFFF"/>
              </w:rPr>
              <w:t>Percentage</w:t>
            </w:r>
          </w:p>
        </w:tc>
      </w:tr>
      <w:tr>
        <w:trPr>
          <w:trHeight w:val="162"/>
        </w:trPr>
        <w:tc>
          <w:tcPr>
            <w:tcW w:w="5080" w:type="dxa"/>
            <w:vAlign w:val="bottom"/>
            <w:shd w:val="clear" w:color="auto" w:fill="0063A6"/>
          </w:tcPr>
          <w:p>
            <w:pPr>
              <w:spacing w:after="0"/>
              <w:rPr>
                <w:sz w:val="14"/>
                <w:szCs w:val="14"/>
                <w:color w:val="auto"/>
              </w:rPr>
            </w:pP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Base Salary</w:t>
            </w:r>
          </w:p>
        </w:tc>
        <w:tc>
          <w:tcPr>
            <w:tcW w:w="2180" w:type="dxa"/>
            <w:vAlign w:val="bottom"/>
            <w:shd w:val="clear" w:color="auto" w:fill="0063A6"/>
          </w:tcPr>
          <w:p>
            <w:pPr>
              <w:jc w:val="center"/>
              <w:ind w:right="61"/>
              <w:spacing w:after="0"/>
              <w:rPr>
                <w:sz w:val="20"/>
                <w:szCs w:val="20"/>
                <w:color w:val="auto"/>
              </w:rPr>
            </w:pPr>
            <w:r>
              <w:rPr>
                <w:rFonts w:ascii="Arial" w:cs="Arial" w:eastAsia="Arial" w:hAnsi="Arial"/>
                <w:sz w:val="14"/>
                <w:szCs w:val="14"/>
                <w:b w:val="1"/>
                <w:bCs w:val="1"/>
                <w:color w:val="FFFFFF"/>
              </w:rPr>
              <w:t>Base Salary</w:t>
            </w:r>
          </w:p>
        </w:tc>
        <w:tc>
          <w:tcPr>
            <w:tcW w:w="1920" w:type="dxa"/>
            <w:vAlign w:val="bottom"/>
            <w:shd w:val="clear" w:color="auto" w:fill="0063A6"/>
          </w:tcPr>
          <w:p>
            <w:pPr>
              <w:jc w:val="center"/>
              <w:ind w:right="82"/>
              <w:spacing w:after="0"/>
              <w:rPr>
                <w:sz w:val="20"/>
                <w:szCs w:val="20"/>
                <w:color w:val="auto"/>
              </w:rPr>
            </w:pPr>
            <w:r>
              <w:rPr>
                <w:rFonts w:ascii="Arial" w:cs="Arial" w:eastAsia="Arial" w:hAnsi="Arial"/>
                <w:sz w:val="14"/>
                <w:szCs w:val="14"/>
                <w:b w:val="1"/>
                <w:bCs w:val="1"/>
                <w:color w:val="FFFFFF"/>
              </w:rPr>
              <w:t>(Decrease) /</w:t>
            </w:r>
          </w:p>
        </w:tc>
      </w:tr>
      <w:tr>
        <w:trPr>
          <w:trHeight w:val="246"/>
        </w:trPr>
        <w:tc>
          <w:tcPr>
            <w:tcW w:w="50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as of End of 2024 ($)</w:t>
            </w:r>
          </w:p>
        </w:tc>
        <w:tc>
          <w:tcPr>
            <w:tcW w:w="2180" w:type="dxa"/>
            <w:vAlign w:val="bottom"/>
            <w:tcBorders>
              <w:bottom w:val="single" w:sz="8" w:color="0063A6"/>
            </w:tcBorders>
            <w:shd w:val="clear" w:color="auto" w:fill="0063A6"/>
          </w:tcPr>
          <w:p>
            <w:pPr>
              <w:jc w:val="center"/>
              <w:ind w:right="61"/>
              <w:spacing w:after="0"/>
              <w:rPr>
                <w:sz w:val="20"/>
                <w:szCs w:val="20"/>
                <w:color w:val="auto"/>
              </w:rPr>
            </w:pPr>
            <w:r>
              <w:rPr>
                <w:rFonts w:ascii="Arial" w:cs="Arial" w:eastAsia="Arial" w:hAnsi="Arial"/>
                <w:sz w:val="14"/>
                <w:szCs w:val="14"/>
                <w:b w:val="1"/>
                <w:bCs w:val="1"/>
                <w:color w:val="FFFFFF"/>
              </w:rPr>
              <w:t>as of End of 2025 ($)</w:t>
            </w:r>
          </w:p>
        </w:tc>
        <w:tc>
          <w:tcPr>
            <w:tcW w:w="1920" w:type="dxa"/>
            <w:vAlign w:val="bottom"/>
            <w:tcBorders>
              <w:bottom w:val="single" w:sz="8" w:color="0063A6"/>
            </w:tcBorders>
            <w:shd w:val="clear" w:color="auto" w:fill="0063A6"/>
          </w:tcPr>
          <w:p>
            <w:pPr>
              <w:jc w:val="center"/>
              <w:ind w:right="42"/>
              <w:spacing w:after="0"/>
              <w:rPr>
                <w:sz w:val="20"/>
                <w:szCs w:val="20"/>
                <w:color w:val="auto"/>
              </w:rPr>
            </w:pPr>
            <w:r>
              <w:rPr>
                <w:rFonts w:ascii="Arial" w:cs="Arial" w:eastAsia="Arial" w:hAnsi="Arial"/>
                <w:sz w:val="14"/>
                <w:szCs w:val="14"/>
                <w:b w:val="1"/>
                <w:bCs w:val="1"/>
                <w:color w:val="FFFFFF"/>
              </w:rPr>
              <w:t>Increase</w:t>
            </w:r>
          </w:p>
        </w:tc>
      </w:tr>
      <w:tr>
        <w:trPr>
          <w:trHeight w:val="236"/>
        </w:trPr>
        <w:tc>
          <w:tcPr>
            <w:tcW w:w="50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2180" w:type="dxa"/>
            <w:vAlign w:val="bottom"/>
            <w:tcBorders>
              <w:bottom w:val="single" w:sz="8" w:color="F2F2F2"/>
            </w:tcBorders>
            <w:shd w:val="clear" w:color="auto" w:fill="F2F2F2"/>
          </w:tcPr>
          <w:p>
            <w:pPr>
              <w:jc w:val="center"/>
              <w:ind w:right="61"/>
              <w:spacing w:after="0"/>
              <w:rPr>
                <w:sz w:val="20"/>
                <w:szCs w:val="20"/>
                <w:color w:val="auto"/>
              </w:rPr>
            </w:pPr>
            <w:r>
              <w:rPr>
                <w:rFonts w:ascii="Arial" w:cs="Arial" w:eastAsia="Arial" w:hAnsi="Arial"/>
                <w:sz w:val="16"/>
                <w:szCs w:val="16"/>
                <w:color w:val="auto"/>
              </w:rPr>
              <w:t>800,000</w:t>
            </w:r>
          </w:p>
        </w:tc>
        <w:tc>
          <w:tcPr>
            <w:tcW w:w="1920" w:type="dxa"/>
            <w:vAlign w:val="bottom"/>
            <w:tcBorders>
              <w:bottom w:val="single" w:sz="8" w:color="F2F2F2"/>
            </w:tcBorders>
            <w:shd w:val="clear" w:color="auto" w:fill="F2F2F2"/>
          </w:tcPr>
          <w:p>
            <w:pPr>
              <w:jc w:val="center"/>
              <w:ind w:right="42"/>
              <w:spacing w:after="0"/>
              <w:rPr>
                <w:sz w:val="20"/>
                <w:szCs w:val="20"/>
                <w:color w:val="auto"/>
              </w:rPr>
            </w:pPr>
            <w:r>
              <w:rPr>
                <w:rFonts w:ascii="Arial" w:cs="Arial" w:eastAsia="Arial" w:hAnsi="Arial"/>
                <w:sz w:val="16"/>
                <w:szCs w:val="16"/>
                <w:color w:val="auto"/>
              </w:rPr>
              <w:t>0%</w:t>
            </w:r>
          </w:p>
        </w:tc>
      </w:tr>
      <w:tr>
        <w:trPr>
          <w:trHeight w:val="243"/>
        </w:trPr>
        <w:tc>
          <w:tcPr>
            <w:tcW w:w="5080" w:type="dxa"/>
            <w:vAlign w:val="bottom"/>
          </w:tcPr>
          <w:p>
            <w:pPr>
              <w:ind w:left="60"/>
              <w:spacing w:after="0"/>
              <w:rPr>
                <w:sz w:val="20"/>
                <w:szCs w:val="20"/>
                <w:color w:val="auto"/>
              </w:rPr>
            </w:pPr>
            <w:r>
              <w:rPr>
                <w:rFonts w:ascii="Arial" w:cs="Arial" w:eastAsia="Arial" w:hAnsi="Arial"/>
                <w:sz w:val="16"/>
                <w:szCs w:val="16"/>
                <w:color w:val="auto"/>
              </w:rPr>
              <w:t>Ross Tennenbaum</w:t>
            </w:r>
            <w:r>
              <w:rPr>
                <w:rFonts w:ascii="Arial" w:cs="Arial" w:eastAsia="Arial" w:hAnsi="Arial"/>
                <w:sz w:val="21"/>
                <w:szCs w:val="21"/>
                <w:color w:val="auto"/>
                <w:vertAlign w:val="superscript"/>
              </w:rPr>
              <w:t>(1)</w:t>
            </w:r>
          </w:p>
        </w:tc>
        <w:tc>
          <w:tcPr>
            <w:tcW w:w="2060" w:type="dxa"/>
            <w:vAlign w:val="bottom"/>
          </w:tcPr>
          <w:p>
            <w:pPr>
              <w:jc w:val="center"/>
              <w:spacing w:after="0"/>
              <w:rPr>
                <w:sz w:val="20"/>
                <w:szCs w:val="20"/>
                <w:color w:val="auto"/>
              </w:rPr>
            </w:pPr>
            <w:r>
              <w:rPr>
                <w:rFonts w:ascii="Arial" w:cs="Arial" w:eastAsia="Arial" w:hAnsi="Arial"/>
                <w:sz w:val="16"/>
                <w:szCs w:val="16"/>
                <w:color w:val="auto"/>
              </w:rPr>
              <w:t>—</w:t>
            </w:r>
          </w:p>
        </w:tc>
        <w:tc>
          <w:tcPr>
            <w:tcW w:w="2180" w:type="dxa"/>
            <w:vAlign w:val="bottom"/>
          </w:tcPr>
          <w:p>
            <w:pPr>
              <w:jc w:val="center"/>
              <w:ind w:right="41"/>
              <w:spacing w:after="0"/>
              <w:rPr>
                <w:sz w:val="20"/>
                <w:szCs w:val="20"/>
                <w:color w:val="auto"/>
              </w:rPr>
            </w:pPr>
            <w:r>
              <w:rPr>
                <w:rFonts w:ascii="Arial" w:cs="Arial" w:eastAsia="Arial" w:hAnsi="Arial"/>
                <w:sz w:val="16"/>
                <w:szCs w:val="16"/>
                <w:color w:val="auto"/>
              </w:rPr>
              <w:t>550,000</w:t>
            </w:r>
          </w:p>
        </w:tc>
        <w:tc>
          <w:tcPr>
            <w:tcW w:w="1920" w:type="dxa"/>
            <w:vAlign w:val="bottom"/>
          </w:tcPr>
          <w:p>
            <w:pPr>
              <w:jc w:val="center"/>
              <w:ind w:right="62"/>
              <w:spacing w:after="0"/>
              <w:rPr>
                <w:sz w:val="20"/>
                <w:szCs w:val="20"/>
                <w:color w:val="auto"/>
              </w:rPr>
            </w:pPr>
            <w:r>
              <w:rPr>
                <w:rFonts w:ascii="Arial" w:cs="Arial" w:eastAsia="Arial" w:hAnsi="Arial"/>
                <w:sz w:val="16"/>
                <w:szCs w:val="16"/>
                <w:color w:val="auto"/>
                <w:w w:val="97"/>
              </w:rPr>
              <w:t>N/A</w:t>
            </w:r>
          </w:p>
        </w:tc>
      </w:tr>
      <w:tr>
        <w:trPr>
          <w:trHeight w:val="243"/>
        </w:trPr>
        <w:tc>
          <w:tcPr>
            <w:tcW w:w="5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Regan</w:t>
            </w:r>
            <w:r>
              <w:rPr>
                <w:rFonts w:ascii="Arial" w:cs="Arial" w:eastAsia="Arial" w:hAnsi="Arial"/>
                <w:sz w:val="21"/>
                <w:szCs w:val="21"/>
                <w:color w:val="auto"/>
                <w:vertAlign w:val="superscript"/>
              </w:rPr>
              <w:t>(2)</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560,000</w:t>
            </w:r>
          </w:p>
        </w:tc>
        <w:tc>
          <w:tcPr>
            <w:tcW w:w="218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560,000</w:t>
            </w:r>
          </w:p>
        </w:tc>
        <w:tc>
          <w:tcPr>
            <w:tcW w:w="1920" w:type="dxa"/>
            <w:vAlign w:val="bottom"/>
            <w:shd w:val="clear" w:color="auto" w:fill="F2F2F2"/>
          </w:tcPr>
          <w:p>
            <w:pPr>
              <w:jc w:val="center"/>
              <w:ind w:right="42"/>
              <w:spacing w:after="0"/>
              <w:rPr>
                <w:sz w:val="20"/>
                <w:szCs w:val="20"/>
                <w:color w:val="auto"/>
              </w:rPr>
            </w:pPr>
            <w:r>
              <w:rPr>
                <w:rFonts w:ascii="Arial" w:cs="Arial" w:eastAsia="Arial" w:hAnsi="Arial"/>
                <w:sz w:val="16"/>
                <w:szCs w:val="16"/>
                <w:color w:val="auto"/>
              </w:rPr>
              <w:t>0%</w:t>
            </w:r>
          </w:p>
        </w:tc>
      </w:tr>
      <w:tr>
        <w:trPr>
          <w:trHeight w:val="243"/>
        </w:trPr>
        <w:tc>
          <w:tcPr>
            <w:tcW w:w="5080" w:type="dxa"/>
            <w:vAlign w:val="bottom"/>
          </w:tcPr>
          <w:p>
            <w:pPr>
              <w:ind w:left="60"/>
              <w:spacing w:after="0"/>
              <w:rPr>
                <w:sz w:val="20"/>
                <w:szCs w:val="20"/>
                <w:color w:val="auto"/>
              </w:rPr>
            </w:pPr>
            <w:r>
              <w:rPr>
                <w:rFonts w:ascii="Arial" w:cs="Arial" w:eastAsia="Arial" w:hAnsi="Arial"/>
                <w:sz w:val="16"/>
                <w:szCs w:val="16"/>
                <w:color w:val="auto"/>
              </w:rPr>
              <w:t>William Yoon</w:t>
            </w:r>
            <w:r>
              <w:rPr>
                <w:rFonts w:ascii="Arial" w:cs="Arial" w:eastAsia="Arial" w:hAnsi="Arial"/>
                <w:sz w:val="21"/>
                <w:szCs w:val="21"/>
                <w:color w:val="auto"/>
                <w:vertAlign w:val="superscript"/>
              </w:rPr>
              <w:t>(3)</w:t>
            </w:r>
          </w:p>
        </w:tc>
        <w:tc>
          <w:tcPr>
            <w:tcW w:w="2060" w:type="dxa"/>
            <w:vAlign w:val="bottom"/>
          </w:tcPr>
          <w:p>
            <w:pPr>
              <w:jc w:val="center"/>
              <w:spacing w:after="0"/>
              <w:rPr>
                <w:sz w:val="20"/>
                <w:szCs w:val="20"/>
                <w:color w:val="auto"/>
              </w:rPr>
            </w:pPr>
            <w:r>
              <w:rPr>
                <w:rFonts w:ascii="Arial" w:cs="Arial" w:eastAsia="Arial" w:hAnsi="Arial"/>
                <w:sz w:val="16"/>
                <w:szCs w:val="16"/>
                <w:color w:val="auto"/>
              </w:rPr>
              <w:t>420,000</w:t>
            </w:r>
          </w:p>
        </w:tc>
        <w:tc>
          <w:tcPr>
            <w:tcW w:w="2180" w:type="dxa"/>
            <w:vAlign w:val="bottom"/>
          </w:tcPr>
          <w:p>
            <w:pPr>
              <w:jc w:val="center"/>
              <w:ind w:right="61"/>
              <w:spacing w:after="0"/>
              <w:rPr>
                <w:sz w:val="20"/>
                <w:szCs w:val="20"/>
                <w:color w:val="auto"/>
              </w:rPr>
            </w:pPr>
            <w:r>
              <w:rPr>
                <w:rFonts w:ascii="Arial" w:cs="Arial" w:eastAsia="Arial" w:hAnsi="Arial"/>
                <w:sz w:val="16"/>
                <w:szCs w:val="16"/>
                <w:color w:val="auto"/>
              </w:rPr>
              <w:t>475,000</w:t>
            </w:r>
          </w:p>
        </w:tc>
        <w:tc>
          <w:tcPr>
            <w:tcW w:w="1920" w:type="dxa"/>
            <w:vAlign w:val="bottom"/>
          </w:tcPr>
          <w:p>
            <w:pPr>
              <w:jc w:val="center"/>
              <w:ind w:right="42"/>
              <w:spacing w:after="0"/>
              <w:rPr>
                <w:sz w:val="20"/>
                <w:szCs w:val="20"/>
                <w:color w:val="auto"/>
              </w:rPr>
            </w:pPr>
            <w:r>
              <w:rPr>
                <w:rFonts w:ascii="Arial" w:cs="Arial" w:eastAsia="Arial" w:hAnsi="Arial"/>
                <w:sz w:val="16"/>
                <w:szCs w:val="16"/>
                <w:color w:val="auto"/>
                <w:w w:val="99"/>
              </w:rPr>
              <w:t>13%</w:t>
            </w:r>
          </w:p>
        </w:tc>
      </w:tr>
      <w:tr>
        <w:trPr>
          <w:trHeight w:val="243"/>
        </w:trPr>
        <w:tc>
          <w:tcPr>
            <w:tcW w:w="5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Ali Dasdan</w:t>
            </w:r>
            <w:r>
              <w:rPr>
                <w:rFonts w:ascii="Arial" w:cs="Arial" w:eastAsia="Arial" w:hAnsi="Arial"/>
                <w:sz w:val="21"/>
                <w:szCs w:val="21"/>
                <w:color w:val="auto"/>
                <w:vertAlign w:val="superscript"/>
              </w:rPr>
              <w:t>(4)</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218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500,000</w:t>
            </w:r>
          </w:p>
        </w:tc>
        <w:tc>
          <w:tcPr>
            <w:tcW w:w="1920" w:type="dxa"/>
            <w:vAlign w:val="bottom"/>
            <w:shd w:val="clear" w:color="auto" w:fill="F2F2F2"/>
          </w:tcPr>
          <w:p>
            <w:pPr>
              <w:jc w:val="center"/>
              <w:ind w:right="42"/>
              <w:spacing w:after="0"/>
              <w:rPr>
                <w:sz w:val="20"/>
                <w:szCs w:val="20"/>
                <w:color w:val="auto"/>
              </w:rPr>
            </w:pPr>
            <w:r>
              <w:rPr>
                <w:rFonts w:ascii="Arial" w:cs="Arial" w:eastAsia="Arial" w:hAnsi="Arial"/>
                <w:sz w:val="16"/>
                <w:szCs w:val="16"/>
                <w:color w:val="auto"/>
              </w:rPr>
              <w:t>N/A</w:t>
            </w:r>
          </w:p>
        </w:tc>
      </w:tr>
      <w:tr>
        <w:trPr>
          <w:trHeight w:val="241"/>
        </w:trPr>
        <w:tc>
          <w:tcPr>
            <w:tcW w:w="508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060" w:type="dxa"/>
            <w:vAlign w:val="bottom"/>
          </w:tcPr>
          <w:p>
            <w:pPr>
              <w:jc w:val="center"/>
              <w:spacing w:after="0"/>
              <w:rPr>
                <w:sz w:val="20"/>
                <w:szCs w:val="20"/>
                <w:color w:val="auto"/>
              </w:rPr>
            </w:pPr>
            <w:r>
              <w:rPr>
                <w:rFonts w:ascii="Arial" w:cs="Arial" w:eastAsia="Arial" w:hAnsi="Arial"/>
                <w:sz w:val="16"/>
                <w:szCs w:val="16"/>
                <w:color w:val="auto"/>
              </w:rPr>
              <w:t>500,000</w:t>
            </w:r>
          </w:p>
        </w:tc>
        <w:tc>
          <w:tcPr>
            <w:tcW w:w="2180" w:type="dxa"/>
            <w:vAlign w:val="bottom"/>
          </w:tcPr>
          <w:p>
            <w:pPr>
              <w:jc w:val="center"/>
              <w:ind w:right="81"/>
              <w:spacing w:after="0"/>
              <w:rPr>
                <w:sz w:val="20"/>
                <w:szCs w:val="20"/>
                <w:color w:val="auto"/>
              </w:rPr>
            </w:pPr>
            <w:r>
              <w:rPr>
                <w:rFonts w:ascii="Arial" w:cs="Arial" w:eastAsia="Arial" w:hAnsi="Arial"/>
                <w:sz w:val="16"/>
                <w:szCs w:val="16"/>
                <w:color w:val="auto"/>
              </w:rPr>
              <w:t>500,000</w:t>
            </w:r>
          </w:p>
        </w:tc>
        <w:tc>
          <w:tcPr>
            <w:tcW w:w="1920" w:type="dxa"/>
            <w:vAlign w:val="bottom"/>
          </w:tcPr>
          <w:p>
            <w:pPr>
              <w:jc w:val="center"/>
              <w:ind w:right="42"/>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-306705</wp:posOffset>
            </wp:positionV>
            <wp:extent cx="1714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-306705</wp:posOffset>
            </wp:positionV>
            <wp:extent cx="1714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-306705</wp:posOffset>
            </wp:positionV>
            <wp:extent cx="1714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-615315</wp:posOffset>
            </wp:positionV>
            <wp:extent cx="1714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-615315</wp:posOffset>
            </wp:positionV>
            <wp:extent cx="1714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-615315</wp:posOffset>
            </wp:positionV>
            <wp:extent cx="1714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5"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Mr. Tennenbaum was appointed as Chief Financial Officer in December 2025.</w:t>
      </w:r>
    </w:p>
    <w:p>
      <w:pPr>
        <w:ind w:left="260" w:hanging="252"/>
        <w:spacing w:after="0" w:line="187" w:lineRule="auto"/>
        <w:tabs>
          <w:tab w:leader="none" w:pos="2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Mr. Regan's role as Chief Financial Officer ended on December 16, 2025, and his employment with the company ended in March 2026.</w:t>
      </w:r>
    </w:p>
    <w:p>
      <w:pPr>
        <w:ind w:left="260" w:hanging="252"/>
        <w:spacing w:after="0" w:line="187" w:lineRule="auto"/>
        <w:tabs>
          <w:tab w:leader="none" w:pos="2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Mr. Yoon was appointed as Chief Legal Officer in March 2025, and his 2025 base salary increase was in connection with his appointment.</w:t>
      </w:r>
    </w:p>
    <w:p>
      <w:pPr>
        <w:ind w:left="260" w:hanging="252"/>
        <w:spacing w:after="0"/>
        <w:tabs>
          <w:tab w:leader="none" w:pos="260" w:val="left"/>
        </w:tabs>
        <w:numPr>
          <w:ilvl w:val="0"/>
          <w:numId w:val="59"/>
        </w:numPr>
        <w:rPr>
          <w:rFonts w:ascii="Arial" w:cs="Arial" w:eastAsia="Arial" w:hAnsi="Arial"/>
          <w:sz w:val="9"/>
          <w:szCs w:val="9"/>
          <w:color w:val="auto"/>
        </w:rPr>
      </w:pPr>
      <w:r>
        <w:rPr>
          <w:rFonts w:ascii="Arial" w:cs="Arial" w:eastAsia="Arial" w:hAnsi="Arial"/>
          <w:sz w:val="14"/>
          <w:szCs w:val="14"/>
          <w:color w:val="auto"/>
        </w:rPr>
        <w:t>Mr. Dasdan was appointed as Chief Technology Officer in March 2025.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paid to our named executive officers during 2025 are set forth in the “</w:t>
      </w:r>
      <w:r>
        <w:rPr>
          <w:rFonts w:ascii="Arial" w:cs="Arial" w:eastAsia="Arial" w:hAnsi="Arial"/>
          <w:sz w:val="16"/>
          <w:szCs w:val="16"/>
          <w:i w:val="1"/>
          <w:iCs w:val="1"/>
          <w:color w:val="auto"/>
        </w:rPr>
        <w:t>Summary Compensation Table for Fiscal Year 2025</w:t>
      </w:r>
      <w:r>
        <w:rPr>
          <w:rFonts w:ascii="Arial" w:cs="Arial" w:eastAsia="Arial" w:hAnsi="Arial"/>
          <w:sz w:val="16"/>
          <w:szCs w:val="16"/>
          <w:color w:val="auto"/>
        </w:rPr>
        <w:t>” below.</w:t>
      </w:r>
    </w:p>
    <w:p>
      <w:pPr>
        <w:spacing w:after="0" w:line="15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As noted above. Mr. Regan’s role as Chief Financial Officer ended on December 16, 2025, and his employment with the company ended in March 2026. Following his resignation as Chief Financial Officer, Mr. Regan continued to serve as a non-executive employee of the company to ensure a smooth transition. Mr. Regan received a one-time advisory fee cash payment of $250,000 in December 2025 in connection with his continued service.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Annual Cash Bonuses</w:t>
      </w:r>
    </w:p>
    <w:p>
      <w:pPr>
        <w:spacing w:after="0" w:line="16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 xml:space="preserve">In January 2025, the talent and compensation committee, with input from management, adopted our 2025 annual cash bonus plan (the “ </w:t>
      </w:r>
      <w:r>
        <w:rPr>
          <w:rFonts w:ascii="Arial" w:cs="Arial" w:eastAsia="Arial" w:hAnsi="Arial"/>
          <w:sz w:val="16"/>
          <w:szCs w:val="16"/>
          <w:b w:val="1"/>
          <w:bCs w:val="1"/>
          <w:i w:val="1"/>
          <w:iCs w:val="1"/>
          <w:color w:val="auto"/>
        </w:rPr>
        <w:t>2025 Cash Bonus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which was designed to provide financial incentives for our executive officers if we met or exceeded the pre-established threshold levels for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and non-GAAP operating margin established under our 2025 annual operating plan. The 2025 Cash Bonus Plan is funded based on our actual achievement against the pre-established target levels for the applicable corporate performance measure.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Target Annual Cash Bonus Opportunities</w:t>
      </w:r>
    </w:p>
    <w:p>
      <w:pPr>
        <w:spacing w:after="0" w:line="200" w:lineRule="exact"/>
        <w:rPr>
          <w:sz w:val="20"/>
          <w:szCs w:val="20"/>
          <w:color w:val="auto"/>
        </w:rPr>
      </w:pPr>
    </w:p>
    <w:p>
      <w:pPr>
        <w:spacing w:after="0" w:line="350" w:lineRule="exact"/>
        <w:rPr>
          <w:sz w:val="20"/>
          <w:szCs w:val="20"/>
          <w:color w:val="auto"/>
        </w:rPr>
      </w:pPr>
    </w:p>
    <w:p>
      <w:pPr>
        <w:ind w:left="580" w:hanging="554"/>
        <w:spacing w:after="0"/>
        <w:tabs>
          <w:tab w:leader="none" w:pos="58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the 2025 Cash Bonus Plan, annual cash bonus opportunities and payments were based upon an eligible percentage of each participant’s base salary. In March 2025, the talent and compensation committee reviewed and approved the target annual cash bonus opportunities of our then-current executive officers, taking into consideration a competitive market analysis prepared by our compensation consultant and the recommendations of our Chief Executive Officer (except with respect to his own target annual cash bonus opportunity) as well as the other factors described in “</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Setting</w:t>
      </w:r>
      <w:r>
        <w:rPr>
          <w:rFonts w:ascii="Arial" w:cs="Arial" w:eastAsia="Arial" w:hAnsi="Arial"/>
          <w:sz w:val="16"/>
          <w:szCs w:val="16"/>
          <w:color w:val="auto"/>
        </w:rPr>
        <w:t>” above. Based on this review, the talent and compensation committee decided to make no adjustment to the 2024 target annual cash</w:t>
      </w:r>
      <w:r>
        <w:rPr>
          <w:rFonts w:ascii="Arial" w:cs="Arial" w:eastAsia="Arial" w:hAnsi="Arial"/>
          <w:sz w:val="16"/>
          <w:szCs w:val="16"/>
          <w:i w:val="1"/>
          <w:iCs w:val="1"/>
          <w:color w:val="auto"/>
        </w:rPr>
        <w:t xml:space="preserve"> </w:t>
      </w:r>
      <w:r>
        <w:rPr>
          <w:rFonts w:ascii="Arial" w:cs="Arial" w:eastAsia="Arial" w:hAnsi="Arial"/>
          <w:sz w:val="16"/>
          <w:szCs w:val="16"/>
          <w:color w:val="auto"/>
        </w:rPr>
        <w:t>bonus opportunity (as a percentage of base salary) of each of our then-current named executive officers.</w:t>
      </w:r>
    </w:p>
    <w:p>
      <w:pPr>
        <w:spacing w:after="0" w:line="128" w:lineRule="exact"/>
        <w:rPr>
          <w:sz w:val="20"/>
          <w:szCs w:val="20"/>
          <w:color w:val="auto"/>
        </w:rPr>
      </w:pPr>
    </w:p>
    <w:p>
      <w:pPr>
        <w:ind w:right="480"/>
        <w:spacing w:after="0" w:line="247" w:lineRule="auto"/>
        <w:rPr>
          <w:sz w:val="20"/>
          <w:szCs w:val="20"/>
          <w:color w:val="auto"/>
        </w:rPr>
      </w:pPr>
      <w:r>
        <w:rPr>
          <w:rFonts w:ascii="Arial" w:cs="Arial" w:eastAsia="Arial" w:hAnsi="Arial"/>
          <w:sz w:val="16"/>
          <w:szCs w:val="16"/>
          <w:color w:val="auto"/>
        </w:rPr>
        <w:t>Mr. Yoon's target annual cash bonus opportunity was increased from 50% to 75% of his base salary in connection with his appointment as Chief Legal Officer to reflect his increased responsibilities in his new role and taking into consideration a competitive market analysis prepared by the talent and compensation committee's compensation consultant and the recommendations of our Chief Executive Officer, as well as the other factors described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w:t>
      </w:r>
    </w:p>
    <w:p>
      <w:pPr>
        <w:spacing w:after="0" w:line="15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Target annual cash bonus opportunities for Messrs. Dasdan, and Tennenbaum were determined by the talent and compensation committee in connection with their hiring, prior to commencement of employment. Mr. Dasdan’s initial target annual cash bonus opportunity was set in December 2024 in advance of his March 2025 start date; and Mr. Tennenbaum’s 2026 target annual cash bonus opportunity was set in advance of his December 2025 start date. In each case, target annual cash bonus opportunity determinations were made taking into account a competitive market analysis prepared by the talent and compensation committee's compensation consultant and the recommendations of our Chief Executive Officer, as well as the other factors described in “</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2025 target annual cash bonus opportunities for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80645</wp:posOffset>
            </wp:positionV>
            <wp:extent cx="17145" cy="643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 cy="643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80645</wp:posOffset>
            </wp:positionV>
            <wp:extent cx="17145" cy="77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 cy="7747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120" w:type="dxa"/>
            <w:vAlign w:val="bottom"/>
            <w:shd w:val="clear" w:color="auto" w:fill="0063A6"/>
          </w:tcPr>
          <w:p>
            <w:pPr>
              <w:spacing w:after="0"/>
              <w:rPr>
                <w:sz w:val="24"/>
                <w:szCs w:val="24"/>
                <w:color w:val="auto"/>
              </w:rPr>
            </w:pPr>
          </w:p>
        </w:tc>
        <w:tc>
          <w:tcPr>
            <w:tcW w:w="2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Target Annual</w:t>
            </w:r>
          </w:p>
        </w:tc>
        <w:tc>
          <w:tcPr>
            <w:tcW w:w="3180" w:type="dxa"/>
            <w:vAlign w:val="bottom"/>
            <w:shd w:val="clear" w:color="auto" w:fill="0063A6"/>
          </w:tcPr>
          <w:p>
            <w:pPr>
              <w:spacing w:after="0"/>
              <w:rPr>
                <w:sz w:val="24"/>
                <w:szCs w:val="24"/>
                <w:color w:val="auto"/>
              </w:rPr>
            </w:pPr>
          </w:p>
        </w:tc>
      </w:tr>
      <w:tr>
        <w:trPr>
          <w:trHeight w:val="160"/>
        </w:trPr>
        <w:tc>
          <w:tcPr>
            <w:tcW w:w="5120" w:type="dxa"/>
            <w:vAlign w:val="bottom"/>
            <w:shd w:val="clear" w:color="auto" w:fill="0063A6"/>
          </w:tcPr>
          <w:p>
            <w:pPr>
              <w:spacing w:after="0"/>
              <w:rPr>
                <w:sz w:val="13"/>
                <w:szCs w:val="13"/>
                <w:color w:val="auto"/>
              </w:rPr>
            </w:pPr>
          </w:p>
        </w:tc>
        <w:tc>
          <w:tcPr>
            <w:tcW w:w="294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Cash Bonus Opportunity</w:t>
            </w:r>
          </w:p>
        </w:tc>
        <w:tc>
          <w:tcPr>
            <w:tcW w:w="3180" w:type="dxa"/>
            <w:vAlign w:val="bottom"/>
            <w:shd w:val="clear" w:color="auto" w:fill="0063A6"/>
          </w:tcPr>
          <w:p>
            <w:pPr>
              <w:jc w:val="center"/>
              <w:ind w:right="361"/>
              <w:spacing w:after="0" w:line="159" w:lineRule="exact"/>
              <w:rPr>
                <w:sz w:val="20"/>
                <w:szCs w:val="20"/>
                <w:color w:val="auto"/>
              </w:rPr>
            </w:pPr>
            <w:r>
              <w:rPr>
                <w:rFonts w:ascii="Arial" w:cs="Arial" w:eastAsia="Arial" w:hAnsi="Arial"/>
                <w:sz w:val="14"/>
                <w:szCs w:val="14"/>
                <w:b w:val="1"/>
                <w:bCs w:val="1"/>
                <w:color w:val="FFFFFF"/>
              </w:rPr>
              <w:t>2025 Target Annual Cash</w:t>
            </w:r>
          </w:p>
        </w:tc>
      </w:tr>
      <w:tr>
        <w:trPr>
          <w:trHeight w:val="214"/>
        </w:trPr>
        <w:tc>
          <w:tcPr>
            <w:tcW w:w="512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(as a Percentage of Base Salary)</w:t>
            </w:r>
          </w:p>
        </w:tc>
        <w:tc>
          <w:tcPr>
            <w:tcW w:w="3180" w:type="dxa"/>
            <w:vAlign w:val="bottom"/>
            <w:shd w:val="clear" w:color="auto" w:fill="0063A6"/>
          </w:tcPr>
          <w:p>
            <w:pPr>
              <w:jc w:val="center"/>
              <w:ind w:right="381"/>
              <w:spacing w:after="0"/>
              <w:rPr>
                <w:sz w:val="20"/>
                <w:szCs w:val="20"/>
                <w:color w:val="auto"/>
              </w:rPr>
            </w:pPr>
            <w:r>
              <w:rPr>
                <w:rFonts w:ascii="Arial" w:cs="Arial" w:eastAsia="Arial" w:hAnsi="Arial"/>
                <w:sz w:val="14"/>
                <w:szCs w:val="14"/>
                <w:b w:val="1"/>
                <w:bCs w:val="1"/>
                <w:color w:val="FFFFFF"/>
              </w:rPr>
              <w:t>Bonus Opportunity ($)</w:t>
            </w:r>
            <w:r>
              <w:rPr>
                <w:rFonts w:ascii="Arial" w:cs="Arial" w:eastAsia="Arial" w:hAnsi="Arial"/>
                <w:sz w:val="18"/>
                <w:szCs w:val="18"/>
                <w:b w:val="1"/>
                <w:bCs w:val="1"/>
                <w:color w:val="FFFFFF"/>
                <w:vertAlign w:val="superscript"/>
              </w:rPr>
              <w:t>(1)</w:t>
            </w:r>
          </w:p>
        </w:tc>
      </w:tr>
      <w:tr>
        <w:trPr>
          <w:trHeight w:val="108"/>
        </w:trPr>
        <w:tc>
          <w:tcPr>
            <w:tcW w:w="5120" w:type="dxa"/>
            <w:vAlign w:val="bottom"/>
            <w:shd w:val="clear" w:color="auto" w:fill="0063A6"/>
          </w:tcPr>
          <w:p>
            <w:pPr>
              <w:spacing w:after="0"/>
              <w:rPr>
                <w:sz w:val="9"/>
                <w:szCs w:val="9"/>
                <w:color w:val="auto"/>
              </w:rPr>
            </w:pPr>
          </w:p>
        </w:tc>
        <w:tc>
          <w:tcPr>
            <w:tcW w:w="2940" w:type="dxa"/>
            <w:vAlign w:val="bottom"/>
            <w:shd w:val="clear" w:color="auto" w:fill="0063A6"/>
          </w:tcPr>
          <w:p>
            <w:pPr>
              <w:spacing w:after="0"/>
              <w:rPr>
                <w:sz w:val="9"/>
                <w:szCs w:val="9"/>
                <w:color w:val="auto"/>
              </w:rPr>
            </w:pPr>
          </w:p>
        </w:tc>
        <w:tc>
          <w:tcPr>
            <w:tcW w:w="3180" w:type="dxa"/>
            <w:vAlign w:val="bottom"/>
            <w:shd w:val="clear" w:color="auto" w:fill="0063A6"/>
          </w:tcPr>
          <w:p>
            <w:pPr>
              <w:spacing w:after="0"/>
              <w:rPr>
                <w:sz w:val="9"/>
                <w:szCs w:val="9"/>
                <w:color w:val="auto"/>
              </w:rPr>
            </w:pPr>
          </w:p>
        </w:tc>
      </w:tr>
      <w:tr>
        <w:trPr>
          <w:trHeight w:val="243"/>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7"/>
              </w:rPr>
              <w:t>100%</w:t>
            </w:r>
          </w:p>
        </w:tc>
        <w:tc>
          <w:tcPr>
            <w:tcW w:w="3180" w:type="dxa"/>
            <w:vAlign w:val="bottom"/>
            <w:shd w:val="clear" w:color="auto" w:fill="F2F2F2"/>
          </w:tcPr>
          <w:p>
            <w:pPr>
              <w:jc w:val="center"/>
              <w:ind w:right="361"/>
              <w:spacing w:after="0"/>
              <w:rPr>
                <w:sz w:val="20"/>
                <w:szCs w:val="20"/>
                <w:color w:val="auto"/>
              </w:rPr>
            </w:pPr>
            <w:r>
              <w:rPr>
                <w:rFonts w:ascii="Arial" w:cs="Arial" w:eastAsia="Arial" w:hAnsi="Arial"/>
                <w:sz w:val="16"/>
                <w:szCs w:val="16"/>
                <w:color w:val="auto"/>
              </w:rPr>
              <w:t>800,000</w:t>
            </w:r>
          </w:p>
        </w:tc>
      </w:tr>
      <w:tr>
        <w:trPr>
          <w:trHeight w:val="256"/>
        </w:trPr>
        <w:tc>
          <w:tcPr>
            <w:tcW w:w="5120" w:type="dxa"/>
            <w:vAlign w:val="bottom"/>
          </w:tcPr>
          <w:p>
            <w:pPr>
              <w:ind w:left="60"/>
              <w:spacing w:after="0"/>
              <w:rPr>
                <w:sz w:val="20"/>
                <w:szCs w:val="20"/>
                <w:color w:val="auto"/>
              </w:rPr>
            </w:pPr>
            <w:r>
              <w:rPr>
                <w:rFonts w:ascii="Arial" w:cs="Arial" w:eastAsia="Arial" w:hAnsi="Arial"/>
                <w:sz w:val="16"/>
                <w:szCs w:val="16"/>
                <w:color w:val="auto"/>
              </w:rPr>
              <w:t>Ross Tennenbaum</w:t>
            </w:r>
            <w:r>
              <w:rPr>
                <w:rFonts w:ascii="Arial" w:cs="Arial" w:eastAsia="Arial" w:hAnsi="Arial"/>
                <w:sz w:val="21"/>
                <w:szCs w:val="21"/>
                <w:color w:val="auto"/>
                <w:vertAlign w:val="superscript"/>
              </w:rPr>
              <w:t>(2)</w:t>
            </w:r>
          </w:p>
        </w:tc>
        <w:tc>
          <w:tcPr>
            <w:tcW w:w="2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180" w:type="dxa"/>
            <w:vAlign w:val="bottom"/>
          </w:tcPr>
          <w:p>
            <w:pPr>
              <w:jc w:val="center"/>
              <w:ind w:right="381"/>
              <w:spacing w:after="0"/>
              <w:rPr>
                <w:sz w:val="20"/>
                <w:szCs w:val="20"/>
                <w:color w:val="auto"/>
              </w:rPr>
            </w:pPr>
            <w:r>
              <w:rPr>
                <w:rFonts w:ascii="Arial" w:cs="Arial" w:eastAsia="Arial" w:hAnsi="Arial"/>
                <w:sz w:val="16"/>
                <w:szCs w:val="16"/>
                <w:color w:val="auto"/>
                <w:w w:val="99"/>
              </w:rPr>
              <w:t>—</w:t>
            </w:r>
          </w:p>
        </w:tc>
      </w:tr>
      <w:tr>
        <w:trPr>
          <w:trHeight w:val="243"/>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2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85%</w:t>
            </w:r>
          </w:p>
        </w:tc>
        <w:tc>
          <w:tcPr>
            <w:tcW w:w="3180" w:type="dxa"/>
            <w:vAlign w:val="bottom"/>
            <w:shd w:val="clear" w:color="auto" w:fill="F2F2F2"/>
          </w:tcPr>
          <w:p>
            <w:pPr>
              <w:jc w:val="center"/>
              <w:ind w:right="361"/>
              <w:spacing w:after="0"/>
              <w:rPr>
                <w:sz w:val="20"/>
                <w:szCs w:val="20"/>
                <w:color w:val="auto"/>
              </w:rPr>
            </w:pPr>
            <w:r>
              <w:rPr>
                <w:rFonts w:ascii="Arial" w:cs="Arial" w:eastAsia="Arial" w:hAnsi="Arial"/>
                <w:sz w:val="16"/>
                <w:szCs w:val="16"/>
                <w:color w:val="auto"/>
              </w:rPr>
              <w:t>476,000</w:t>
            </w:r>
          </w:p>
        </w:tc>
      </w:tr>
      <w:tr>
        <w:trPr>
          <w:trHeight w:val="243"/>
        </w:trPr>
        <w:tc>
          <w:tcPr>
            <w:tcW w:w="5120" w:type="dxa"/>
            <w:vAlign w:val="bottom"/>
          </w:tcPr>
          <w:p>
            <w:pPr>
              <w:ind w:left="60"/>
              <w:spacing w:after="0"/>
              <w:rPr>
                <w:sz w:val="20"/>
                <w:szCs w:val="20"/>
                <w:color w:val="auto"/>
              </w:rPr>
            </w:pPr>
            <w:r>
              <w:rPr>
                <w:rFonts w:ascii="Arial" w:cs="Arial" w:eastAsia="Arial" w:hAnsi="Arial"/>
                <w:sz w:val="16"/>
                <w:szCs w:val="16"/>
                <w:color w:val="auto"/>
              </w:rPr>
              <w:t>William Yoon</w:t>
            </w:r>
            <w:r>
              <w:rPr>
                <w:rFonts w:ascii="Arial" w:cs="Arial" w:eastAsia="Arial" w:hAnsi="Arial"/>
                <w:sz w:val="21"/>
                <w:szCs w:val="21"/>
                <w:color w:val="auto"/>
                <w:vertAlign w:val="superscript"/>
              </w:rPr>
              <w:t>(3)</w:t>
            </w:r>
          </w:p>
        </w:tc>
        <w:tc>
          <w:tcPr>
            <w:tcW w:w="294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3180" w:type="dxa"/>
            <w:vAlign w:val="bottom"/>
          </w:tcPr>
          <w:p>
            <w:pPr>
              <w:jc w:val="center"/>
              <w:ind w:right="361"/>
              <w:spacing w:after="0"/>
              <w:rPr>
                <w:sz w:val="20"/>
                <w:szCs w:val="20"/>
                <w:color w:val="auto"/>
              </w:rPr>
            </w:pPr>
            <w:r>
              <w:rPr>
                <w:rFonts w:ascii="Arial" w:cs="Arial" w:eastAsia="Arial" w:hAnsi="Arial"/>
                <w:sz w:val="16"/>
                <w:szCs w:val="16"/>
                <w:color w:val="auto"/>
              </w:rPr>
              <w:t>320,188</w:t>
            </w:r>
          </w:p>
        </w:tc>
      </w:tr>
      <w:tr>
        <w:trPr>
          <w:trHeight w:val="243"/>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Ali Dasdan</w:t>
            </w:r>
            <w:r>
              <w:rPr>
                <w:rFonts w:ascii="Arial" w:cs="Arial" w:eastAsia="Arial" w:hAnsi="Arial"/>
                <w:sz w:val="21"/>
                <w:szCs w:val="21"/>
                <w:color w:val="auto"/>
                <w:vertAlign w:val="superscript"/>
              </w:rPr>
              <w:t>(4)</w:t>
            </w:r>
          </w:p>
        </w:tc>
        <w:tc>
          <w:tcPr>
            <w:tcW w:w="29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100%</w:t>
            </w:r>
          </w:p>
        </w:tc>
        <w:tc>
          <w:tcPr>
            <w:tcW w:w="3180" w:type="dxa"/>
            <w:vAlign w:val="bottom"/>
            <w:shd w:val="clear" w:color="auto" w:fill="F2F2F2"/>
          </w:tcPr>
          <w:p>
            <w:pPr>
              <w:jc w:val="center"/>
              <w:ind w:right="361"/>
              <w:spacing w:after="0"/>
              <w:rPr>
                <w:sz w:val="20"/>
                <w:szCs w:val="20"/>
                <w:color w:val="auto"/>
              </w:rPr>
            </w:pPr>
            <w:r>
              <w:rPr>
                <w:rFonts w:ascii="Arial" w:cs="Arial" w:eastAsia="Arial" w:hAnsi="Arial"/>
                <w:sz w:val="16"/>
                <w:szCs w:val="16"/>
                <w:color w:val="auto"/>
              </w:rPr>
              <w:t>416,438</w:t>
            </w:r>
          </w:p>
        </w:tc>
      </w:tr>
      <w:tr>
        <w:trPr>
          <w:trHeight w:val="241"/>
        </w:trPr>
        <w:tc>
          <w:tcPr>
            <w:tcW w:w="512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940" w:type="dxa"/>
            <w:vAlign w:val="bottom"/>
          </w:tcPr>
          <w:p>
            <w:pPr>
              <w:jc w:val="center"/>
              <w:spacing w:after="0"/>
              <w:rPr>
                <w:sz w:val="20"/>
                <w:szCs w:val="20"/>
                <w:color w:val="auto"/>
              </w:rPr>
            </w:pPr>
            <w:r>
              <w:rPr>
                <w:rFonts w:ascii="Arial" w:cs="Arial" w:eastAsia="Arial" w:hAnsi="Arial"/>
                <w:sz w:val="16"/>
                <w:szCs w:val="16"/>
                <w:color w:val="auto"/>
              </w:rPr>
              <w:t>100%</w:t>
            </w:r>
          </w:p>
        </w:tc>
        <w:tc>
          <w:tcPr>
            <w:tcW w:w="3180" w:type="dxa"/>
            <w:vAlign w:val="bottom"/>
          </w:tcPr>
          <w:p>
            <w:pPr>
              <w:jc w:val="center"/>
              <w:ind w:right="361"/>
              <w:spacing w:after="0"/>
              <w:rPr>
                <w:sz w:val="20"/>
                <w:szCs w:val="20"/>
                <w:color w:val="auto"/>
              </w:rPr>
            </w:pPr>
            <w:r>
              <w:rPr>
                <w:rFonts w:ascii="Arial" w:cs="Arial" w:eastAsia="Arial" w:hAnsi="Arial"/>
                <w:sz w:val="16"/>
                <w:szCs w:val="16"/>
                <w:color w:val="auto"/>
              </w:rPr>
              <w:t>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-306705</wp:posOffset>
            </wp:positionV>
            <wp:extent cx="1714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-615315</wp:posOffset>
            </wp:positionV>
            <wp:extent cx="1714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-615315</wp:posOffset>
            </wp:positionV>
            <wp:extent cx="1714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-1343660</wp:posOffset>
            </wp:positionV>
            <wp:extent cx="17145" cy="5657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 cy="565785"/>
                    </a:xfrm>
                    <a:prstGeom prst="rect">
                      <a:avLst/>
                    </a:prstGeom>
                    <a:noFill/>
                  </pic:spPr>
                </pic:pic>
              </a:graphicData>
            </a:graphic>
          </wp:anchor>
        </w:drawing>
      </w:r>
    </w:p>
    <w:p>
      <w:pPr>
        <w:spacing w:after="0" w:line="54" w:lineRule="exact"/>
        <w:rPr>
          <w:sz w:val="20"/>
          <w:szCs w:val="20"/>
          <w:color w:val="auto"/>
        </w:rPr>
      </w:pPr>
    </w:p>
    <w:p>
      <w:pPr>
        <w:ind w:left="340" w:right="20" w:hanging="332"/>
        <w:spacing w:after="0" w:line="205" w:lineRule="auto"/>
        <w:tabs>
          <w:tab w:leader="none" w:pos="333"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Target annual cash bonus opportunities are shown as of December 31, 2025. Target annual cash bonus opportunities are prorated as applicable to reflect any salary and/or target bonus changes as well as employment start dates in 2025.</w:t>
      </w:r>
    </w:p>
    <w:p>
      <w:pPr>
        <w:ind w:left="320" w:hanging="312"/>
        <w:spacing w:after="0"/>
        <w:tabs>
          <w:tab w:leader="none" w:pos="320" w:val="left"/>
        </w:tabs>
        <w:numPr>
          <w:ilvl w:val="0"/>
          <w:numId w:val="61"/>
        </w:numPr>
        <w:rPr>
          <w:rFonts w:ascii="Arial" w:cs="Arial" w:eastAsia="Arial" w:hAnsi="Arial"/>
          <w:sz w:val="9"/>
          <w:szCs w:val="9"/>
          <w:color w:val="auto"/>
        </w:rPr>
      </w:pPr>
      <w:r>
        <w:rPr>
          <w:rFonts w:ascii="Arial" w:cs="Arial" w:eastAsia="Arial" w:hAnsi="Arial"/>
          <w:sz w:val="14"/>
          <w:szCs w:val="14"/>
          <w:color w:val="auto"/>
        </w:rPr>
        <w:t>Mr. Tennenbaum joined the company in December 2025 and therefore was not eligible to receive an annual cash bonus for 2025.</w:t>
      </w:r>
    </w:p>
    <w:p>
      <w:pPr>
        <w:spacing w:after="0" w:line="1" w:lineRule="exact"/>
        <w:rPr>
          <w:rFonts w:ascii="Arial" w:cs="Arial" w:eastAsia="Arial" w:hAnsi="Arial"/>
          <w:sz w:val="9"/>
          <w:szCs w:val="9"/>
          <w:color w:val="auto"/>
        </w:rPr>
      </w:pPr>
    </w:p>
    <w:p>
      <w:pPr>
        <w:ind w:left="340" w:right="240" w:hanging="332"/>
        <w:spacing w:after="0" w:line="241" w:lineRule="auto"/>
        <w:tabs>
          <w:tab w:leader="none" w:pos="333" w:val="left"/>
        </w:tabs>
        <w:numPr>
          <w:ilvl w:val="0"/>
          <w:numId w:val="61"/>
        </w:numPr>
        <w:rPr>
          <w:rFonts w:ascii="Arial" w:cs="Arial" w:eastAsia="Arial" w:hAnsi="Arial"/>
          <w:sz w:val="9"/>
          <w:szCs w:val="9"/>
          <w:color w:val="auto"/>
        </w:rPr>
      </w:pPr>
      <w:r>
        <w:rPr>
          <w:rFonts w:ascii="Arial" w:cs="Arial" w:eastAsia="Arial" w:hAnsi="Arial"/>
          <w:sz w:val="14"/>
          <w:szCs w:val="14"/>
          <w:color w:val="auto"/>
        </w:rPr>
        <w:t>Mr. Yoon's target annual cash bonus opportunity reflects the adjustments to his base salary and target annual cash bonus opportunity during 2025 in connection with his appointment to Chief Legal Officer.</w:t>
      </w:r>
    </w:p>
    <w:p>
      <w:pPr>
        <w:ind w:left="320" w:hanging="312"/>
        <w:spacing w:after="0"/>
        <w:tabs>
          <w:tab w:leader="none" w:pos="320" w:val="left"/>
        </w:tabs>
        <w:numPr>
          <w:ilvl w:val="0"/>
          <w:numId w:val="61"/>
        </w:numPr>
        <w:rPr>
          <w:rFonts w:ascii="Arial" w:cs="Arial" w:eastAsia="Arial" w:hAnsi="Arial"/>
          <w:sz w:val="9"/>
          <w:szCs w:val="9"/>
          <w:color w:val="auto"/>
        </w:rPr>
      </w:pPr>
      <w:r>
        <w:rPr>
          <w:rFonts w:ascii="Arial" w:cs="Arial" w:eastAsia="Arial" w:hAnsi="Arial"/>
          <w:sz w:val="14"/>
          <w:szCs w:val="14"/>
          <w:color w:val="auto"/>
        </w:rPr>
        <w:t>Mr. Dasdan's target annual cash bonus amount is prorated based on his start date.</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Potential annual cash bonus payments for our executive officers under the 2025 Cash Bonus Plan ranged from zero to 187.5% of their target annual cash bonus opportunity.</w:t>
      </w:r>
    </w:p>
    <w:p>
      <w:pPr>
        <w:spacing w:after="0" w:line="318" w:lineRule="exact"/>
        <w:rPr>
          <w:sz w:val="20"/>
          <w:szCs w:val="20"/>
          <w:color w:val="auto"/>
        </w:rPr>
      </w:pPr>
    </w:p>
    <w:tbl>
      <w:tblPr>
        <w:tblLayout w:type="fixed"/>
        <w:tblInd w:w="560" w:type="dxa"/>
        <w:tblCellMar>
          <w:top w:w="0" w:type="dxa"/>
          <w:left w:w="0" w:type="dxa"/>
          <w:bottom w:w="0" w:type="dxa"/>
          <w:right w:w="0" w:type="dxa"/>
        </w:tblCellMar>
      </w:tblPr>
      <w:tr>
        <w:trPr>
          <w:trHeight w:val="269"/>
        </w:trPr>
        <w:tc>
          <w:tcPr>
            <w:tcW w:w="198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Individual Bonus</w:t>
            </w:r>
          </w:p>
        </w:tc>
        <w:tc>
          <w:tcPr>
            <w:tcW w:w="660" w:type="dxa"/>
            <w:vAlign w:val="bottom"/>
          </w:tcPr>
          <w:p>
            <w:pPr>
              <w:spacing w:after="0"/>
              <w:rPr>
                <w:sz w:val="23"/>
                <w:szCs w:val="23"/>
                <w:color w:val="auto"/>
              </w:rPr>
            </w:pPr>
          </w:p>
        </w:tc>
        <w:tc>
          <w:tcPr>
            <w:tcW w:w="204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Corporate</w:t>
            </w:r>
          </w:p>
        </w:tc>
        <w:tc>
          <w:tcPr>
            <w:tcW w:w="700" w:type="dxa"/>
            <w:vAlign w:val="bottom"/>
          </w:tcPr>
          <w:p>
            <w:pPr>
              <w:spacing w:after="0"/>
              <w:rPr>
                <w:sz w:val="23"/>
                <w:szCs w:val="23"/>
                <w:color w:val="auto"/>
              </w:rPr>
            </w:pPr>
          </w:p>
        </w:tc>
        <w:tc>
          <w:tcPr>
            <w:tcW w:w="204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Individual</w:t>
            </w:r>
          </w:p>
        </w:tc>
        <w:tc>
          <w:tcPr>
            <w:tcW w:w="680" w:type="dxa"/>
            <w:vAlign w:val="bottom"/>
          </w:tcPr>
          <w:p>
            <w:pPr>
              <w:spacing w:after="0"/>
              <w:rPr>
                <w:sz w:val="23"/>
                <w:szCs w:val="23"/>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Bonus Payout</w:t>
            </w:r>
          </w:p>
        </w:tc>
        <w:tc>
          <w:tcPr>
            <w:tcW w:w="0" w:type="dxa"/>
            <w:vAlign w:val="bottom"/>
          </w:tcPr>
          <w:p>
            <w:pPr>
              <w:spacing w:after="0"/>
              <w:rPr>
                <w:sz w:val="1"/>
                <w:szCs w:val="1"/>
                <w:color w:val="auto"/>
              </w:rPr>
            </w:pPr>
          </w:p>
        </w:tc>
      </w:tr>
      <w:tr>
        <w:trPr>
          <w:trHeight w:val="91"/>
        </w:trPr>
        <w:tc>
          <w:tcPr>
            <w:tcW w:w="198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w w:val="95"/>
              </w:rPr>
              <w:t>Target</w:t>
            </w:r>
          </w:p>
        </w:tc>
        <w:tc>
          <w:tcPr>
            <w:tcW w:w="660" w:type="dxa"/>
            <w:vAlign w:val="bottom"/>
          </w:tcPr>
          <w:p>
            <w:pPr>
              <w:spacing w:after="0"/>
              <w:rPr>
                <w:sz w:val="7"/>
                <w:szCs w:val="7"/>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Performance</w:t>
            </w:r>
          </w:p>
        </w:tc>
        <w:tc>
          <w:tcPr>
            <w:tcW w:w="700" w:type="dxa"/>
            <w:vAlign w:val="bottom"/>
          </w:tcPr>
          <w:p>
            <w:pPr>
              <w:spacing w:after="0"/>
              <w:rPr>
                <w:sz w:val="7"/>
                <w:szCs w:val="7"/>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Performance</w:t>
            </w:r>
          </w:p>
        </w:tc>
        <w:tc>
          <w:tcPr>
            <w:tcW w:w="680" w:type="dxa"/>
            <w:vAlign w:val="bottom"/>
          </w:tcPr>
          <w:p>
            <w:pPr>
              <w:spacing w:after="0"/>
              <w:rPr>
                <w:sz w:val="7"/>
                <w:szCs w:val="7"/>
                <w:color w:val="auto"/>
              </w:rPr>
            </w:pPr>
          </w:p>
        </w:tc>
        <w:tc>
          <w:tcPr>
            <w:tcW w:w="2040" w:type="dxa"/>
            <w:vAlign w:val="bottom"/>
            <w:vMerge w:val="continue"/>
            <w:shd w:val="clear" w:color="auto" w:fill="3774B3"/>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80" w:type="dxa"/>
            <w:vAlign w:val="bottom"/>
            <w:vMerge w:val="continue"/>
            <w:shd w:val="clear" w:color="auto" w:fill="3774B3"/>
          </w:tcPr>
          <w:p>
            <w:pPr>
              <w:spacing w:after="0"/>
              <w:rPr>
                <w:sz w:val="8"/>
                <w:szCs w:val="8"/>
                <w:color w:val="auto"/>
              </w:rPr>
            </w:pPr>
          </w:p>
        </w:tc>
        <w:tc>
          <w:tcPr>
            <w:tcW w:w="660" w:type="dxa"/>
            <w:vAlign w:val="bottom"/>
          </w:tcPr>
          <w:p>
            <w:pPr>
              <w:spacing w:after="0"/>
              <w:rPr>
                <w:sz w:val="8"/>
                <w:szCs w:val="8"/>
                <w:color w:val="auto"/>
              </w:rPr>
            </w:pPr>
          </w:p>
        </w:tc>
        <w:tc>
          <w:tcPr>
            <w:tcW w:w="2040" w:type="dxa"/>
            <w:vAlign w:val="bottom"/>
            <w:vMerge w:val="continue"/>
            <w:shd w:val="clear" w:color="auto" w:fill="3774B3"/>
          </w:tcPr>
          <w:p>
            <w:pPr>
              <w:spacing w:after="0"/>
              <w:rPr>
                <w:sz w:val="8"/>
                <w:szCs w:val="8"/>
                <w:color w:val="auto"/>
              </w:rPr>
            </w:pPr>
          </w:p>
        </w:tc>
        <w:tc>
          <w:tcPr>
            <w:tcW w:w="700" w:type="dxa"/>
            <w:vAlign w:val="bottom"/>
          </w:tcPr>
          <w:p>
            <w:pPr>
              <w:spacing w:after="0"/>
              <w:rPr>
                <w:sz w:val="8"/>
                <w:szCs w:val="8"/>
                <w:color w:val="auto"/>
              </w:rPr>
            </w:pPr>
          </w:p>
        </w:tc>
        <w:tc>
          <w:tcPr>
            <w:tcW w:w="2040" w:type="dxa"/>
            <w:vAlign w:val="bottom"/>
            <w:vMerge w:val="continue"/>
            <w:shd w:val="clear" w:color="auto" w:fill="3774B3"/>
          </w:tcPr>
          <w:p>
            <w:pPr>
              <w:spacing w:after="0"/>
              <w:rPr>
                <w:sz w:val="8"/>
                <w:szCs w:val="8"/>
                <w:color w:val="auto"/>
              </w:rPr>
            </w:pPr>
          </w:p>
        </w:tc>
        <w:tc>
          <w:tcPr>
            <w:tcW w:w="680" w:type="dxa"/>
            <w:vAlign w:val="bottom"/>
          </w:tcPr>
          <w:p>
            <w:pPr>
              <w:spacing w:after="0"/>
              <w:rPr>
                <w:sz w:val="8"/>
                <w:szCs w:val="8"/>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5"/>
              </w:rPr>
              <w:t>0% - 187.5% of Target</w:t>
            </w:r>
          </w:p>
        </w:tc>
        <w:tc>
          <w:tcPr>
            <w:tcW w:w="0" w:type="dxa"/>
            <w:vAlign w:val="bottom"/>
          </w:tcPr>
          <w:p>
            <w:pPr>
              <w:spacing w:after="0"/>
              <w:rPr>
                <w:sz w:val="1"/>
                <w:szCs w:val="1"/>
                <w:color w:val="auto"/>
              </w:rPr>
            </w:pPr>
          </w:p>
        </w:tc>
      </w:tr>
      <w:tr>
        <w:trPr>
          <w:trHeight w:val="71"/>
        </w:trPr>
        <w:tc>
          <w:tcPr>
            <w:tcW w:w="198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6"/>
              </w:rPr>
              <w:t>% of Salary</w:t>
            </w:r>
          </w:p>
        </w:tc>
        <w:tc>
          <w:tcPr>
            <w:tcW w:w="660" w:type="dxa"/>
            <w:vAlign w:val="bottom"/>
          </w:tcPr>
          <w:p>
            <w:pPr>
              <w:spacing w:after="0"/>
              <w:rPr>
                <w:sz w:val="6"/>
                <w:szCs w:val="6"/>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7"/>
              </w:rPr>
              <w:t>0% - 125%</w:t>
            </w:r>
          </w:p>
        </w:tc>
        <w:tc>
          <w:tcPr>
            <w:tcW w:w="700" w:type="dxa"/>
            <w:vAlign w:val="bottom"/>
          </w:tcPr>
          <w:p>
            <w:pPr>
              <w:spacing w:after="0"/>
              <w:rPr>
                <w:sz w:val="6"/>
                <w:szCs w:val="6"/>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6"/>
              </w:rPr>
              <w:t>0% -150%</w:t>
            </w:r>
          </w:p>
        </w:tc>
        <w:tc>
          <w:tcPr>
            <w:tcW w:w="680" w:type="dxa"/>
            <w:vAlign w:val="bottom"/>
          </w:tcPr>
          <w:p>
            <w:pPr>
              <w:spacing w:after="0"/>
              <w:rPr>
                <w:sz w:val="6"/>
                <w:szCs w:val="6"/>
                <w:color w:val="auto"/>
              </w:rPr>
            </w:pPr>
          </w:p>
        </w:tc>
        <w:tc>
          <w:tcPr>
            <w:tcW w:w="2040" w:type="dxa"/>
            <w:vAlign w:val="bottom"/>
            <w:vMerge w:val="continue"/>
            <w:shd w:val="clear" w:color="auto" w:fill="3774B3"/>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980" w:type="dxa"/>
            <w:vAlign w:val="bottom"/>
            <w:vMerge w:val="continue"/>
            <w:shd w:val="clear" w:color="auto" w:fill="3774B3"/>
          </w:tcPr>
          <w:p>
            <w:pPr>
              <w:spacing w:after="0"/>
              <w:rPr>
                <w:sz w:val="8"/>
                <w:szCs w:val="8"/>
                <w:color w:val="auto"/>
              </w:rPr>
            </w:pPr>
          </w:p>
        </w:tc>
        <w:tc>
          <w:tcPr>
            <w:tcW w:w="660" w:type="dxa"/>
            <w:vAlign w:val="bottom"/>
          </w:tcPr>
          <w:p>
            <w:pPr>
              <w:spacing w:after="0"/>
              <w:rPr>
                <w:sz w:val="8"/>
                <w:szCs w:val="8"/>
                <w:color w:val="auto"/>
              </w:rPr>
            </w:pPr>
          </w:p>
        </w:tc>
        <w:tc>
          <w:tcPr>
            <w:tcW w:w="2040" w:type="dxa"/>
            <w:vAlign w:val="bottom"/>
            <w:vMerge w:val="continue"/>
            <w:shd w:val="clear" w:color="auto" w:fill="3774B3"/>
          </w:tcPr>
          <w:p>
            <w:pPr>
              <w:spacing w:after="0"/>
              <w:rPr>
                <w:sz w:val="8"/>
                <w:szCs w:val="8"/>
                <w:color w:val="auto"/>
              </w:rPr>
            </w:pPr>
          </w:p>
        </w:tc>
        <w:tc>
          <w:tcPr>
            <w:tcW w:w="700" w:type="dxa"/>
            <w:vAlign w:val="bottom"/>
          </w:tcPr>
          <w:p>
            <w:pPr>
              <w:spacing w:after="0"/>
              <w:rPr>
                <w:sz w:val="8"/>
                <w:szCs w:val="8"/>
                <w:color w:val="auto"/>
              </w:rPr>
            </w:pPr>
          </w:p>
        </w:tc>
        <w:tc>
          <w:tcPr>
            <w:tcW w:w="2040" w:type="dxa"/>
            <w:vAlign w:val="bottom"/>
            <w:vMerge w:val="continue"/>
            <w:shd w:val="clear" w:color="auto" w:fill="3774B3"/>
          </w:tcPr>
          <w:p>
            <w:pPr>
              <w:spacing w:after="0"/>
              <w:rPr>
                <w:sz w:val="8"/>
                <w:szCs w:val="8"/>
                <w:color w:val="auto"/>
              </w:rPr>
            </w:pPr>
          </w:p>
        </w:tc>
        <w:tc>
          <w:tcPr>
            <w:tcW w:w="680" w:type="dxa"/>
            <w:vAlign w:val="bottom"/>
          </w:tcPr>
          <w:p>
            <w:pPr>
              <w:spacing w:after="0"/>
              <w:rPr>
                <w:sz w:val="8"/>
                <w:szCs w:val="8"/>
                <w:color w:val="auto"/>
              </w:rPr>
            </w:pPr>
          </w:p>
        </w:tc>
        <w:tc>
          <w:tcPr>
            <w:tcW w:w="2040" w:type="dxa"/>
            <w:vAlign w:val="bottom"/>
            <w:shd w:val="clear" w:color="auto" w:fill="3774B3"/>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80" w:type="dxa"/>
            <w:vAlign w:val="bottom"/>
            <w:shd w:val="clear" w:color="auto" w:fill="3774B3"/>
          </w:tcPr>
          <w:p>
            <w:pPr>
              <w:spacing w:after="0"/>
              <w:rPr>
                <w:sz w:val="7"/>
                <w:szCs w:val="7"/>
                <w:color w:val="auto"/>
              </w:rPr>
            </w:pPr>
          </w:p>
        </w:tc>
        <w:tc>
          <w:tcPr>
            <w:tcW w:w="660" w:type="dxa"/>
            <w:vAlign w:val="bottom"/>
          </w:tcPr>
          <w:p>
            <w:pPr>
              <w:spacing w:after="0"/>
              <w:rPr>
                <w:sz w:val="7"/>
                <w:szCs w:val="7"/>
                <w:color w:val="auto"/>
              </w:rPr>
            </w:pPr>
          </w:p>
        </w:tc>
        <w:tc>
          <w:tcPr>
            <w:tcW w:w="2040" w:type="dxa"/>
            <w:vAlign w:val="bottom"/>
            <w:shd w:val="clear" w:color="auto" w:fill="3774B3"/>
          </w:tcPr>
          <w:p>
            <w:pPr>
              <w:spacing w:after="0"/>
              <w:rPr>
                <w:sz w:val="7"/>
                <w:szCs w:val="7"/>
                <w:color w:val="auto"/>
              </w:rPr>
            </w:pPr>
          </w:p>
        </w:tc>
        <w:tc>
          <w:tcPr>
            <w:tcW w:w="700" w:type="dxa"/>
            <w:vAlign w:val="bottom"/>
          </w:tcPr>
          <w:p>
            <w:pPr>
              <w:spacing w:after="0"/>
              <w:rPr>
                <w:sz w:val="7"/>
                <w:szCs w:val="7"/>
                <w:color w:val="auto"/>
              </w:rPr>
            </w:pPr>
          </w:p>
        </w:tc>
        <w:tc>
          <w:tcPr>
            <w:tcW w:w="2040" w:type="dxa"/>
            <w:vAlign w:val="bottom"/>
            <w:shd w:val="clear" w:color="auto" w:fill="3774B3"/>
          </w:tcPr>
          <w:p>
            <w:pPr>
              <w:spacing w:after="0"/>
              <w:rPr>
                <w:sz w:val="7"/>
                <w:szCs w:val="7"/>
                <w:color w:val="auto"/>
              </w:rPr>
            </w:pPr>
          </w:p>
        </w:tc>
        <w:tc>
          <w:tcPr>
            <w:tcW w:w="680" w:type="dxa"/>
            <w:vAlign w:val="bottom"/>
          </w:tcPr>
          <w:p>
            <w:pPr>
              <w:spacing w:after="0"/>
              <w:rPr>
                <w:sz w:val="7"/>
                <w:szCs w:val="7"/>
                <w:color w:val="auto"/>
              </w:rPr>
            </w:pPr>
          </w:p>
        </w:tc>
        <w:tc>
          <w:tcPr>
            <w:tcW w:w="2040" w:type="dxa"/>
            <w:vAlign w:val="bottom"/>
            <w:shd w:val="clear" w:color="auto" w:fill="3774B3"/>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-316865</wp:posOffset>
            </wp:positionV>
            <wp:extent cx="120015"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-316865</wp:posOffset>
            </wp:positionV>
            <wp:extent cx="120015"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-307975</wp:posOffset>
            </wp:positionV>
            <wp:extent cx="120015" cy="111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145415</wp:posOffset>
            </wp:positionV>
            <wp:extent cx="2245995" cy="2317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4599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80" w:type="dxa"/>
        <w:tblCellMar>
          <w:top w:w="0" w:type="dxa"/>
          <w:left w:w="0" w:type="dxa"/>
          <w:bottom w:w="0" w:type="dxa"/>
          <w:right w:w="0" w:type="dxa"/>
        </w:tblCellMar>
      </w:tblPr>
      <w:tr>
        <w:trPr>
          <w:trHeight w:val="269"/>
        </w:trPr>
        <w:tc>
          <w:tcPr>
            <w:tcW w:w="202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w w:val="99"/>
              </w:rPr>
              <w:t>Revenue</w:t>
            </w:r>
          </w:p>
        </w:tc>
        <w:tc>
          <w:tcPr>
            <w:tcW w:w="240" w:type="dxa"/>
            <w:vAlign w:val="bottom"/>
          </w:tcPr>
          <w:p>
            <w:pPr>
              <w:spacing w:after="0"/>
              <w:rPr>
                <w:sz w:val="23"/>
                <w:szCs w:val="23"/>
                <w:color w:val="auto"/>
              </w:rPr>
            </w:pPr>
          </w:p>
        </w:tc>
        <w:tc>
          <w:tcPr>
            <w:tcW w:w="206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Non-GAAP</w:t>
            </w:r>
          </w:p>
        </w:tc>
        <w:tc>
          <w:tcPr>
            <w:tcW w:w="0" w:type="dxa"/>
            <w:vAlign w:val="bottom"/>
          </w:tcPr>
          <w:p>
            <w:pPr>
              <w:spacing w:after="0"/>
              <w:rPr>
                <w:sz w:val="1"/>
                <w:szCs w:val="1"/>
                <w:color w:val="auto"/>
              </w:rPr>
            </w:pPr>
          </w:p>
        </w:tc>
      </w:tr>
      <w:tr>
        <w:trPr>
          <w:trHeight w:val="91"/>
        </w:trPr>
        <w:tc>
          <w:tcPr>
            <w:tcW w:w="2020" w:type="dxa"/>
            <w:vAlign w:val="bottom"/>
            <w:vMerge w:val="continue"/>
            <w:shd w:val="clear" w:color="auto" w:fill="3774B3"/>
          </w:tcPr>
          <w:p>
            <w:pPr>
              <w:spacing w:after="0"/>
              <w:rPr>
                <w:sz w:val="7"/>
                <w:szCs w:val="7"/>
                <w:color w:val="auto"/>
              </w:rPr>
            </w:pPr>
          </w:p>
        </w:tc>
        <w:tc>
          <w:tcPr>
            <w:tcW w:w="240" w:type="dxa"/>
            <w:vAlign w:val="bottom"/>
          </w:tcPr>
          <w:p>
            <w:pPr>
              <w:spacing w:after="0"/>
              <w:rPr>
                <w:sz w:val="7"/>
                <w:szCs w:val="7"/>
                <w:color w:val="auto"/>
              </w:rPr>
            </w:pPr>
          </w:p>
        </w:tc>
        <w:tc>
          <w:tcPr>
            <w:tcW w:w="206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Operating Margin</w:t>
            </w:r>
          </w:p>
        </w:tc>
        <w:tc>
          <w:tcPr>
            <w:tcW w:w="0" w:type="dxa"/>
            <w:vAlign w:val="bottom"/>
          </w:tcPr>
          <w:p>
            <w:pPr>
              <w:spacing w:after="0"/>
              <w:rPr>
                <w:sz w:val="1"/>
                <w:szCs w:val="1"/>
                <w:color w:val="auto"/>
              </w:rPr>
            </w:pPr>
          </w:p>
        </w:tc>
      </w:tr>
      <w:tr>
        <w:trPr>
          <w:trHeight w:val="95"/>
        </w:trPr>
        <w:tc>
          <w:tcPr>
            <w:tcW w:w="202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4"/>
              </w:rPr>
              <w:t>(67% weight)</w:t>
            </w:r>
          </w:p>
        </w:tc>
        <w:tc>
          <w:tcPr>
            <w:tcW w:w="240" w:type="dxa"/>
            <w:vAlign w:val="bottom"/>
          </w:tcPr>
          <w:p>
            <w:pPr>
              <w:spacing w:after="0"/>
              <w:rPr>
                <w:sz w:val="8"/>
                <w:szCs w:val="8"/>
                <w:color w:val="auto"/>
              </w:rPr>
            </w:pPr>
          </w:p>
        </w:tc>
        <w:tc>
          <w:tcPr>
            <w:tcW w:w="2060" w:type="dxa"/>
            <w:vAlign w:val="bottom"/>
            <w:vMerge w:val="continue"/>
            <w:shd w:val="clear" w:color="auto" w:fill="3774B3"/>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20" w:type="dxa"/>
            <w:vAlign w:val="bottom"/>
            <w:vMerge w:val="continue"/>
            <w:shd w:val="clear" w:color="auto" w:fill="3774B3"/>
          </w:tcPr>
          <w:p>
            <w:pPr>
              <w:spacing w:after="0"/>
              <w:rPr>
                <w:sz w:val="6"/>
                <w:szCs w:val="6"/>
                <w:color w:val="auto"/>
              </w:rPr>
            </w:pPr>
          </w:p>
        </w:tc>
        <w:tc>
          <w:tcPr>
            <w:tcW w:w="240" w:type="dxa"/>
            <w:vAlign w:val="bottom"/>
          </w:tcPr>
          <w:p>
            <w:pPr>
              <w:spacing w:after="0"/>
              <w:rPr>
                <w:sz w:val="6"/>
                <w:szCs w:val="6"/>
                <w:color w:val="auto"/>
              </w:rPr>
            </w:pPr>
          </w:p>
        </w:tc>
        <w:tc>
          <w:tcPr>
            <w:tcW w:w="206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4"/>
              </w:rPr>
              <w:t>(33% weight)</w:t>
            </w:r>
          </w:p>
        </w:tc>
        <w:tc>
          <w:tcPr>
            <w:tcW w:w="0" w:type="dxa"/>
            <w:vAlign w:val="bottom"/>
          </w:tcPr>
          <w:p>
            <w:pPr>
              <w:spacing w:after="0"/>
              <w:rPr>
                <w:sz w:val="1"/>
                <w:szCs w:val="1"/>
                <w:color w:val="auto"/>
              </w:rPr>
            </w:pPr>
          </w:p>
        </w:tc>
      </w:tr>
      <w:tr>
        <w:trPr>
          <w:trHeight w:val="95"/>
        </w:trPr>
        <w:tc>
          <w:tcPr>
            <w:tcW w:w="2020" w:type="dxa"/>
            <w:vAlign w:val="bottom"/>
            <w:shd w:val="clear" w:color="auto" w:fill="3774B3"/>
          </w:tcPr>
          <w:p>
            <w:pPr>
              <w:spacing w:after="0"/>
              <w:rPr>
                <w:sz w:val="8"/>
                <w:szCs w:val="8"/>
                <w:color w:val="auto"/>
              </w:rPr>
            </w:pPr>
          </w:p>
        </w:tc>
        <w:tc>
          <w:tcPr>
            <w:tcW w:w="240" w:type="dxa"/>
            <w:vAlign w:val="bottom"/>
          </w:tcPr>
          <w:p>
            <w:pPr>
              <w:spacing w:after="0"/>
              <w:rPr>
                <w:sz w:val="8"/>
                <w:szCs w:val="8"/>
                <w:color w:val="auto"/>
              </w:rPr>
            </w:pPr>
          </w:p>
        </w:tc>
        <w:tc>
          <w:tcPr>
            <w:tcW w:w="2060" w:type="dxa"/>
            <w:vAlign w:val="bottom"/>
            <w:vMerge w:val="continue"/>
            <w:shd w:val="clear" w:color="auto" w:fill="3774B3"/>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20" w:type="dxa"/>
            <w:vAlign w:val="bottom"/>
            <w:shd w:val="clear" w:color="auto" w:fill="3774B3"/>
          </w:tcPr>
          <w:p>
            <w:pPr>
              <w:spacing w:after="0"/>
              <w:rPr>
                <w:sz w:val="7"/>
                <w:szCs w:val="7"/>
                <w:color w:val="auto"/>
              </w:rPr>
            </w:pPr>
          </w:p>
        </w:tc>
        <w:tc>
          <w:tcPr>
            <w:tcW w:w="240" w:type="dxa"/>
            <w:vAlign w:val="bottom"/>
          </w:tcPr>
          <w:p>
            <w:pPr>
              <w:spacing w:after="0"/>
              <w:rPr>
                <w:sz w:val="7"/>
                <w:szCs w:val="7"/>
                <w:color w:val="auto"/>
              </w:rPr>
            </w:pPr>
          </w:p>
        </w:tc>
        <w:tc>
          <w:tcPr>
            <w:tcW w:w="2060" w:type="dxa"/>
            <w:vAlign w:val="bottom"/>
            <w:shd w:val="clear" w:color="auto" w:fill="3774B3"/>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u w:val="single" w:color="auto"/>
          <w:color w:val="auto"/>
        </w:rPr>
        <w:t>Corporate Performance Measure</w:t>
      </w:r>
    </w:p>
    <w:p>
      <w:pPr>
        <w:spacing w:after="0" w:line="167"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talent and compensation committee approved annual revenue (weighted 67%) and non-GAAP operating margin (weighted 33%) as components of the corporate performance measure under the 2025 Cash Bonus Plan because it believes incorporating both annual revenue and non-GAAP operating margin aligns with our emphasis on driving profitable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growth. For purposes of the 2025 Cash Bonus Plan, “annual revenue” was calculated by excluding the impact of foreign exchange from our annual revenue reflected in our audited financial statements for the 2025 fiscal year. For purposes of the 2025 Cash Bonus plan, “non-GAAP operating margin” was calculated by excluding the impact of stock-based compensation expense, acquisition-related and other expenses, amortization of acquired intangible assets, workforce reduction expenses, and net gains and losses on real estate assets. These adjustments were made to provide a clearer view of our core operating performance for the year.</w:t>
      </w:r>
    </w:p>
    <w:p>
      <w:pPr>
        <w:spacing w:after="0" w:line="12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January 2025, the talent and compensation committee set the target performance levels under the 2025 Cash Bonus Plan at (i) $2,502 million for annual revenue and (ii) 39.0% for non-GAAP operating margin. In addition, the talent and compensation committee approved the performance matrix for funding the 2025 Cash Bonus Plan (as described below).</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With respect to the annual revenue performance measure, funding was 0% if revenue did not meet the threshold performance level of $2,426 million. At 97% of the target revenue performance level, funding was 50%. For performance between 97% and 100% of target, the funding percentage increased linearly up to 100% at target performance. For performance between 100% and 103% of target, the funding percentage increased linearly from 100% to a maximum of 125% at 103% of target revenue. The maximum annual revenue bonus funding percentage was 125%.</w:t>
      </w:r>
    </w:p>
    <w:p>
      <w:pPr>
        <w:spacing w:after="0" w:line="124" w:lineRule="exact"/>
        <w:rPr>
          <w:sz w:val="20"/>
          <w:szCs w:val="20"/>
          <w:color w:val="auto"/>
        </w:rPr>
      </w:pPr>
    </w:p>
    <w:p>
      <w:pPr>
        <w:jc w:val="both"/>
        <w:ind w:right="300"/>
        <w:spacing w:after="0" w:line="257" w:lineRule="auto"/>
        <w:rPr>
          <w:sz w:val="20"/>
          <w:szCs w:val="20"/>
          <w:color w:val="auto"/>
        </w:rPr>
      </w:pPr>
      <w:r>
        <w:rPr>
          <w:rFonts w:ascii="Arial" w:cs="Arial" w:eastAsia="Arial" w:hAnsi="Arial"/>
          <w:sz w:val="16"/>
          <w:szCs w:val="16"/>
          <w:color w:val="auto"/>
        </w:rPr>
        <w:t>For the non-GAAP operating margin performance measure, bonus funding was 0% if performance fell below the 35.1% threshold level. At 35.1%, bonus funding was 50%. Funding then increased linearly from 50% at 35.1% to 100% at the target performance level of 39.0%. Above target, funding increased linearly from 100% at 39.0% to a maximum of 125% at 42.9%. The maximum bonus funding percentage for this component was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40575" cy="3175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0575" cy="31750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shd w:val="clear" w:color="auto" w:fill="0063A6"/>
          </w:tcPr>
          <w:p>
            <w:pPr>
              <w:spacing w:after="0"/>
              <w:rPr>
                <w:sz w:val="19"/>
                <w:szCs w:val="19"/>
                <w:color w:val="auto"/>
              </w:rPr>
            </w:pPr>
          </w:p>
        </w:tc>
        <w:tc>
          <w:tcPr>
            <w:tcW w:w="2640" w:type="dxa"/>
            <w:vAlign w:val="bottom"/>
            <w:shd w:val="clear" w:color="auto" w:fill="0063A6"/>
          </w:tcPr>
          <w:p>
            <w:pPr>
              <w:jc w:val="center"/>
              <w:ind w:left="1062"/>
              <w:spacing w:after="0"/>
              <w:rPr>
                <w:sz w:val="20"/>
                <w:szCs w:val="20"/>
                <w:color w:val="auto"/>
              </w:rPr>
            </w:pPr>
            <w:r>
              <w:rPr>
                <w:rFonts w:ascii="Arial" w:cs="Arial" w:eastAsia="Arial" w:hAnsi="Arial"/>
                <w:sz w:val="14"/>
                <w:szCs w:val="14"/>
                <w:b w:val="1"/>
                <w:bCs w:val="1"/>
                <w:color w:val="FFFFFF"/>
                <w:w w:val="98"/>
              </w:rPr>
              <w:t>Weight</w:t>
            </w:r>
          </w:p>
        </w:tc>
        <w:tc>
          <w:tcPr>
            <w:tcW w:w="1700" w:type="dxa"/>
            <w:vAlign w:val="bottom"/>
            <w:shd w:val="clear" w:color="auto" w:fill="0063A6"/>
          </w:tcPr>
          <w:p>
            <w:pPr>
              <w:ind w:left="500"/>
              <w:spacing w:after="0"/>
              <w:rPr>
                <w:sz w:val="20"/>
                <w:szCs w:val="20"/>
                <w:color w:val="auto"/>
              </w:rPr>
            </w:pPr>
            <w:r>
              <w:rPr>
                <w:rFonts w:ascii="Arial" w:cs="Arial" w:eastAsia="Arial" w:hAnsi="Arial"/>
                <w:sz w:val="14"/>
                <w:szCs w:val="14"/>
                <w:b w:val="1"/>
                <w:bCs w:val="1"/>
                <w:color w:val="FFFFFF"/>
              </w:rPr>
              <w:t>Threshold</w:t>
            </w:r>
          </w:p>
        </w:tc>
        <w:tc>
          <w:tcPr>
            <w:tcW w:w="1500" w:type="dxa"/>
            <w:vAlign w:val="bottom"/>
            <w:shd w:val="clear" w:color="auto" w:fill="0063A6"/>
          </w:tcPr>
          <w:p>
            <w:pPr>
              <w:ind w:left="520"/>
              <w:spacing w:after="0"/>
              <w:rPr>
                <w:sz w:val="20"/>
                <w:szCs w:val="20"/>
                <w:color w:val="auto"/>
              </w:rPr>
            </w:pPr>
            <w:r>
              <w:rPr>
                <w:rFonts w:ascii="Arial" w:cs="Arial" w:eastAsia="Arial" w:hAnsi="Arial"/>
                <w:sz w:val="14"/>
                <w:szCs w:val="14"/>
                <w:b w:val="1"/>
                <w:bCs w:val="1"/>
                <w:color w:val="FFFFFF"/>
              </w:rPr>
              <w:t>Target</w:t>
            </w:r>
          </w:p>
        </w:tc>
        <w:tc>
          <w:tcPr>
            <w:tcW w:w="1620" w:type="dxa"/>
            <w:vAlign w:val="bottom"/>
            <w:shd w:val="clear" w:color="auto" w:fill="0063A6"/>
          </w:tcPr>
          <w:p>
            <w:pPr>
              <w:ind w:left="500"/>
              <w:spacing w:after="0"/>
              <w:rPr>
                <w:sz w:val="20"/>
                <w:szCs w:val="20"/>
                <w:color w:val="auto"/>
              </w:rPr>
            </w:pPr>
            <w:r>
              <w:rPr>
                <w:rFonts w:ascii="Arial" w:cs="Arial" w:eastAsia="Arial" w:hAnsi="Arial"/>
                <w:sz w:val="14"/>
                <w:szCs w:val="14"/>
                <w:b w:val="1"/>
                <w:bCs w:val="1"/>
                <w:color w:val="FFFFFF"/>
              </w:rPr>
              <w:t>Maximum</w:t>
            </w:r>
          </w:p>
        </w:tc>
      </w:tr>
      <w:tr>
        <w:trPr>
          <w:trHeight w:val="236"/>
        </w:trPr>
        <w:tc>
          <w:tcPr>
            <w:tcW w:w="378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color w:val="auto"/>
              </w:rPr>
              <w:t>Revenue ($M)</w:t>
            </w:r>
          </w:p>
        </w:tc>
        <w:tc>
          <w:tcPr>
            <w:tcW w:w="2640" w:type="dxa"/>
            <w:vAlign w:val="bottom"/>
            <w:tcBorders>
              <w:bottom w:val="single" w:sz="8" w:color="F2F2F2"/>
            </w:tcBorders>
            <w:shd w:val="clear" w:color="auto" w:fill="F2F2F2"/>
          </w:tcPr>
          <w:p>
            <w:pPr>
              <w:jc w:val="center"/>
              <w:ind w:left="1062"/>
              <w:spacing w:after="0"/>
              <w:rPr>
                <w:sz w:val="20"/>
                <w:szCs w:val="20"/>
                <w:color w:val="auto"/>
              </w:rPr>
            </w:pPr>
            <w:r>
              <w:rPr>
                <w:rFonts w:ascii="Arial" w:cs="Arial" w:eastAsia="Arial" w:hAnsi="Arial"/>
                <w:sz w:val="16"/>
                <w:szCs w:val="16"/>
                <w:color w:val="auto"/>
              </w:rPr>
              <w:t>67%</w:t>
            </w:r>
          </w:p>
        </w:tc>
        <w:tc>
          <w:tcPr>
            <w:tcW w:w="1700" w:type="dxa"/>
            <w:vAlign w:val="bottom"/>
            <w:tcBorders>
              <w:bottom w:val="single" w:sz="8" w:color="F2F2F2"/>
            </w:tcBorders>
            <w:shd w:val="clear" w:color="auto" w:fill="F2F2F2"/>
          </w:tcPr>
          <w:p>
            <w:pPr>
              <w:jc w:val="right"/>
              <w:ind w:right="522"/>
              <w:spacing w:after="0"/>
              <w:rPr>
                <w:sz w:val="20"/>
                <w:szCs w:val="20"/>
                <w:color w:val="auto"/>
              </w:rPr>
            </w:pPr>
            <w:r>
              <w:rPr>
                <w:rFonts w:ascii="Arial" w:cs="Arial" w:eastAsia="Arial" w:hAnsi="Arial"/>
                <w:sz w:val="16"/>
                <w:szCs w:val="16"/>
                <w:color w:val="auto"/>
              </w:rPr>
              <w:t>$2,426</w:t>
            </w:r>
          </w:p>
        </w:tc>
        <w:tc>
          <w:tcPr>
            <w:tcW w:w="1500" w:type="dxa"/>
            <w:vAlign w:val="bottom"/>
            <w:tcBorders>
              <w:bottom w:val="single" w:sz="8" w:color="F2F2F2"/>
            </w:tcBorders>
            <w:shd w:val="clear" w:color="auto" w:fill="F2F2F2"/>
          </w:tcPr>
          <w:p>
            <w:pPr>
              <w:jc w:val="right"/>
              <w:ind w:right="442"/>
              <w:spacing w:after="0"/>
              <w:rPr>
                <w:sz w:val="20"/>
                <w:szCs w:val="20"/>
                <w:color w:val="auto"/>
              </w:rPr>
            </w:pPr>
            <w:r>
              <w:rPr>
                <w:rFonts w:ascii="Arial" w:cs="Arial" w:eastAsia="Arial" w:hAnsi="Arial"/>
                <w:sz w:val="16"/>
                <w:szCs w:val="16"/>
                <w:color w:val="auto"/>
              </w:rPr>
              <w:t>$2,502</w:t>
            </w:r>
          </w:p>
        </w:tc>
        <w:tc>
          <w:tcPr>
            <w:tcW w:w="1620" w:type="dxa"/>
            <w:vAlign w:val="bottom"/>
            <w:tcBorders>
              <w:bottom w:val="single" w:sz="8" w:color="F2F2F2"/>
            </w:tcBorders>
            <w:shd w:val="clear" w:color="auto" w:fill="F2F2F2"/>
          </w:tcPr>
          <w:p>
            <w:pPr>
              <w:jc w:val="right"/>
              <w:ind w:right="462"/>
              <w:spacing w:after="0"/>
              <w:rPr>
                <w:sz w:val="20"/>
                <w:szCs w:val="20"/>
                <w:color w:val="auto"/>
              </w:rPr>
            </w:pPr>
            <w:r>
              <w:rPr>
                <w:rFonts w:ascii="Arial" w:cs="Arial" w:eastAsia="Arial" w:hAnsi="Arial"/>
                <w:sz w:val="16"/>
                <w:szCs w:val="16"/>
                <w:color w:val="auto"/>
              </w:rPr>
              <w:t>$2,577</w:t>
            </w:r>
          </w:p>
        </w:tc>
      </w:tr>
      <w:tr>
        <w:trPr>
          <w:trHeight w:val="228"/>
        </w:trPr>
        <w:tc>
          <w:tcPr>
            <w:tcW w:w="378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2640" w:type="dxa"/>
            <w:vAlign w:val="bottom"/>
          </w:tcPr>
          <w:p>
            <w:pPr>
              <w:jc w:val="center"/>
              <w:ind w:left="1062"/>
              <w:spacing w:after="0"/>
              <w:rPr>
                <w:sz w:val="20"/>
                <w:szCs w:val="20"/>
                <w:color w:val="auto"/>
              </w:rPr>
            </w:pPr>
            <w:r>
              <w:rPr>
                <w:rFonts w:ascii="Arial" w:cs="Arial" w:eastAsia="Arial" w:hAnsi="Arial"/>
                <w:sz w:val="16"/>
                <w:szCs w:val="16"/>
                <w:color w:val="auto"/>
              </w:rPr>
              <w:t>33%</w:t>
            </w:r>
          </w:p>
        </w:tc>
        <w:tc>
          <w:tcPr>
            <w:tcW w:w="1700" w:type="dxa"/>
            <w:vAlign w:val="bottom"/>
          </w:tcPr>
          <w:p>
            <w:pPr>
              <w:jc w:val="right"/>
              <w:ind w:right="542"/>
              <w:spacing w:after="0"/>
              <w:rPr>
                <w:sz w:val="20"/>
                <w:szCs w:val="20"/>
                <w:color w:val="auto"/>
              </w:rPr>
            </w:pPr>
            <w:r>
              <w:rPr>
                <w:rFonts w:ascii="Arial" w:cs="Arial" w:eastAsia="Arial" w:hAnsi="Arial"/>
                <w:sz w:val="16"/>
                <w:szCs w:val="16"/>
                <w:color w:val="auto"/>
              </w:rPr>
              <w:t>35.1%</w:t>
            </w:r>
          </w:p>
        </w:tc>
        <w:tc>
          <w:tcPr>
            <w:tcW w:w="1500" w:type="dxa"/>
            <w:vAlign w:val="bottom"/>
          </w:tcPr>
          <w:p>
            <w:pPr>
              <w:jc w:val="right"/>
              <w:ind w:right="462"/>
              <w:spacing w:after="0"/>
              <w:rPr>
                <w:sz w:val="20"/>
                <w:szCs w:val="20"/>
                <w:color w:val="auto"/>
              </w:rPr>
            </w:pPr>
            <w:r>
              <w:rPr>
                <w:rFonts w:ascii="Arial" w:cs="Arial" w:eastAsia="Arial" w:hAnsi="Arial"/>
                <w:sz w:val="16"/>
                <w:szCs w:val="16"/>
                <w:color w:val="auto"/>
              </w:rPr>
              <w:t>39.0%</w:t>
            </w:r>
          </w:p>
        </w:tc>
        <w:tc>
          <w:tcPr>
            <w:tcW w:w="1620" w:type="dxa"/>
            <w:vAlign w:val="bottom"/>
          </w:tcPr>
          <w:p>
            <w:pPr>
              <w:jc w:val="right"/>
              <w:ind w:right="482"/>
              <w:spacing w:after="0"/>
              <w:rPr>
                <w:sz w:val="20"/>
                <w:szCs w:val="20"/>
                <w:color w:val="auto"/>
              </w:rPr>
            </w:pPr>
            <w:r>
              <w:rPr>
                <w:rFonts w:ascii="Arial" w:cs="Arial" w:eastAsia="Arial" w:hAnsi="Arial"/>
                <w:sz w:val="16"/>
                <w:szCs w:val="16"/>
                <w:color w:val="auto"/>
              </w:rPr>
              <w:t>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386195" cy="2057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8619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Individual Performance Factor</w:t>
      </w:r>
    </w:p>
    <w:p>
      <w:pPr>
        <w:spacing w:after="0" w:line="16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determining the amount of annual cash bonus payments under the 2025 Cash Bonus Plan, the talent and compensation committee considered an evaluation of each bonus eligible executive officer’s individual performance for the year. Generally, this evaluation involved, in the case of our Chief Executive Officer, an evaluation of his performance by the talent and compensation committee and, in the case of our other executive officers, an evaluation by our Chief Executive Officer. These evaluations were based on an overall subjective assessment of each bonus eligible executive officer's performance based on company priorities for the year, and no single factor was determinative in setting bonus payout levels, nor was the impact of any individual factor on the bonus quantifiable. Dropbox operates in a highly competitive industry and we set a high bar for performance expectations for each one of our named executive officers. Our named executive officers are evaluated based on their overall performance, impact, and results.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2025 Annual Cash Bonus Decisions</w:t>
      </w:r>
    </w:p>
    <w:p>
      <w:pPr>
        <w:spacing w:after="0" w:line="16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In March 2026, the talent and compensation committee, based on its evaluation of our performance against our annual operating plan, determined the size of the bonus pool based on our performance during 2025 and determined the annual cash bonus payments for our bonus eligible executive officers, including our bonus eligible named executive officers, pursuant to the 2025 Cash Bonus Plan. The talent and compensation committee reviewed our actual annual revenue performance for 2025 and determined that, for purposes of the calculation used for the 2025 Cash Bonus Plan, we had</w:t>
      </w:r>
    </w:p>
    <w:p>
      <w:pPr>
        <w:spacing w:after="0" w:line="200" w:lineRule="exact"/>
        <w:rPr>
          <w:sz w:val="20"/>
          <w:szCs w:val="20"/>
          <w:color w:val="auto"/>
        </w:rPr>
      </w:pPr>
    </w:p>
    <w:p>
      <w:pPr>
        <w:spacing w:after="0" w:line="313" w:lineRule="exact"/>
        <w:rPr>
          <w:sz w:val="20"/>
          <w:szCs w:val="20"/>
          <w:color w:val="auto"/>
        </w:rPr>
      </w:pPr>
    </w:p>
    <w:p>
      <w:pPr>
        <w:ind w:left="580" w:hanging="554"/>
        <w:spacing w:after="0"/>
        <w:tabs>
          <w:tab w:leader="none" w:pos="5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jc w:val="both"/>
        <w:ind w:right="200"/>
        <w:spacing w:after="0" w:line="241" w:lineRule="auto"/>
        <w:rPr>
          <w:sz w:val="20"/>
          <w:szCs w:val="20"/>
          <w:color w:val="auto"/>
        </w:rPr>
      </w:pPr>
      <w:r>
        <w:rPr>
          <w:rFonts w:ascii="Arial" w:cs="Arial" w:eastAsia="Arial" w:hAnsi="Arial"/>
          <w:sz w:val="16"/>
          <w:szCs w:val="16"/>
          <w:color w:val="auto"/>
        </w:rPr>
        <w:t>achieved annual revenue of $2,518 million, which was 101% of our annual revenue target for the year. In addition, the talent and compensation committee determined that we had achieved non-GAAP operating margin of 40.7% (for purposes of the calculation used for the 2025 Cash Bonus Plan) compared to our target of 39.0% for the year. Our revenue and non-GAAP operating margin performances resulted in a corporate performance measure of 107.3%.</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talent and compensation committee approved a bonus funding percentage of 107.3% with respect to the corporate performance measure.</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Chief Executive Officer evaluated the achievement of each other bonus eligible executive officer and formulated a recommendation for each such executive officer’s annual cash bonus payment for consideration by the talent and compensation committee. These recommendations were based on our Chief Executive Officer’s subjective assessment of each individual’s contributions taking into account company priorities for the year. In the case of our Chief Executive Officer, the talent and compensation committee evaluated our financial and operational performance for 2025 and formulated an annual cash bonus payment for him based on the subjective assessment of his performance.</w:t>
      </w:r>
    </w:p>
    <w:p>
      <w:pPr>
        <w:spacing w:after="0" w:line="12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Based on these evaluations, the talent and compensation committee approved the annual cash bonus payments for our bonus eligible named executive officers for 2025 as set forth in the table below, including adjustments for the named executive officer's individual performance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148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14871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2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Target Annual Cash</w:t>
            </w:r>
          </w:p>
        </w:tc>
        <w:tc>
          <w:tcPr>
            <w:tcW w:w="2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Annual Cash Bonus</w:t>
            </w:r>
          </w:p>
        </w:tc>
        <w:tc>
          <w:tcPr>
            <w:tcW w:w="2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Percentage of Target Annual</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0063A6"/>
            </w:tcBorders>
            <w:vMerge w:val="continue"/>
            <w:shd w:val="clear" w:color="auto" w:fill="0063A6"/>
          </w:tcPr>
          <w:p>
            <w:pPr>
              <w:spacing w:after="0"/>
              <w:rPr>
                <w:sz w:val="19"/>
                <w:szCs w:val="19"/>
                <w:color w:val="auto"/>
              </w:rPr>
            </w:pPr>
          </w:p>
        </w:tc>
        <w:tc>
          <w:tcPr>
            <w:tcW w:w="22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Bonus Payment ($)</w:t>
            </w:r>
          </w:p>
        </w:tc>
        <w:tc>
          <w:tcPr>
            <w:tcW w:w="22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Payment ($)</w:t>
            </w:r>
          </w:p>
        </w:tc>
        <w:tc>
          <w:tcPr>
            <w:tcW w:w="27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Cash Bonus Actually Paid</w:t>
            </w:r>
          </w:p>
        </w:tc>
        <w:tc>
          <w:tcPr>
            <w:tcW w:w="0" w:type="dxa"/>
            <w:vAlign w:val="bottom"/>
          </w:tcPr>
          <w:p>
            <w:pPr>
              <w:spacing w:after="0"/>
              <w:rPr>
                <w:sz w:val="1"/>
                <w:szCs w:val="1"/>
                <w:color w:val="auto"/>
              </w:rPr>
            </w:pPr>
          </w:p>
        </w:tc>
      </w:tr>
      <w:tr>
        <w:trPr>
          <w:trHeight w:val="229"/>
        </w:trPr>
        <w:tc>
          <w:tcPr>
            <w:tcW w:w="39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2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750,400</w:t>
            </w:r>
          </w:p>
        </w:tc>
        <w:tc>
          <w:tcPr>
            <w:tcW w:w="2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94%</w:t>
            </w:r>
          </w:p>
        </w:tc>
        <w:tc>
          <w:tcPr>
            <w:tcW w:w="0" w:type="dxa"/>
            <w:vAlign w:val="bottom"/>
          </w:tcPr>
          <w:p>
            <w:pPr>
              <w:spacing w:after="0"/>
              <w:rPr>
                <w:sz w:val="1"/>
                <w:szCs w:val="1"/>
                <w:color w:val="auto"/>
              </w:rPr>
            </w:pPr>
          </w:p>
        </w:tc>
      </w:tr>
      <w:tr>
        <w:trPr>
          <w:trHeight w:val="215"/>
        </w:trPr>
        <w:tc>
          <w:tcPr>
            <w:tcW w:w="398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0"/>
        </w:trPr>
        <w:tc>
          <w:tcPr>
            <w:tcW w:w="3980" w:type="dxa"/>
            <w:vAlign w:val="bottom"/>
            <w:shd w:val="clear" w:color="auto" w:fill="F2F2F2"/>
          </w:tcPr>
          <w:p>
            <w:pPr>
              <w:ind w:left="60"/>
              <w:spacing w:after="0" w:line="230" w:lineRule="exact"/>
              <w:rPr>
                <w:sz w:val="20"/>
                <w:szCs w:val="20"/>
                <w:color w:val="auto"/>
              </w:rPr>
            </w:pPr>
            <w:r>
              <w:rPr>
                <w:rFonts w:ascii="Arial" w:cs="Arial" w:eastAsia="Arial" w:hAnsi="Arial"/>
                <w:sz w:val="16"/>
                <w:szCs w:val="16"/>
                <w:color w:val="auto"/>
              </w:rPr>
              <w:t>Timothy Regan</w:t>
            </w:r>
            <w:r>
              <w:rPr>
                <w:rFonts w:ascii="Arial" w:cs="Arial" w:eastAsia="Arial" w:hAnsi="Arial"/>
                <w:sz w:val="21"/>
                <w:szCs w:val="21"/>
                <w:color w:val="auto"/>
                <w:vertAlign w:val="superscript"/>
              </w:rPr>
              <w:t>(1)</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476,000</w:t>
            </w:r>
          </w:p>
        </w:tc>
        <w:tc>
          <w:tcPr>
            <w:tcW w:w="2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558,000</w:t>
            </w:r>
          </w:p>
        </w:tc>
        <w:tc>
          <w:tcPr>
            <w:tcW w:w="2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7"/>
              </w:rPr>
              <w:t>117%</w:t>
            </w:r>
          </w:p>
        </w:tc>
        <w:tc>
          <w:tcPr>
            <w:tcW w:w="0" w:type="dxa"/>
            <w:vAlign w:val="bottom"/>
          </w:tcPr>
          <w:p>
            <w:pPr>
              <w:spacing w:after="0"/>
              <w:rPr>
                <w:sz w:val="1"/>
                <w:szCs w:val="1"/>
                <w:color w:val="auto"/>
              </w:rPr>
            </w:pPr>
          </w:p>
        </w:tc>
      </w:tr>
      <w:tr>
        <w:trPr>
          <w:trHeight w:val="228"/>
        </w:trPr>
        <w:tc>
          <w:tcPr>
            <w:tcW w:w="3980" w:type="dxa"/>
            <w:vAlign w:val="bottom"/>
          </w:tcPr>
          <w:p>
            <w:pPr>
              <w:ind w:left="60"/>
              <w:spacing w:after="0"/>
              <w:rPr>
                <w:sz w:val="20"/>
                <w:szCs w:val="20"/>
                <w:color w:val="auto"/>
              </w:rPr>
            </w:pPr>
            <w:r>
              <w:rPr>
                <w:rFonts w:ascii="Arial" w:cs="Arial" w:eastAsia="Arial" w:hAnsi="Arial"/>
                <w:sz w:val="16"/>
                <w:szCs w:val="16"/>
                <w:color w:val="auto"/>
              </w:rPr>
              <w:t>William Yoon</w:t>
            </w:r>
          </w:p>
        </w:tc>
        <w:tc>
          <w:tcPr>
            <w:tcW w:w="2260" w:type="dxa"/>
            <w:vAlign w:val="bottom"/>
          </w:tcPr>
          <w:p>
            <w:pPr>
              <w:jc w:val="center"/>
              <w:spacing w:after="0"/>
              <w:rPr>
                <w:sz w:val="20"/>
                <w:szCs w:val="20"/>
                <w:color w:val="auto"/>
              </w:rPr>
            </w:pPr>
            <w:r>
              <w:rPr>
                <w:rFonts w:ascii="Arial" w:cs="Arial" w:eastAsia="Arial" w:hAnsi="Arial"/>
                <w:sz w:val="16"/>
                <w:szCs w:val="16"/>
                <w:color w:val="auto"/>
              </w:rPr>
              <w:t>320,188</w:t>
            </w:r>
          </w:p>
        </w:tc>
        <w:tc>
          <w:tcPr>
            <w:tcW w:w="2240" w:type="dxa"/>
            <w:vAlign w:val="bottom"/>
          </w:tcPr>
          <w:p>
            <w:pPr>
              <w:jc w:val="center"/>
              <w:spacing w:after="0"/>
              <w:rPr>
                <w:sz w:val="20"/>
                <w:szCs w:val="20"/>
                <w:color w:val="auto"/>
              </w:rPr>
            </w:pPr>
            <w:r>
              <w:rPr>
                <w:rFonts w:ascii="Arial" w:cs="Arial" w:eastAsia="Arial" w:hAnsi="Arial"/>
                <w:sz w:val="16"/>
                <w:szCs w:val="16"/>
                <w:color w:val="auto"/>
              </w:rPr>
              <w:t>375,000</w:t>
            </w:r>
          </w:p>
        </w:tc>
        <w:tc>
          <w:tcPr>
            <w:tcW w:w="2760" w:type="dxa"/>
            <w:vAlign w:val="bottom"/>
          </w:tcPr>
          <w:p>
            <w:pPr>
              <w:jc w:val="center"/>
              <w:spacing w:after="0"/>
              <w:rPr>
                <w:sz w:val="20"/>
                <w:szCs w:val="20"/>
                <w:color w:val="auto"/>
              </w:rPr>
            </w:pPr>
            <w:r>
              <w:rPr>
                <w:rFonts w:ascii="Arial" w:cs="Arial" w:eastAsia="Arial" w:hAnsi="Arial"/>
                <w:sz w:val="16"/>
                <w:szCs w:val="16"/>
                <w:color w:val="auto"/>
                <w:w w:val="97"/>
              </w:rPr>
              <w:t>117%</w:t>
            </w:r>
          </w:p>
        </w:tc>
        <w:tc>
          <w:tcPr>
            <w:tcW w:w="0" w:type="dxa"/>
            <w:vAlign w:val="bottom"/>
          </w:tcPr>
          <w:p>
            <w:pPr>
              <w:spacing w:after="0"/>
              <w:rPr>
                <w:sz w:val="1"/>
                <w:szCs w:val="1"/>
                <w:color w:val="auto"/>
              </w:rPr>
            </w:pPr>
          </w:p>
        </w:tc>
      </w:tr>
      <w:tr>
        <w:trPr>
          <w:trHeight w:val="231"/>
        </w:trPr>
        <w:tc>
          <w:tcPr>
            <w:tcW w:w="39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Ali Dasdan</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416,438</w:t>
            </w:r>
          </w:p>
        </w:tc>
        <w:tc>
          <w:tcPr>
            <w:tcW w:w="2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391,000</w:t>
            </w:r>
          </w:p>
        </w:tc>
        <w:tc>
          <w:tcPr>
            <w:tcW w:w="2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94%</w:t>
            </w:r>
          </w:p>
        </w:tc>
        <w:tc>
          <w:tcPr>
            <w:tcW w:w="0" w:type="dxa"/>
            <w:vAlign w:val="bottom"/>
          </w:tcPr>
          <w:p>
            <w:pPr>
              <w:spacing w:after="0"/>
              <w:rPr>
                <w:sz w:val="1"/>
                <w:szCs w:val="1"/>
                <w:color w:val="auto"/>
              </w:rPr>
            </w:pPr>
          </w:p>
        </w:tc>
      </w:tr>
      <w:tr>
        <w:trPr>
          <w:trHeight w:val="227"/>
        </w:trPr>
        <w:tc>
          <w:tcPr>
            <w:tcW w:w="398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260" w:type="dxa"/>
            <w:vAlign w:val="bottom"/>
          </w:tcPr>
          <w:p>
            <w:pPr>
              <w:jc w:val="center"/>
              <w:spacing w:after="0"/>
              <w:rPr>
                <w:sz w:val="20"/>
                <w:szCs w:val="20"/>
                <w:color w:val="auto"/>
              </w:rPr>
            </w:pPr>
            <w:r>
              <w:rPr>
                <w:rFonts w:ascii="Arial" w:cs="Arial" w:eastAsia="Arial" w:hAnsi="Arial"/>
                <w:sz w:val="16"/>
                <w:szCs w:val="16"/>
                <w:color w:val="auto"/>
              </w:rPr>
              <w:t>500,000</w:t>
            </w:r>
          </w:p>
        </w:tc>
        <w:tc>
          <w:tcPr>
            <w:tcW w:w="2240" w:type="dxa"/>
            <w:vAlign w:val="bottom"/>
          </w:tcPr>
          <w:p>
            <w:pPr>
              <w:jc w:val="center"/>
              <w:spacing w:after="0"/>
              <w:rPr>
                <w:sz w:val="20"/>
                <w:szCs w:val="20"/>
                <w:color w:val="auto"/>
              </w:rPr>
            </w:pPr>
            <w:r>
              <w:rPr>
                <w:rFonts w:ascii="Arial" w:cs="Arial" w:eastAsia="Arial" w:hAnsi="Arial"/>
                <w:sz w:val="16"/>
                <w:szCs w:val="16"/>
                <w:color w:val="auto"/>
              </w:rPr>
              <w:t>586,000</w:t>
            </w:r>
          </w:p>
        </w:tc>
        <w:tc>
          <w:tcPr>
            <w:tcW w:w="2760" w:type="dxa"/>
            <w:vAlign w:val="bottom"/>
          </w:tcPr>
          <w:p>
            <w:pPr>
              <w:jc w:val="center"/>
              <w:spacing w:after="0"/>
              <w:rPr>
                <w:sz w:val="20"/>
                <w:szCs w:val="20"/>
                <w:color w:val="auto"/>
              </w:rPr>
            </w:pPr>
            <w:r>
              <w:rPr>
                <w:rFonts w:ascii="Arial" w:cs="Arial" w:eastAsia="Arial" w:hAnsi="Arial"/>
                <w:sz w:val="16"/>
                <w:szCs w:val="16"/>
                <w:color w:val="auto"/>
                <w:w w:val="97"/>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-289560</wp:posOffset>
            </wp:positionV>
            <wp:extent cx="1714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 cy="146050"/>
                    </a:xfrm>
                    <a:prstGeom prst="rect">
                      <a:avLst/>
                    </a:prstGeom>
                    <a:noFill/>
                  </pic:spPr>
                </pic:pic>
              </a:graphicData>
            </a:graphic>
          </wp:anchor>
        </w:drawing>
      </w:r>
    </w:p>
    <w:p>
      <w:pPr>
        <w:spacing w:after="0" w:line="216" w:lineRule="exact"/>
        <w:rPr>
          <w:sz w:val="20"/>
          <w:szCs w:val="20"/>
          <w:color w:val="auto"/>
        </w:rPr>
      </w:pPr>
    </w:p>
    <w:p>
      <w:pPr>
        <w:ind w:left="340" w:right="80" w:hanging="332"/>
        <w:spacing w:after="0" w:line="218" w:lineRule="auto"/>
        <w:tabs>
          <w:tab w:leader="none" w:pos="262" w:val="left"/>
        </w:tabs>
        <w:numPr>
          <w:ilvl w:val="0"/>
          <w:numId w:val="63"/>
        </w:numPr>
        <w:rPr>
          <w:rFonts w:ascii="Arial" w:cs="Arial" w:eastAsia="Arial" w:hAnsi="Arial"/>
          <w:sz w:val="21"/>
          <w:szCs w:val="21"/>
          <w:color w:val="auto"/>
          <w:vertAlign w:val="superscript"/>
        </w:rPr>
      </w:pPr>
      <w:r>
        <w:rPr>
          <w:rFonts w:ascii="Arial" w:cs="Arial" w:eastAsia="Arial" w:hAnsi="Arial"/>
          <w:sz w:val="14"/>
          <w:szCs w:val="14"/>
          <w:color w:val="auto"/>
        </w:rPr>
        <w:t>Due to his continued employment through March 2026, Mr. Regan remained eligible to receive an annual cash bonus payment based on his 2025 target annual cash bonus opportunity.</w:t>
      </w:r>
    </w:p>
    <w:p>
      <w:pPr>
        <w:spacing w:after="0" w:line="129"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The annual cash bonus payments made to our named executive officers for 2025 are set forth in the “</w:t>
      </w:r>
      <w:r>
        <w:rPr>
          <w:rFonts w:ascii="Arial" w:cs="Arial" w:eastAsia="Arial" w:hAnsi="Arial"/>
          <w:sz w:val="16"/>
          <w:szCs w:val="16"/>
          <w:i w:val="1"/>
          <w:iCs w:val="1"/>
          <w:color w:val="auto"/>
        </w:rPr>
        <w:t>Summary Compensation Table for Fiscal Year 2025</w:t>
      </w:r>
      <w:r>
        <w:rPr>
          <w:rFonts w:ascii="Arial" w:cs="Arial" w:eastAsia="Arial" w:hAnsi="Arial"/>
          <w:sz w:val="16"/>
          <w:szCs w:val="16"/>
          <w:color w:val="auto"/>
        </w:rPr>
        <w:t>” below.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Long-Term Equity Incentive Compensation</w:t>
      </w:r>
    </w:p>
    <w:p>
      <w:pPr>
        <w:spacing w:after="0" w:line="167"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view long-term equity incentive compensation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 competitive market.</w:t>
      </w:r>
    </w:p>
    <w:p>
      <w:pPr>
        <w:spacing w:after="0" w:line="10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amount and forms of the equity awards granted to our executive officers are determined by the talent and compensation committee after considering a competitive market analysis prepared by our compensation consultant, the recommendation of our Chief Executive Officer (other than for himself), and the factors described in the section titled “</w:t>
      </w:r>
      <w:r>
        <w:rPr>
          <w:rFonts w:ascii="Arial" w:cs="Arial" w:eastAsia="Arial" w:hAnsi="Arial"/>
          <w:sz w:val="16"/>
          <w:szCs w:val="16"/>
          <w:i w:val="1"/>
          <w:iCs w:val="1"/>
          <w:color w:val="auto"/>
        </w:rPr>
        <w:t>Executive Compensation—Compensation-Setting Process—Compensation Setting</w:t>
      </w:r>
      <w:r>
        <w:rPr>
          <w:rFonts w:ascii="Arial" w:cs="Arial" w:eastAsia="Arial" w:hAnsi="Arial"/>
          <w:sz w:val="16"/>
          <w:szCs w:val="16"/>
          <w:color w:val="auto"/>
        </w:rPr>
        <w:t>” above. The size of the equity awards is also intended to be competitive and result in target total direct compensation opportunities that the talent and compensation committee believes are reasonable and appropriate taking into consideration the factors described in the preceding sentence.</w:t>
      </w:r>
    </w:p>
    <w:p>
      <w:pPr>
        <w:spacing w:after="0" w:line="11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March 2025, the talent and compensation committee approved equity grants in the form of restricted stock unit awards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covering our Class A common stock to Messrs. Regan and Yoon, each of which were effective April 1, 2025. Separately, the talent and compensation committee approved a new hire award for Mr. Alkarmi, which was granted effective January 1, 2025 and a new hire award for Mr. Dasdan, which was granted effective 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Differentiation was made among our named executive officers based on the talent and compensation committee’s review of a competitive market analysis for their respective positions, internal equity, past performance, and expected future contributions. Mr. Houston did not receive an equity grant in 2025 in light of his significant ownership position in the company and the Co-Founder Grant he received in 2017. The equity awards granted to our named executive officers in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40575" cy="8401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0575" cy="84010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70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280" w:type="dxa"/>
            <w:vAlign w:val="bottom"/>
            <w:shd w:val="clear" w:color="auto" w:fill="0063A6"/>
          </w:tcPr>
          <w:p>
            <w:pPr>
              <w:ind w:left="880"/>
              <w:spacing w:after="0"/>
              <w:rPr>
                <w:sz w:val="20"/>
                <w:szCs w:val="20"/>
                <w:color w:val="auto"/>
              </w:rPr>
            </w:pPr>
            <w:r>
              <w:rPr>
                <w:rFonts w:ascii="Arial" w:cs="Arial" w:eastAsia="Arial" w:hAnsi="Arial"/>
                <w:sz w:val="14"/>
                <w:szCs w:val="14"/>
                <w:b w:val="1"/>
                <w:bCs w:val="1"/>
                <w:color w:val="FFFFFF"/>
              </w:rPr>
              <w:t>RSUs</w:t>
            </w:r>
            <w:r>
              <w:rPr>
                <w:rFonts w:ascii="Arial" w:cs="Arial" w:eastAsia="Arial" w:hAnsi="Arial"/>
                <w:sz w:val="18"/>
                <w:szCs w:val="18"/>
                <w:b w:val="1"/>
                <w:bCs w:val="1"/>
                <w:color w:val="FFFFFF"/>
                <w:vertAlign w:val="superscript"/>
              </w:rPr>
              <w:t>(1)</w:t>
            </w:r>
          </w:p>
        </w:tc>
        <w:tc>
          <w:tcPr>
            <w:tcW w:w="22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Aggregate Grant</w:t>
            </w:r>
          </w:p>
        </w:tc>
        <w:tc>
          <w:tcPr>
            <w:tcW w:w="0" w:type="dxa"/>
            <w:vAlign w:val="bottom"/>
          </w:tcPr>
          <w:p>
            <w:pPr>
              <w:spacing w:after="0"/>
              <w:rPr>
                <w:sz w:val="1"/>
                <w:szCs w:val="1"/>
                <w:color w:val="auto"/>
              </w:rPr>
            </w:pPr>
          </w:p>
        </w:tc>
      </w:tr>
      <w:tr>
        <w:trPr>
          <w:trHeight w:val="232"/>
        </w:trPr>
        <w:tc>
          <w:tcPr>
            <w:tcW w:w="6700" w:type="dxa"/>
            <w:vAlign w:val="bottom"/>
            <w:tcBorders>
              <w:bottom w:val="single" w:sz="8" w:color="0063A6"/>
            </w:tcBorders>
            <w:vMerge w:val="continue"/>
            <w:shd w:val="clear" w:color="auto" w:fill="0063A6"/>
          </w:tcPr>
          <w:p>
            <w:pPr>
              <w:spacing w:after="0"/>
              <w:rPr>
                <w:sz w:val="20"/>
                <w:szCs w:val="20"/>
                <w:color w:val="auto"/>
              </w:rPr>
            </w:pPr>
          </w:p>
        </w:tc>
        <w:tc>
          <w:tcPr>
            <w:tcW w:w="2280" w:type="dxa"/>
            <w:vAlign w:val="bottom"/>
            <w:tcBorders>
              <w:bottom w:val="single" w:sz="8" w:color="0063A6"/>
            </w:tcBorders>
            <w:shd w:val="clear" w:color="auto" w:fill="0063A6"/>
          </w:tcPr>
          <w:p>
            <w:pPr>
              <w:spacing w:after="0"/>
              <w:rPr>
                <w:sz w:val="20"/>
                <w:szCs w:val="20"/>
                <w:color w:val="auto"/>
              </w:rPr>
            </w:pPr>
          </w:p>
        </w:tc>
        <w:tc>
          <w:tcPr>
            <w:tcW w:w="22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Date Fair Value ($)</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6700" w:type="dxa"/>
            <w:vAlign w:val="bottom"/>
          </w:tcPr>
          <w:p>
            <w:pPr>
              <w:ind w:left="60"/>
              <w:spacing w:after="0"/>
              <w:rPr>
                <w:sz w:val="20"/>
                <w:szCs w:val="20"/>
                <w:color w:val="auto"/>
              </w:rPr>
            </w:pPr>
            <w:r>
              <w:rPr>
                <w:rFonts w:ascii="Arial" w:cs="Arial" w:eastAsia="Arial" w:hAnsi="Arial"/>
                <w:sz w:val="16"/>
                <w:szCs w:val="16"/>
                <w:color w:val="auto"/>
              </w:rPr>
              <w:t>Ross Tennenbaum</w:t>
            </w:r>
            <w:r>
              <w:rPr>
                <w:rFonts w:ascii="Arial" w:cs="Arial" w:eastAsia="Arial" w:hAnsi="Arial"/>
                <w:sz w:val="21"/>
                <w:szCs w:val="21"/>
                <w:color w:val="auto"/>
                <w:vertAlign w:val="superscript"/>
              </w:rPr>
              <w:t>(2)</w:t>
            </w:r>
          </w:p>
        </w:tc>
        <w:tc>
          <w:tcPr>
            <w:tcW w:w="2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2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209,777</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5,603,144</w:t>
            </w:r>
          </w:p>
        </w:tc>
        <w:tc>
          <w:tcPr>
            <w:tcW w:w="0" w:type="dxa"/>
            <w:vAlign w:val="bottom"/>
          </w:tcPr>
          <w:p>
            <w:pPr>
              <w:spacing w:after="0"/>
              <w:rPr>
                <w:sz w:val="1"/>
                <w:szCs w:val="1"/>
                <w:color w:val="auto"/>
              </w:rPr>
            </w:pPr>
          </w:p>
        </w:tc>
      </w:tr>
      <w:tr>
        <w:trPr>
          <w:trHeight w:val="215"/>
        </w:trPr>
        <w:tc>
          <w:tcPr>
            <w:tcW w:w="6700" w:type="dxa"/>
            <w:vAlign w:val="bottom"/>
          </w:tcPr>
          <w:p>
            <w:pPr>
              <w:ind w:left="60"/>
              <w:spacing w:after="0"/>
              <w:rPr>
                <w:sz w:val="20"/>
                <w:szCs w:val="20"/>
                <w:color w:val="auto"/>
              </w:rPr>
            </w:pPr>
            <w:r>
              <w:rPr>
                <w:rFonts w:ascii="Arial" w:cs="Arial" w:eastAsia="Arial" w:hAnsi="Arial"/>
                <w:sz w:val="16"/>
                <w:szCs w:val="16"/>
                <w:color w:val="auto"/>
              </w:rPr>
              <w:t>William Yoon</w:t>
            </w:r>
          </w:p>
        </w:tc>
        <w:tc>
          <w:tcPr>
            <w:tcW w:w="2280" w:type="dxa"/>
            <w:vAlign w:val="bottom"/>
          </w:tcPr>
          <w:p>
            <w:pPr>
              <w:jc w:val="center"/>
              <w:spacing w:after="0"/>
              <w:rPr>
                <w:sz w:val="20"/>
                <w:szCs w:val="20"/>
                <w:color w:val="auto"/>
              </w:rPr>
            </w:pPr>
            <w:r>
              <w:rPr>
                <w:rFonts w:ascii="Arial" w:cs="Arial" w:eastAsia="Arial" w:hAnsi="Arial"/>
                <w:sz w:val="16"/>
                <w:szCs w:val="16"/>
                <w:color w:val="auto"/>
              </w:rPr>
              <w:t>190,706</w:t>
            </w:r>
          </w:p>
        </w:tc>
        <w:tc>
          <w:tcPr>
            <w:tcW w:w="2260" w:type="dxa"/>
            <w:vAlign w:val="bottom"/>
          </w:tcPr>
          <w:p>
            <w:pPr>
              <w:jc w:val="center"/>
              <w:spacing w:after="0"/>
              <w:rPr>
                <w:sz w:val="20"/>
                <w:szCs w:val="20"/>
                <w:color w:val="auto"/>
              </w:rPr>
            </w:pPr>
            <w:r>
              <w:rPr>
                <w:rFonts w:ascii="Arial" w:cs="Arial" w:eastAsia="Arial" w:hAnsi="Arial"/>
                <w:sz w:val="16"/>
                <w:szCs w:val="16"/>
                <w:color w:val="auto"/>
              </w:rPr>
              <w:t>5,093,757</w:t>
            </w: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Ali Dasdan</w:t>
            </w:r>
          </w:p>
        </w:tc>
        <w:tc>
          <w:tcPr>
            <w:tcW w:w="2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610,260</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16,300,045</w:t>
            </w:r>
          </w:p>
        </w:tc>
        <w:tc>
          <w:tcPr>
            <w:tcW w:w="0" w:type="dxa"/>
            <w:vAlign w:val="bottom"/>
          </w:tcPr>
          <w:p>
            <w:pPr>
              <w:spacing w:after="0"/>
              <w:rPr>
                <w:sz w:val="1"/>
                <w:szCs w:val="1"/>
                <w:color w:val="auto"/>
              </w:rPr>
            </w:pPr>
          </w:p>
        </w:tc>
      </w:tr>
      <w:tr>
        <w:trPr>
          <w:trHeight w:val="215"/>
        </w:trPr>
        <w:tc>
          <w:tcPr>
            <w:tcW w:w="670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280" w:type="dxa"/>
            <w:vAlign w:val="bottom"/>
          </w:tcPr>
          <w:p>
            <w:pPr>
              <w:jc w:val="center"/>
              <w:spacing w:after="0"/>
              <w:rPr>
                <w:sz w:val="20"/>
                <w:szCs w:val="20"/>
                <w:color w:val="auto"/>
              </w:rPr>
            </w:pPr>
            <w:r>
              <w:rPr>
                <w:rFonts w:ascii="Arial" w:cs="Arial" w:eastAsia="Arial" w:hAnsi="Arial"/>
                <w:sz w:val="16"/>
                <w:szCs w:val="16"/>
                <w:color w:val="auto"/>
              </w:rPr>
              <w:t>537,936</w:t>
            </w:r>
          </w:p>
        </w:tc>
        <w:tc>
          <w:tcPr>
            <w:tcW w:w="2260" w:type="dxa"/>
            <w:vAlign w:val="bottom"/>
          </w:tcPr>
          <w:p>
            <w:pPr>
              <w:jc w:val="center"/>
              <w:spacing w:after="0"/>
              <w:rPr>
                <w:sz w:val="20"/>
                <w:szCs w:val="20"/>
                <w:color w:val="auto"/>
              </w:rPr>
            </w:pPr>
            <w:r>
              <w:rPr>
                <w:rFonts w:ascii="Arial" w:cs="Arial" w:eastAsia="Arial" w:hAnsi="Arial"/>
                <w:sz w:val="16"/>
                <w:szCs w:val="16"/>
                <w:color w:val="auto"/>
              </w:rPr>
              <w:t>16,159,597</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right="320" w:hanging="332"/>
        <w:spacing w:after="0" w:line="213" w:lineRule="auto"/>
        <w:tabs>
          <w:tab w:leader="none" w:pos="333"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The time-based RSU awards granted to Messrs. Regan Yoon, Dasdan, and Alkarmi were scheduled to vest over a four-year period in equal quarterly installments. The unvested portion of the RSU awards previously granted to Mr. Regan terminated upon his departure from the company.</w:t>
      </w:r>
    </w:p>
    <w:p>
      <w:pPr>
        <w:spacing w:after="0" w:line="1"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Mr. Tennenbaum joined the company in December 2025 and, in connection with his hiring, he was granted an equity award in January 2026.</w:t>
      </w:r>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The equity awards granted to our named executive officers during 2025 are set forth in the “</w:t>
      </w:r>
      <w:r>
        <w:rPr>
          <w:rFonts w:ascii="Arial" w:cs="Arial" w:eastAsia="Arial" w:hAnsi="Arial"/>
          <w:sz w:val="16"/>
          <w:szCs w:val="16"/>
          <w:i w:val="1"/>
          <w:iCs w:val="1"/>
          <w:color w:val="auto"/>
        </w:rPr>
        <w:t>Summary Compensation Table for Fiscal Year 2025</w:t>
      </w:r>
      <w:r>
        <w:rPr>
          <w:rFonts w:ascii="Arial" w:cs="Arial" w:eastAsia="Arial" w:hAnsi="Arial"/>
          <w:sz w:val="16"/>
          <w:szCs w:val="16"/>
          <w:color w:val="auto"/>
        </w:rPr>
        <w:t>” and under “</w:t>
      </w:r>
      <w:r>
        <w:rPr>
          <w:rFonts w:ascii="Arial" w:cs="Arial" w:eastAsia="Arial" w:hAnsi="Arial"/>
          <w:sz w:val="16"/>
          <w:szCs w:val="16"/>
          <w:i w:val="1"/>
          <w:iCs w:val="1"/>
          <w:color w:val="auto"/>
        </w:rPr>
        <w:t>Grants of Plan-Based Awards in 2025</w:t>
      </w:r>
      <w:r>
        <w:rPr>
          <w:rFonts w:ascii="Arial" w:cs="Arial" w:eastAsia="Arial" w:hAnsi="Arial"/>
          <w:sz w:val="16"/>
          <w:szCs w:val="16"/>
          <w:color w:val="auto"/>
        </w:rPr>
        <w:t>” below.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CFO Sign On Bonus</w:t>
      </w:r>
    </w:p>
    <w:p>
      <w:pPr>
        <w:spacing w:after="0" w:line="167"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As noted above, Mr. Tennenbaum was not eligible to receive a bonus under the 2025 Cash Bonus Plan. However, in connection with his hiring, the talent and compensation committee approved a one-time sign-on bonus in the aggregate amount of $350,000 to Mr. Tennenbaum, which was paid in December 2025.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Performance Achievement of Mr. Houston’s Co-Founder Grant</w:t>
      </w:r>
    </w:p>
    <w:p>
      <w:pPr>
        <w:spacing w:after="0" w:line="167"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 December 2017, our board approved a grant to Mr. Houston (our co-founder, Chief Executive Officer and chair of the board of directors) of a restricted stock award ("</w:t>
      </w:r>
      <w:r>
        <w:rPr>
          <w:rFonts w:ascii="Arial" w:cs="Arial" w:eastAsia="Arial" w:hAnsi="Arial"/>
          <w:sz w:val="16"/>
          <w:szCs w:val="16"/>
          <w:b w:val="1"/>
          <w:bCs w:val="1"/>
          <w:i w:val="1"/>
          <w:iCs w:val="1"/>
          <w:color w:val="auto"/>
        </w:rPr>
        <w:t>RSA</w:t>
      </w:r>
      <w:r>
        <w:rPr>
          <w:rFonts w:ascii="Arial" w:cs="Arial" w:eastAsia="Arial" w:hAnsi="Arial"/>
          <w:sz w:val="16"/>
          <w:szCs w:val="16"/>
          <w:color w:val="auto"/>
        </w:rPr>
        <w:t>") with respect to 10.3 million shares of Class A common stock in the aggregate (the “</w:t>
      </w:r>
      <w:r>
        <w:rPr>
          <w:rFonts w:ascii="Arial" w:cs="Arial" w:eastAsia="Arial" w:hAnsi="Arial"/>
          <w:sz w:val="16"/>
          <w:szCs w:val="16"/>
          <w:b w:val="1"/>
          <w:bCs w:val="1"/>
          <w:i w:val="1"/>
          <w:iCs w:val="1"/>
          <w:color w:val="auto"/>
        </w:rPr>
        <w:t>Co-Founder Grant</w:t>
      </w:r>
      <w:r>
        <w:rPr>
          <w:rFonts w:ascii="Arial" w:cs="Arial" w:eastAsia="Arial" w:hAnsi="Arial"/>
          <w:sz w:val="16"/>
          <w:szCs w:val="16"/>
          <w:color w:val="auto"/>
        </w:rPr>
        <w:t>”). The Co-Founder Grant has service-based, market-based, and performance-based vesting conditions. The Co-Founder Grant is eligible to vest over the ten-year period following the closing of our initial public offering. The Co-Founder Grant is comprised of nine tranches that are eligible to vest based on the achievement of stock price goals (each, a “</w:t>
      </w:r>
      <w:r>
        <w:rPr>
          <w:rFonts w:ascii="Arial" w:cs="Arial" w:eastAsia="Arial" w:hAnsi="Arial"/>
          <w:sz w:val="16"/>
          <w:szCs w:val="16"/>
          <w:b w:val="1"/>
          <w:bCs w:val="1"/>
          <w:i w:val="1"/>
          <w:iCs w:val="1"/>
          <w:color w:val="auto"/>
        </w:rPr>
        <w:t>Stock Price Target</w:t>
      </w:r>
      <w:r>
        <w:rPr>
          <w:rFonts w:ascii="Arial" w:cs="Arial" w:eastAsia="Arial" w:hAnsi="Arial"/>
          <w:sz w:val="16"/>
          <w:szCs w:val="16"/>
          <w:color w:val="auto"/>
        </w:rPr>
        <w:t>”), measured over a consecutive thirty-day trading period during the Performance Period (defined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59690</wp:posOffset>
            </wp:positionV>
            <wp:extent cx="3823335" cy="1817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23335" cy="1817370"/>
                    </a:xfrm>
                    <a:prstGeom prst="rect">
                      <a:avLst/>
                    </a:prstGeom>
                    <a:noFill/>
                  </pic:spPr>
                </pic:pic>
              </a:graphicData>
            </a:graphic>
          </wp:anchor>
        </w:drawing>
      </w:r>
    </w:p>
    <w:p>
      <w:pPr>
        <w:spacing w:after="0" w:line="74"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3000" w:type="dxa"/>
            <w:vAlign w:val="bottom"/>
            <w:shd w:val="clear" w:color="auto" w:fill="0063A6"/>
          </w:tcPr>
          <w:p>
            <w:pPr>
              <w:spacing w:after="0"/>
              <w:rPr>
                <w:sz w:val="20"/>
                <w:szCs w:val="20"/>
                <w:color w:val="auto"/>
              </w:rPr>
            </w:pP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Eligible to</w:t>
            </w:r>
          </w:p>
        </w:tc>
      </w:tr>
      <w:tr>
        <w:trPr>
          <w:trHeight w:val="162"/>
        </w:trPr>
        <w:tc>
          <w:tcPr>
            <w:tcW w:w="3000" w:type="dxa"/>
            <w:vAlign w:val="bottom"/>
            <w:shd w:val="clear" w:color="auto" w:fill="0063A6"/>
          </w:tcPr>
          <w:p>
            <w:pPr>
              <w:spacing w:after="0"/>
              <w:rPr>
                <w:sz w:val="14"/>
                <w:szCs w:val="14"/>
                <w:color w:val="auto"/>
              </w:rPr>
            </w:pP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Vest for</w:t>
            </w:r>
          </w:p>
        </w:tc>
      </w:tr>
      <w:tr>
        <w:trPr>
          <w:trHeight w:val="246"/>
        </w:trPr>
        <w:tc>
          <w:tcPr>
            <w:tcW w:w="30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Company Stock Price Target</w:t>
            </w:r>
          </w:p>
        </w:tc>
        <w:tc>
          <w:tcPr>
            <w:tcW w:w="3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Mr. Houston</w:t>
            </w:r>
          </w:p>
        </w:tc>
      </w:tr>
      <w:tr>
        <w:trPr>
          <w:trHeight w:val="257"/>
        </w:trPr>
        <w:tc>
          <w:tcPr>
            <w:tcW w:w="3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$30.00</w:t>
            </w:r>
          </w:p>
        </w:tc>
        <w:tc>
          <w:tcPr>
            <w:tcW w:w="3020" w:type="dxa"/>
            <w:vAlign w:val="bottom"/>
            <w:shd w:val="clear" w:color="auto" w:fill="F2F2F2"/>
          </w:tcPr>
          <w:p>
            <w:pPr>
              <w:jc w:val="center"/>
              <w:ind w:right="281"/>
              <w:spacing w:after="0"/>
              <w:rPr>
                <w:sz w:val="20"/>
                <w:szCs w:val="20"/>
                <w:color w:val="auto"/>
              </w:rPr>
            </w:pPr>
            <w:r>
              <w:rPr>
                <w:rFonts w:ascii="Arial" w:cs="Arial" w:eastAsia="Arial" w:hAnsi="Arial"/>
                <w:sz w:val="16"/>
                <w:szCs w:val="16"/>
                <w:color w:val="auto"/>
                <w:w w:val="97"/>
              </w:rPr>
              <w:t>2,066,667</w:t>
            </w:r>
            <w:r>
              <w:rPr>
                <w:rFonts w:ascii="Arial" w:cs="Arial" w:eastAsia="Arial" w:hAnsi="Arial"/>
                <w:sz w:val="21"/>
                <w:szCs w:val="21"/>
                <w:color w:val="auto"/>
                <w:w w:val="97"/>
                <w:vertAlign w:val="superscript"/>
              </w:rPr>
              <w:t>(1)</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$37.50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1,033,334</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3"/>
        </w:trPr>
        <w:tc>
          <w:tcPr>
            <w:tcW w:w="3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$45.00</w:t>
            </w:r>
          </w:p>
        </w:tc>
        <w:tc>
          <w:tcPr>
            <w:tcW w:w="3020" w:type="dxa"/>
            <w:vAlign w:val="bottom"/>
            <w:tcBorders>
              <w:bottom w:val="single" w:sz="8" w:color="F2F2F2"/>
            </w:tcBorders>
            <w:shd w:val="clear" w:color="auto" w:fill="F2F2F2"/>
          </w:tcPr>
          <w:p>
            <w:pPr>
              <w:jc w:val="center"/>
              <w:ind w:right="261"/>
              <w:spacing w:after="0"/>
              <w:rPr>
                <w:sz w:val="20"/>
                <w:szCs w:val="20"/>
                <w:color w:val="auto"/>
              </w:rPr>
            </w:pPr>
            <w:r>
              <w:rPr>
                <w:rFonts w:ascii="Arial" w:cs="Arial" w:eastAsia="Arial" w:hAnsi="Arial"/>
                <w:sz w:val="16"/>
                <w:szCs w:val="16"/>
                <w:color w:val="auto"/>
              </w:rPr>
              <w:t>1,033,334</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$52.50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3"/>
        </w:trPr>
        <w:tc>
          <w:tcPr>
            <w:tcW w:w="3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$60.00</w:t>
            </w:r>
          </w:p>
        </w:tc>
        <w:tc>
          <w:tcPr>
            <w:tcW w:w="3020" w:type="dxa"/>
            <w:vAlign w:val="bottom"/>
            <w:tcBorders>
              <w:bottom w:val="single" w:sz="8" w:color="F2F2F2"/>
            </w:tcBorders>
            <w:shd w:val="clear" w:color="auto" w:fill="F2F2F2"/>
          </w:tcPr>
          <w:p>
            <w:pPr>
              <w:jc w:val="center"/>
              <w:ind w:right="261"/>
              <w:spacing w:after="0"/>
              <w:rPr>
                <w:sz w:val="20"/>
                <w:szCs w:val="20"/>
                <w:color w:val="auto"/>
              </w:rPr>
            </w:pPr>
            <w:r>
              <w:rPr>
                <w:rFonts w:ascii="Arial" w:cs="Arial" w:eastAsia="Arial" w:hAnsi="Arial"/>
                <w:sz w:val="16"/>
                <w:szCs w:val="16"/>
                <w:color w:val="auto"/>
              </w:rPr>
              <w:t>1,033,333</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$67.50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3"/>
        </w:trPr>
        <w:tc>
          <w:tcPr>
            <w:tcW w:w="3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$75.00</w:t>
            </w:r>
          </w:p>
        </w:tc>
        <w:tc>
          <w:tcPr>
            <w:tcW w:w="3020" w:type="dxa"/>
            <w:vAlign w:val="bottom"/>
            <w:tcBorders>
              <w:bottom w:val="single" w:sz="8" w:color="F2F2F2"/>
            </w:tcBorders>
            <w:shd w:val="clear" w:color="auto" w:fill="F2F2F2"/>
          </w:tcPr>
          <w:p>
            <w:pPr>
              <w:jc w:val="center"/>
              <w:ind w:right="261"/>
              <w:spacing w:after="0"/>
              <w:rPr>
                <w:sz w:val="20"/>
                <w:szCs w:val="20"/>
                <w:color w:val="auto"/>
              </w:rPr>
            </w:pPr>
            <w:r>
              <w:rPr>
                <w:rFonts w:ascii="Arial" w:cs="Arial" w:eastAsia="Arial" w:hAnsi="Arial"/>
                <w:sz w:val="16"/>
                <w:szCs w:val="16"/>
                <w:color w:val="auto"/>
              </w:rPr>
              <w:t>1,033,333</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$82.50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15"/>
        </w:trPr>
        <w:tc>
          <w:tcPr>
            <w:tcW w:w="3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$90.00</w:t>
            </w:r>
          </w:p>
        </w:tc>
        <w:tc>
          <w:tcPr>
            <w:tcW w:w="3020" w:type="dxa"/>
            <w:vAlign w:val="bottom"/>
            <w:shd w:val="clear" w:color="auto" w:fill="F2F2F2"/>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shd w:val="clear" w:color="auto" w:fill="F2F2F2"/>
          </w:tcPr>
          <w:p>
            <w:pPr>
              <w:spacing w:after="0"/>
              <w:rPr>
                <w:sz w:val="2"/>
                <w:szCs w:val="2"/>
                <w:color w:val="auto"/>
              </w:rPr>
            </w:pPr>
          </w:p>
        </w:tc>
        <w:tc>
          <w:tcPr>
            <w:tcW w:w="3020" w:type="dxa"/>
            <w:vAlign w:val="bottom"/>
            <w:shd w:val="clear" w:color="auto" w:fill="F2F2F2"/>
          </w:tcPr>
          <w:p>
            <w:pPr>
              <w:spacing w:after="0"/>
              <w:rPr>
                <w:sz w:val="2"/>
                <w:szCs w:val="2"/>
                <w:color w:val="auto"/>
              </w:rPr>
            </w:pPr>
          </w:p>
        </w:tc>
      </w:tr>
    </w:tbl>
    <w:p>
      <w:pPr>
        <w:spacing w:after="0" w:line="138"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This tranche was vested and achieved on November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hanging="554"/>
        <w:spacing w:after="0"/>
        <w:tabs>
          <w:tab w:leader="none" w:pos="58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The Performance Period began on January 2, 2019, and ends on the earliest to occur of: (i) the date on which all shares subject to the Co-Founder Grant vests, (ii) the date Mr. Houston ceases to satisfy the service-based vesting condition, and (iii) March 23, 2028 (“</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During 2021, the $30.00 Stock Price Target was achieved and as a result, on November 15, 2021, Mr. Houston vested into 2,066,667 shares. The remaining tranches covering 8,266,666 shares remain outstanding and eligible to vest based on the achievement of the applicable stock price goals and fulfilling the service-based condition. No additional tranches were earned or vested during 2025.</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Welfare and Health Benefits</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a maximum of $6,000 per calendar year.</w:t>
      </w:r>
    </w:p>
    <w:p>
      <w:pPr>
        <w:spacing w:after="0" w:line="12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We intend for the plan to qualify under Section 401(a) of the Internal Revenue Code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so that contributions by participants to the plan, and income earned on plan contributions, are not taxable to participants until withdrawn from the plan.</w:t>
      </w:r>
    </w:p>
    <w:p>
      <w:pPr>
        <w:spacing w:after="0" w:line="10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Additional benefits received by our executive officers include medical, dental, and vision insurance, fertility benefits, an employee assistance program, commuter and wellness reimbursement programs, health and dependent care flexible spending accounts, health savings accounts, basic and voluntary life and accidental death and dismemberment insurance and disability insurance. All of these benefits are provided to our executive officers on the same basis as to all of our employees.</w:t>
      </w:r>
    </w:p>
    <w:p>
      <w:pPr>
        <w:spacing w:after="0" w:line="131"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changes to the working arrangements of our employees and the competitive market.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Perquisites and Other Personal Benefits</w:t>
      </w:r>
    </w:p>
    <w:p>
      <w:pPr>
        <w:spacing w:after="0" w:line="16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except as generally made available to our employees, or in situations where we believe it is appropriate to assist an individual in the performance of their duties, to make him or her more efficient and effective, and for recruitment and retention purposes.</w:t>
      </w:r>
    </w:p>
    <w:p>
      <w:pPr>
        <w:spacing w:after="0" w:line="1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2025, the talent and compensation committee approved the continued provision of security measures for Mr. Houston. We consider the security measures provided to Mr. Houston to be reasonable and necessary expenses for the benefit of the company and not a personal benefit. However, in accordance with SEC disclosure rules, the aggregate incremental cost of these services is reported in the “</w:t>
      </w:r>
      <w:r>
        <w:rPr>
          <w:rFonts w:ascii="Arial" w:cs="Arial" w:eastAsia="Arial" w:hAnsi="Arial"/>
          <w:sz w:val="16"/>
          <w:szCs w:val="16"/>
          <w:i w:val="1"/>
          <w:iCs w:val="1"/>
          <w:color w:val="auto"/>
        </w:rPr>
        <w:t>Summary Compensation Table for Fiscal Year 2025</w:t>
      </w:r>
      <w:r>
        <w:rPr>
          <w:rFonts w:ascii="Arial" w:cs="Arial" w:eastAsia="Arial" w:hAnsi="Arial"/>
          <w:sz w:val="16"/>
          <w:szCs w:val="16"/>
          <w:color w:val="auto"/>
        </w:rPr>
        <w:t>.” The talent and compensation committee periodically reviews the nature and cost of this program in relation to Mr. Houston’s security profile. In connection with this review, in August 2025, the talent and compensation committee approved Mr. Houston's participation in a security program with an annual limit of $605,000. The talent and compensation committee later approved an increase to this annual limit to $610,222 to reflect the actual cost of the security services for Mr. Houston in 2025.</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paragraphs. All future practices with respect to perquisites or other personal benefits will be approved and subject to periodic review by the talent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Stock Ownership Guidelines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talent and compensation committee of our board adopted stock ownership guidelines for our independent directors and executive officers, including our Chief Executive Officer. Under these guidelines (i) our Chief Executive Officer is required to acquire and own stock or stock equivalents in an amount equal to five times his annual base salary and (ii) our executive officers (other than our Chief Executive Officer) are required to acquire and own stock or stock equivalents in an amount equal to two times their base annual salary.</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For these purposes, owned stock includes shares of stock owned directly or indirectly by the covered individual, but does not include unexercised, unvested or unearned equity awards (including unexercised stock options). Executive officers (including our Chief Executive Officer) are required to meet the applicable ownership requirements within five years of the later of (i) December 1, 2023 or (ii) such executive officer's hire, appointment, promotion or election date, as applicable.</w:t>
      </w:r>
    </w:p>
    <w:p>
      <w:pPr>
        <w:spacing w:after="0" w:line="12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At the end of fiscal 2025, all of our then-current named executive officers have met, exceeded, or are on track to meet, these guidelines based on their current rate of stock accumulations in the time frames set out in the stock ownership guidelines.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Practices with Regard to Timing of Equity Awards</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board and the talent and compensation committee of our board does not take material nonpublic information into account when determining the timing and terms of equity grants. We do not have a policy or practice to time equity grants based on the release of material non-public information. We did not grant stock options to any of our named executive officers in 2025 and have never granted stock appreciation rights.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Compensation Recovery Policy</w:t>
      </w:r>
    </w:p>
    <w:p>
      <w:pPr>
        <w:spacing w:after="0" w:line="16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August 2023, the talent and compensation committee adopted a compensation recovery ("</w:t>
      </w:r>
      <w:r>
        <w:rPr>
          <w:rFonts w:ascii="Arial" w:cs="Arial" w:eastAsia="Arial" w:hAnsi="Arial"/>
          <w:sz w:val="16"/>
          <w:szCs w:val="16"/>
          <w:b w:val="1"/>
          <w:bCs w:val="1"/>
          <w:i w:val="1"/>
          <w:iCs w:val="1"/>
          <w:color w:val="auto"/>
        </w:rPr>
        <w:t>clawback</w:t>
      </w:r>
      <w:r>
        <w:rPr>
          <w:rFonts w:ascii="Arial" w:cs="Arial" w:eastAsia="Arial" w:hAnsi="Arial"/>
          <w:sz w:val="16"/>
          <w:szCs w:val="16"/>
          <w:color w:val="auto"/>
        </w:rPr>
        <w:t>") policy in compliance with Nasdaq and SEC requirements. Consistent with the requirements, for compensation received after October 2, 2023 and during the applicable covered period (which generally includes the three completed fiscal years prior to the restatement date), the clawback policy requires the company to recover excess incentive-based compensation from current and former executives that is granted, earned or vested based upon the attainment of a financial reporting measure in the event of an accounting restatement due to material non-compliance with any financial reporting requirement under U.S. securities laws that was in excess of what would have been received had the incentive-based compensation been determined based on the restated amounts.</w:t>
      </w: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color w:val="0063A6"/>
        </w:rPr>
        <w:t>Employment Arrangements</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entered into written employment letters with our Chief Executive Officer and each of our other executive officers. Each of these arrangements was approved on our behalf by the talent and compensation committee or our board of directors.</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filling each of our executive positions, our board of directors or the talent and compensation committee, as applicable, recognized that we would need to develop competitive compensation packages to attract qualified candidates in a dynamic labor market. At the same time, our board of directors and the talent and compensation committee were sensitive to the need to integrate new executive officers into the executive compensation structure, balancing both competitive and internal equity considerations.</w:t>
      </w:r>
    </w:p>
    <w:p>
      <w:pPr>
        <w:spacing w:after="0" w:line="1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2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executive officers are also eligible to enter into change in control and severance agreements with the company. These post-employment compensation terms are discussed in “</w:t>
      </w:r>
      <w:r>
        <w:rPr>
          <w:rFonts w:ascii="Arial" w:cs="Arial" w:eastAsia="Arial" w:hAnsi="Arial"/>
          <w:sz w:val="16"/>
          <w:szCs w:val="16"/>
          <w:i w:val="1"/>
          <w:iCs w:val="1"/>
          <w:color w:val="auto"/>
        </w:rPr>
        <w:t>Post-Employment Compensation</w:t>
      </w:r>
      <w:r>
        <w:rPr>
          <w:rFonts w:ascii="Arial" w:cs="Arial" w:eastAsia="Arial" w:hAnsi="Arial"/>
          <w:sz w:val="16"/>
          <w:szCs w:val="16"/>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0" w:hanging="554"/>
        <w:spacing w:after="0"/>
        <w:tabs>
          <w:tab w:leader="none" w:pos="580"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Post-Employment Compensation</w:t>
      </w:r>
    </w:p>
    <w:p>
      <w:pPr>
        <w:spacing w:after="0" w:line="21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fiduciary duties under Nevada law. The terms and conditions were approved by our board of directors after an analysis of competitive market data.</w:t>
      </w:r>
    </w:p>
    <w:p>
      <w:pPr>
        <w:spacing w:after="0" w:line="11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Mr. Houston’s Co-Founder Grant (as described below) is eligible to vest in connection with our acquisition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the section titled “</w:t>
      </w:r>
      <w:r>
        <w:rPr>
          <w:rFonts w:ascii="Arial" w:cs="Arial" w:eastAsia="Arial" w:hAnsi="Arial"/>
          <w:sz w:val="16"/>
          <w:szCs w:val="16"/>
          <w:i w:val="1"/>
          <w:iCs w:val="1"/>
          <w:color w:val="auto"/>
        </w:rPr>
        <w:t>Potential Payments on Termination or</w:t>
      </w:r>
      <w:r>
        <w:rPr>
          <w:rFonts w:ascii="Arial" w:cs="Arial" w:eastAsia="Arial" w:hAnsi="Arial"/>
          <w:sz w:val="16"/>
          <w:szCs w:val="16"/>
          <w:color w:val="auto"/>
        </w:rPr>
        <w:t xml:space="preserve"> </w:t>
      </w:r>
      <w:r>
        <w:rPr>
          <w:rFonts w:ascii="Arial" w:cs="Arial" w:eastAsia="Arial" w:hAnsi="Arial"/>
          <w:sz w:val="16"/>
          <w:szCs w:val="16"/>
          <w:i w:val="1"/>
          <w:iCs w:val="1"/>
          <w:color w:val="auto"/>
        </w:rPr>
        <w:t>Change in Control</w:t>
      </w:r>
      <w:r>
        <w:rPr>
          <w:rFonts w:ascii="Arial" w:cs="Arial" w:eastAsia="Arial" w:hAnsi="Arial"/>
          <w:sz w:val="16"/>
          <w:szCs w:val="16"/>
          <w:color w:val="auto"/>
        </w:rPr>
        <w:t>” below for additional details.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Hedging and Pledging Prohibitions</w:t>
      </w:r>
    </w:p>
    <w:p>
      <w:pPr>
        <w:spacing w:after="0" w:line="15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350" w:lineRule="exact"/>
        <w:rPr>
          <w:sz w:val="20"/>
          <w:szCs w:val="20"/>
          <w:color w:val="auto"/>
        </w:rPr>
      </w:pPr>
    </w:p>
    <w:p>
      <w:pPr>
        <w:spacing w:after="0"/>
        <w:rPr>
          <w:sz w:val="20"/>
          <w:szCs w:val="20"/>
          <w:color w:val="auto"/>
        </w:rPr>
      </w:pPr>
      <w:r>
        <w:rPr>
          <w:rFonts w:ascii="Arial" w:cs="Arial" w:eastAsia="Arial" w:hAnsi="Arial"/>
          <w:sz w:val="26"/>
          <w:szCs w:val="26"/>
          <w:color w:val="0063A6"/>
        </w:rPr>
        <w:t>Tax and Accounting Considerations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take the applicable tax and accounting requirements into consideration in designing and operating our executive compensation program.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Deductibility of Executive Compensation</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including certain compensation paid pursuant to a compensation plan in existence before the effective date of our initial public offering.</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talent and compensation committee has not adopted a policy that all equity or other compensation must be deductible. In approving the amount and form of compensation for our executive officers, the talent and compensation committee considers all elements of our cost of providing such compensation, including the potential impact of Section 162(m) of the Code. The talent and compensation committee may, in its judgment, approve compensation that may not be deductible for federal income tax purposes when it believes that such compensation is in our best interests and the best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Taxation of Parachute Payments and Deferred Compensation</w:t>
      </w:r>
    </w:p>
    <w:p>
      <w:pPr>
        <w:spacing w:after="0" w:line="16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Accounting for Stock-Based Compensation</w:t>
      </w:r>
    </w:p>
    <w:p>
      <w:pPr>
        <w:spacing w:after="0" w:line="15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talent and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restricted stock units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estimated the grant date fair value of Mr. Houston’s Co-Founder Grant using a model based on multiple stock price paths developed through the use of a Monte Carlo simulation that incorporates into the valuation the possibility that the Stock Price Targets may not be satisfied. The average grant date fair value of the Co-Founder Grant was estimated to be $10.60 per share, and we will recognize total stock-based compensation expense of $109.6 million over the requisite service period of each tranche, which ranged from 2.9 to 6.9 years, using the accelerated attribution method. As of December 31, 2024, Mr. Houston's Co-Founder Grant has been fully recognized, and no further stock-based compensation expense related to the Co-Founder Grant remains.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Co-Founder Grant, whereby vesting is contingent on meeting certain market conditions was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140970</wp:posOffset>
            </wp:positionV>
            <wp:extent cx="17145" cy="12344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 cy="123444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Grant date</w:t>
            </w:r>
          </w:p>
        </w:tc>
        <w:tc>
          <w:tcPr>
            <w:tcW w:w="5840" w:type="dxa"/>
            <w:vAlign w:val="bottom"/>
            <w:shd w:val="clear" w:color="auto" w:fill="F2F2F2"/>
          </w:tcPr>
          <w:p>
            <w:pPr>
              <w:jc w:val="center"/>
              <w:ind w:left="159"/>
              <w:spacing w:after="0"/>
              <w:rPr>
                <w:sz w:val="20"/>
                <w:szCs w:val="20"/>
                <w:color w:val="auto"/>
              </w:rPr>
            </w:pPr>
            <w:r>
              <w:rPr>
                <w:rFonts w:ascii="Arial" w:cs="Arial" w:eastAsia="Arial" w:hAnsi="Arial"/>
                <w:sz w:val="16"/>
                <w:szCs w:val="16"/>
                <w:color w:val="auto"/>
                <w:w w:val="99"/>
              </w:rPr>
              <w:t>12/12/2017</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Expected IPO date</w:t>
            </w:r>
          </w:p>
        </w:tc>
        <w:tc>
          <w:tcPr>
            <w:tcW w:w="5840" w:type="dxa"/>
            <w:vAlign w:val="bottom"/>
          </w:tcPr>
          <w:p>
            <w:pPr>
              <w:jc w:val="center"/>
              <w:ind w:left="159"/>
              <w:spacing w:after="0"/>
              <w:rPr>
                <w:sz w:val="20"/>
                <w:szCs w:val="20"/>
                <w:color w:val="auto"/>
              </w:rPr>
            </w:pPr>
            <w:r>
              <w:rPr>
                <w:rFonts w:ascii="Arial" w:cs="Arial" w:eastAsia="Arial" w:hAnsi="Arial"/>
                <w:sz w:val="16"/>
                <w:szCs w:val="16"/>
                <w:color w:val="auto"/>
              </w:rPr>
              <w:t>3/31/2018</w:t>
            </w:r>
          </w:p>
        </w:tc>
      </w:tr>
      <w:tr>
        <w:trPr>
          <w:trHeight w:val="20"/>
        </w:trPr>
        <w:tc>
          <w:tcPr>
            <w:tcW w:w="5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3"/>
        </w:trPr>
        <w:tc>
          <w:tcPr>
            <w:tcW w:w="54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Lock-up period</w:t>
            </w:r>
          </w:p>
        </w:tc>
        <w:tc>
          <w:tcPr>
            <w:tcW w:w="5840" w:type="dxa"/>
            <w:vAlign w:val="bottom"/>
            <w:tcBorders>
              <w:bottom w:val="single" w:sz="8" w:color="F2F2F2"/>
            </w:tcBorders>
            <w:shd w:val="clear" w:color="auto" w:fill="F2F2F2"/>
          </w:tcPr>
          <w:p>
            <w:pPr>
              <w:jc w:val="center"/>
              <w:ind w:left="159"/>
              <w:spacing w:after="0"/>
              <w:rPr>
                <w:sz w:val="20"/>
                <w:szCs w:val="20"/>
                <w:color w:val="auto"/>
              </w:rPr>
            </w:pPr>
            <w:r>
              <w:rPr>
                <w:rFonts w:ascii="Arial" w:cs="Arial" w:eastAsia="Arial" w:hAnsi="Arial"/>
                <w:sz w:val="16"/>
                <w:szCs w:val="16"/>
                <w:color w:val="auto"/>
              </w:rPr>
              <w:t>1/1/2019</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Expiration date</w:t>
            </w:r>
          </w:p>
        </w:tc>
        <w:tc>
          <w:tcPr>
            <w:tcW w:w="5840" w:type="dxa"/>
            <w:vAlign w:val="bottom"/>
          </w:tcPr>
          <w:p>
            <w:pPr>
              <w:jc w:val="center"/>
              <w:ind w:left="159"/>
              <w:spacing w:after="0"/>
              <w:rPr>
                <w:sz w:val="20"/>
                <w:szCs w:val="20"/>
                <w:color w:val="auto"/>
              </w:rPr>
            </w:pPr>
            <w:r>
              <w:rPr>
                <w:rFonts w:ascii="Arial" w:cs="Arial" w:eastAsia="Arial" w:hAnsi="Arial"/>
                <w:sz w:val="16"/>
                <w:szCs w:val="16"/>
                <w:color w:val="auto"/>
              </w:rPr>
              <w:t>3/31/2028</w:t>
            </w:r>
          </w:p>
        </w:tc>
      </w:tr>
      <w:tr>
        <w:trPr>
          <w:trHeight w:val="20"/>
        </w:trPr>
        <w:tc>
          <w:tcPr>
            <w:tcW w:w="5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3"/>
        </w:trPr>
        <w:tc>
          <w:tcPr>
            <w:tcW w:w="54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Grant price</w:t>
            </w:r>
          </w:p>
        </w:tc>
        <w:tc>
          <w:tcPr>
            <w:tcW w:w="5840" w:type="dxa"/>
            <w:vAlign w:val="bottom"/>
            <w:tcBorders>
              <w:bottom w:val="single" w:sz="8" w:color="F2F2F2"/>
            </w:tcBorders>
            <w:shd w:val="clear" w:color="auto" w:fill="F2F2F2"/>
          </w:tcPr>
          <w:p>
            <w:pPr>
              <w:jc w:val="center"/>
              <w:ind w:left="159"/>
              <w:spacing w:after="0"/>
              <w:rPr>
                <w:sz w:val="20"/>
                <w:szCs w:val="20"/>
                <w:color w:val="auto"/>
              </w:rPr>
            </w:pPr>
            <w:r>
              <w:rPr>
                <w:rFonts w:ascii="Arial" w:cs="Arial" w:eastAsia="Arial" w:hAnsi="Arial"/>
                <w:sz w:val="16"/>
                <w:szCs w:val="16"/>
                <w:color w:val="auto"/>
                <w:w w:val="98"/>
              </w:rPr>
              <w:t>$17.15</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Expected volatility</w:t>
            </w:r>
          </w:p>
        </w:tc>
        <w:tc>
          <w:tcPr>
            <w:tcW w:w="5840" w:type="dxa"/>
            <w:vAlign w:val="bottom"/>
          </w:tcPr>
          <w:p>
            <w:pPr>
              <w:jc w:val="center"/>
              <w:ind w:left="139"/>
              <w:spacing w:after="0"/>
              <w:rPr>
                <w:sz w:val="20"/>
                <w:szCs w:val="20"/>
                <w:color w:val="auto"/>
              </w:rPr>
            </w:pPr>
            <w:r>
              <w:rPr>
                <w:rFonts w:ascii="Arial" w:cs="Arial" w:eastAsia="Arial" w:hAnsi="Arial"/>
                <w:sz w:val="16"/>
                <w:szCs w:val="16"/>
                <w:color w:val="auto"/>
              </w:rPr>
              <w:t>40.0%</w:t>
            </w:r>
          </w:p>
        </w:tc>
      </w:tr>
      <w:tr>
        <w:trPr>
          <w:trHeight w:val="20"/>
        </w:trPr>
        <w:tc>
          <w:tcPr>
            <w:tcW w:w="5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3"/>
        </w:trPr>
        <w:tc>
          <w:tcPr>
            <w:tcW w:w="54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Risk-free interest rate (continuous)</w:t>
            </w:r>
          </w:p>
        </w:tc>
        <w:tc>
          <w:tcPr>
            <w:tcW w:w="5840" w:type="dxa"/>
            <w:vAlign w:val="bottom"/>
            <w:tcBorders>
              <w:bottom w:val="single" w:sz="8" w:color="F2F2F2"/>
            </w:tcBorders>
            <w:shd w:val="clear" w:color="auto" w:fill="F2F2F2"/>
          </w:tcPr>
          <w:p>
            <w:pPr>
              <w:jc w:val="center"/>
              <w:ind w:left="139"/>
              <w:spacing w:after="0"/>
              <w:rPr>
                <w:sz w:val="20"/>
                <w:szCs w:val="20"/>
                <w:color w:val="auto"/>
              </w:rPr>
            </w:pPr>
            <w:r>
              <w:rPr>
                <w:rFonts w:ascii="Arial" w:cs="Arial" w:eastAsia="Arial" w:hAnsi="Arial"/>
                <w:sz w:val="16"/>
                <w:szCs w:val="16"/>
                <w:color w:val="auto"/>
              </w:rPr>
              <w:t>2.38%</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Expected dividends</w:t>
            </w:r>
          </w:p>
        </w:tc>
        <w:tc>
          <w:tcPr>
            <w:tcW w:w="5840" w:type="dxa"/>
            <w:vAlign w:val="bottom"/>
          </w:tcPr>
          <w:p>
            <w:pPr>
              <w:jc w:val="center"/>
              <w:ind w:left="159"/>
              <w:spacing w:after="0"/>
              <w:rPr>
                <w:sz w:val="20"/>
                <w:szCs w:val="20"/>
                <w:color w:val="auto"/>
              </w:rPr>
            </w:pPr>
            <w:r>
              <w:rPr>
                <w:rFonts w:ascii="Arial" w:cs="Arial" w:eastAsia="Arial" w:hAnsi="Arial"/>
                <w:sz w:val="16"/>
                <w:szCs w:val="16"/>
                <w:color w:val="auto"/>
              </w:rPr>
              <w:t>0%</w:t>
            </w:r>
          </w:p>
        </w:tc>
      </w:tr>
    </w:tbl>
    <w:p>
      <w:pPr>
        <w:spacing w:after="0" w:line="23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i w:val="1"/>
          <w:iCs w:val="1"/>
          <w:color w:val="auto"/>
        </w:rPr>
        <w:t xml:space="preserve">Expected grant date, expected IPO date, lock-up period, and expiration date. </w:t>
      </w:r>
      <w:r>
        <w:rPr>
          <w:rFonts w:ascii="Arial" w:cs="Arial" w:eastAsia="Arial" w:hAnsi="Arial"/>
          <w:sz w:val="16"/>
          <w:szCs w:val="16"/>
          <w:color w:val="auto"/>
        </w:rPr>
        <w:t>The Grant Date, expected IPO date, and the expiration of the lock-up period</w:t>
      </w:r>
      <w:r>
        <w:rPr>
          <w:rFonts w:ascii="Arial" w:cs="Arial" w:eastAsia="Arial" w:hAnsi="Arial"/>
          <w:sz w:val="16"/>
          <w:szCs w:val="16"/>
          <w:i w:val="1"/>
          <w:iCs w:val="1"/>
          <w:color w:val="auto"/>
        </w:rPr>
        <w:t xml:space="preserve"> </w:t>
      </w:r>
      <w:r>
        <w:rPr>
          <w:rFonts w:ascii="Arial" w:cs="Arial" w:eastAsia="Arial" w:hAnsi="Arial"/>
          <w:sz w:val="16"/>
          <w:szCs w:val="16"/>
          <w:color w:val="auto"/>
        </w:rPr>
        <w:t>were estimates at the time of the valuation and correspond to the terms defined in the Restricted Stock Award Agreement.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Grant price. </w:t>
      </w:r>
      <w:r>
        <w:rPr>
          <w:rFonts w:ascii="Arial" w:cs="Arial" w:eastAsia="Arial" w:hAnsi="Arial"/>
          <w:sz w:val="16"/>
          <w:szCs w:val="16"/>
          <w:color w:val="auto"/>
        </w:rPr>
        <w:t>The grant price is based on the valuation of Common Stock as of December 12, 2017.</w:t>
      </w:r>
    </w:p>
    <w:p>
      <w:pPr>
        <w:spacing w:after="0" w:line="167"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Expected volatility is based on the average of the implied volatility of the longer at-the-money call option and the annualized daily return</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over the greater of the trading history or the term for each one of the guideline companies. The concluded volatility is then based on the median of the comparable companies.</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interpolated based on the U.S. Treasury rates sourced from S&amp;P Capital IQ with a term commensurate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remaining performance period.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The company has not paid and does not expect to pay dividends. Consequently, the company uses an expected dividend yield of zero.</w:t>
      </w:r>
    </w:p>
    <w:p>
      <w:pPr>
        <w:spacing w:after="0" w:line="200" w:lineRule="exact"/>
        <w:rPr>
          <w:sz w:val="20"/>
          <w:szCs w:val="20"/>
          <w:color w:val="auto"/>
        </w:rPr>
      </w:pPr>
    </w:p>
    <w:p>
      <w:pPr>
        <w:spacing w:after="0" w:line="350" w:lineRule="exact"/>
        <w:rPr>
          <w:sz w:val="20"/>
          <w:szCs w:val="20"/>
          <w:color w:val="auto"/>
        </w:rPr>
      </w:pPr>
    </w:p>
    <w:p>
      <w:pPr>
        <w:ind w:left="580" w:hanging="554"/>
        <w:spacing w:after="0"/>
        <w:tabs>
          <w:tab w:leader="none" w:pos="58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Report of the Compensation Committee</w:t>
      </w: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talent and compensation committee has reviewed and discussed with management the Compensation Discussion and Analysis provided above. Based on its review and discussions, the talent and compensation committee recommended to the board of directors that the Compensation Discussion and Analysis be included in this proxy statement and Dropbox’s Annual Report on Form 10-K for our fiscal year ended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talent and compensation committee of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Paul E. Jacobs*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Abhay Parasnis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Karen Peacock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Seibel</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 Dr. Jacobs joined the talent and compensation committee in May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Risk Assessment</w:t>
      </w:r>
    </w:p>
    <w:p>
      <w:pPr>
        <w:spacing w:after="0" w:line="21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management regularly assesses and discusses with the talent and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2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pacing w:after="0" w:line="200" w:lineRule="exact"/>
        <w:rPr>
          <w:sz w:val="20"/>
          <w:szCs w:val="20"/>
          <w:color w:val="auto"/>
        </w:rPr>
      </w:pPr>
    </w:p>
    <w:p>
      <w:pPr>
        <w:spacing w:after="0" w:line="325" w:lineRule="exact"/>
        <w:rPr>
          <w:sz w:val="20"/>
          <w:szCs w:val="20"/>
          <w:color w:val="auto"/>
        </w:rPr>
      </w:pPr>
    </w:p>
    <w:p>
      <w:pPr>
        <w:ind w:left="580" w:hanging="554"/>
        <w:spacing w:after="0"/>
        <w:tabs>
          <w:tab w:leader="none" w:pos="58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Summary Compensation Table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149465" cy="3446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4"/>
        </w:trPr>
        <w:tc>
          <w:tcPr>
            <w:tcW w:w="2660" w:type="dxa"/>
            <w:vAlign w:val="bottom"/>
            <w:shd w:val="clear" w:color="auto" w:fill="0063A6"/>
          </w:tcPr>
          <w:p>
            <w:pPr>
              <w:spacing w:after="0"/>
              <w:rPr>
                <w:sz w:val="4"/>
                <w:szCs w:val="4"/>
                <w:color w:val="auto"/>
              </w:rPr>
            </w:pPr>
          </w:p>
        </w:tc>
        <w:tc>
          <w:tcPr>
            <w:tcW w:w="720" w:type="dxa"/>
            <w:vAlign w:val="bottom"/>
            <w:tcBorders>
              <w:right w:val="single" w:sz="8" w:color="0063A6"/>
            </w:tcBorders>
            <w:shd w:val="clear" w:color="auto" w:fill="0063A6"/>
          </w:tcPr>
          <w:p>
            <w:pPr>
              <w:spacing w:after="0"/>
              <w:rPr>
                <w:sz w:val="4"/>
                <w:szCs w:val="4"/>
                <w:color w:val="auto"/>
              </w:rPr>
            </w:pPr>
          </w:p>
        </w:tc>
        <w:tc>
          <w:tcPr>
            <w:tcW w:w="880" w:type="dxa"/>
            <w:vAlign w:val="bottom"/>
            <w:shd w:val="clear" w:color="auto" w:fill="0063A6"/>
          </w:tcPr>
          <w:p>
            <w:pPr>
              <w:spacing w:after="0"/>
              <w:rPr>
                <w:sz w:val="4"/>
                <w:szCs w:val="4"/>
                <w:color w:val="auto"/>
              </w:rPr>
            </w:pPr>
          </w:p>
        </w:tc>
        <w:tc>
          <w:tcPr>
            <w:tcW w:w="800" w:type="dxa"/>
            <w:vAlign w:val="bottom"/>
            <w:shd w:val="clear" w:color="auto" w:fill="0063A6"/>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shd w:val="clear" w:color="auto" w:fill="0063A6"/>
          </w:tcPr>
          <w:p>
            <w:pPr>
              <w:spacing w:after="0"/>
              <w:rPr>
                <w:sz w:val="4"/>
                <w:szCs w:val="4"/>
                <w:color w:val="auto"/>
              </w:rPr>
            </w:pPr>
          </w:p>
        </w:tc>
        <w:tc>
          <w:tcPr>
            <w:tcW w:w="40" w:type="dxa"/>
            <w:vAlign w:val="bottom"/>
            <w:shd w:val="clear" w:color="auto" w:fill="0063A6"/>
          </w:tcPr>
          <w:p>
            <w:pPr>
              <w:spacing w:after="0"/>
              <w:rPr>
                <w:sz w:val="4"/>
                <w:szCs w:val="4"/>
                <w:color w:val="auto"/>
              </w:rPr>
            </w:pPr>
          </w:p>
        </w:tc>
        <w:tc>
          <w:tcPr>
            <w:tcW w:w="980" w:type="dxa"/>
            <w:vAlign w:val="bottom"/>
            <w:tcBorders>
              <w:right w:val="single" w:sz="8" w:color="0063A6"/>
            </w:tcBorders>
            <w:shd w:val="clear" w:color="auto" w:fill="0063A6"/>
          </w:tcPr>
          <w:p>
            <w:pPr>
              <w:spacing w:after="0"/>
              <w:rPr>
                <w:sz w:val="4"/>
                <w:szCs w:val="4"/>
                <w:color w:val="auto"/>
              </w:rPr>
            </w:pPr>
          </w:p>
        </w:tc>
        <w:tc>
          <w:tcPr>
            <w:tcW w:w="400" w:type="dxa"/>
            <w:vAlign w:val="bottom"/>
            <w:shd w:val="clear" w:color="auto" w:fill="0063A6"/>
          </w:tcPr>
          <w:p>
            <w:pPr>
              <w:spacing w:after="0"/>
              <w:rPr>
                <w:sz w:val="4"/>
                <w:szCs w:val="4"/>
                <w:color w:val="auto"/>
              </w:rPr>
            </w:pPr>
          </w:p>
        </w:tc>
        <w:tc>
          <w:tcPr>
            <w:tcW w:w="132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Non-equity</w:t>
            </w:r>
          </w:p>
        </w:tc>
        <w:tc>
          <w:tcPr>
            <w:tcW w:w="40" w:type="dxa"/>
            <w:vAlign w:val="bottom"/>
            <w:tcBorders>
              <w:right w:val="single" w:sz="8" w:color="0063A6"/>
            </w:tcBorders>
            <w:shd w:val="clear" w:color="auto" w:fill="0063A6"/>
          </w:tcPr>
          <w:p>
            <w:pPr>
              <w:spacing w:after="0"/>
              <w:rPr>
                <w:sz w:val="4"/>
                <w:szCs w:val="4"/>
                <w:color w:val="auto"/>
              </w:rPr>
            </w:pPr>
          </w:p>
        </w:tc>
        <w:tc>
          <w:tcPr>
            <w:tcW w:w="1360" w:type="dxa"/>
            <w:vAlign w:val="bottom"/>
            <w:tcBorders>
              <w:right w:val="single" w:sz="8" w:color="0063A6"/>
            </w:tcBorders>
            <w:shd w:val="clear" w:color="auto" w:fill="0063A6"/>
          </w:tcPr>
          <w:p>
            <w:pPr>
              <w:spacing w:after="0"/>
              <w:rPr>
                <w:sz w:val="4"/>
                <w:szCs w:val="4"/>
                <w:color w:val="auto"/>
              </w:rPr>
            </w:pPr>
          </w:p>
        </w:tc>
        <w:tc>
          <w:tcPr>
            <w:tcW w:w="360" w:type="dxa"/>
            <w:vAlign w:val="bottom"/>
            <w:tcBorders>
              <w:right w:val="single" w:sz="8" w:color="0063A6"/>
            </w:tcBorders>
            <w:shd w:val="clear" w:color="auto" w:fill="0063A6"/>
          </w:tcPr>
          <w:p>
            <w:pPr>
              <w:spacing w:after="0"/>
              <w:rPr>
                <w:sz w:val="4"/>
                <w:szCs w:val="4"/>
                <w:color w:val="auto"/>
              </w:rPr>
            </w:pPr>
          </w:p>
        </w:tc>
        <w:tc>
          <w:tcPr>
            <w:tcW w:w="1340" w:type="dxa"/>
            <w:vAlign w:val="bottom"/>
            <w:shd w:val="clear" w:color="auto" w:fill="0063A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0063A6"/>
          </w:tcPr>
          <w:p>
            <w:pPr>
              <w:spacing w:after="0"/>
              <w:rPr>
                <w:sz w:val="14"/>
                <w:szCs w:val="14"/>
                <w:color w:val="auto"/>
              </w:rPr>
            </w:pPr>
          </w:p>
        </w:tc>
        <w:tc>
          <w:tcPr>
            <w:tcW w:w="720" w:type="dxa"/>
            <w:vAlign w:val="bottom"/>
            <w:tcBorders>
              <w:right w:val="single" w:sz="8" w:color="0063A6"/>
            </w:tcBorders>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40" w:type="dxa"/>
            <w:vAlign w:val="bottom"/>
            <w:shd w:val="clear" w:color="auto" w:fill="0063A6"/>
          </w:tcPr>
          <w:p>
            <w:pPr>
              <w:spacing w:after="0"/>
              <w:rPr>
                <w:sz w:val="14"/>
                <w:szCs w:val="14"/>
                <w:color w:val="auto"/>
              </w:rPr>
            </w:pPr>
          </w:p>
        </w:tc>
        <w:tc>
          <w:tcPr>
            <w:tcW w:w="980" w:type="dxa"/>
            <w:vAlign w:val="bottom"/>
            <w:tcBorders>
              <w:right w:val="single" w:sz="8" w:color="0063A6"/>
            </w:tcBorders>
            <w:shd w:val="clear" w:color="auto" w:fill="0063A6"/>
          </w:tcPr>
          <w:p>
            <w:pPr>
              <w:spacing w:after="0"/>
              <w:rPr>
                <w:sz w:val="14"/>
                <w:szCs w:val="14"/>
                <w:color w:val="auto"/>
              </w:rPr>
            </w:pPr>
          </w:p>
        </w:tc>
        <w:tc>
          <w:tcPr>
            <w:tcW w:w="400" w:type="dxa"/>
            <w:vAlign w:val="bottom"/>
            <w:shd w:val="clear" w:color="auto" w:fill="0063A6"/>
          </w:tcPr>
          <w:p>
            <w:pPr>
              <w:spacing w:after="0"/>
              <w:rPr>
                <w:sz w:val="14"/>
                <w:szCs w:val="14"/>
                <w:color w:val="auto"/>
              </w:rPr>
            </w:pPr>
          </w:p>
        </w:tc>
        <w:tc>
          <w:tcPr>
            <w:tcW w:w="1320" w:type="dxa"/>
            <w:vAlign w:val="bottom"/>
            <w:vMerge w:val="continue"/>
            <w:shd w:val="clear" w:color="auto" w:fill="0063A6"/>
          </w:tcPr>
          <w:p>
            <w:pPr>
              <w:spacing w:after="0"/>
              <w:rPr>
                <w:sz w:val="14"/>
                <w:szCs w:val="14"/>
                <w:color w:val="auto"/>
              </w:rPr>
            </w:pPr>
          </w:p>
        </w:tc>
        <w:tc>
          <w:tcPr>
            <w:tcW w:w="40" w:type="dxa"/>
            <w:vAlign w:val="bottom"/>
            <w:tcBorders>
              <w:right w:val="single" w:sz="8" w:color="0063A6"/>
            </w:tcBorders>
            <w:shd w:val="clear" w:color="auto" w:fill="0063A6"/>
          </w:tcPr>
          <w:p>
            <w:pPr>
              <w:spacing w:after="0"/>
              <w:rPr>
                <w:sz w:val="14"/>
                <w:szCs w:val="14"/>
                <w:color w:val="auto"/>
              </w:rPr>
            </w:pPr>
          </w:p>
        </w:tc>
        <w:tc>
          <w:tcPr>
            <w:tcW w:w="1360" w:type="dxa"/>
            <w:vAlign w:val="bottom"/>
            <w:tcBorders>
              <w:right w:val="single" w:sz="8" w:color="0063A6"/>
            </w:tcBorders>
            <w:shd w:val="clear" w:color="auto" w:fill="0063A6"/>
          </w:tcPr>
          <w:p>
            <w:pPr>
              <w:spacing w:after="0"/>
              <w:rPr>
                <w:sz w:val="14"/>
                <w:szCs w:val="14"/>
                <w:color w:val="auto"/>
              </w:rPr>
            </w:pPr>
          </w:p>
        </w:tc>
        <w:tc>
          <w:tcPr>
            <w:tcW w:w="360" w:type="dxa"/>
            <w:vAlign w:val="bottom"/>
            <w:tcBorders>
              <w:right w:val="single" w:sz="8" w:color="0063A6"/>
            </w:tcBorders>
            <w:shd w:val="clear" w:color="auto" w:fill="0063A6"/>
          </w:tcPr>
          <w:p>
            <w:pPr>
              <w:spacing w:after="0"/>
              <w:rPr>
                <w:sz w:val="14"/>
                <w:szCs w:val="14"/>
                <w:color w:val="auto"/>
              </w:rPr>
            </w:pPr>
          </w:p>
        </w:tc>
        <w:tc>
          <w:tcPr>
            <w:tcW w:w="1340" w:type="dxa"/>
            <w:vAlign w:val="bottom"/>
            <w:shd w:val="clear" w:color="auto" w:fill="0063A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0063A6"/>
          </w:tcPr>
          <w:p>
            <w:pPr>
              <w:spacing w:after="0"/>
              <w:rPr>
                <w:sz w:val="14"/>
                <w:szCs w:val="14"/>
                <w:color w:val="auto"/>
              </w:rPr>
            </w:pPr>
          </w:p>
        </w:tc>
        <w:tc>
          <w:tcPr>
            <w:tcW w:w="720" w:type="dxa"/>
            <w:vAlign w:val="bottom"/>
            <w:tcBorders>
              <w:right w:val="single" w:sz="8" w:color="0063A6"/>
            </w:tcBorders>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40" w:type="dxa"/>
            <w:vAlign w:val="bottom"/>
            <w:shd w:val="clear" w:color="auto" w:fill="0063A6"/>
          </w:tcPr>
          <w:p>
            <w:pPr>
              <w:spacing w:after="0"/>
              <w:rPr>
                <w:sz w:val="14"/>
                <w:szCs w:val="14"/>
                <w:color w:val="auto"/>
              </w:rPr>
            </w:pPr>
          </w:p>
        </w:tc>
        <w:tc>
          <w:tcPr>
            <w:tcW w:w="1380" w:type="dxa"/>
            <w:vAlign w:val="bottom"/>
            <w:gridSpan w:val="2"/>
            <w:shd w:val="clear" w:color="auto" w:fill="0063A6"/>
          </w:tcPr>
          <w:p>
            <w:pPr>
              <w:jc w:val="center"/>
              <w:ind w:right="40"/>
              <w:spacing w:after="0"/>
              <w:rPr>
                <w:sz w:val="20"/>
                <w:szCs w:val="20"/>
                <w:color w:val="auto"/>
              </w:rPr>
            </w:pPr>
            <w:r>
              <w:rPr>
                <w:rFonts w:ascii="Arial" w:cs="Arial" w:eastAsia="Arial" w:hAnsi="Arial"/>
                <w:sz w:val="14"/>
                <w:szCs w:val="14"/>
                <w:b w:val="1"/>
                <w:bCs w:val="1"/>
                <w:color w:val="FFFFFF"/>
                <w:w w:val="99"/>
              </w:rPr>
              <w:t>Stock</w:t>
            </w:r>
          </w:p>
        </w:tc>
        <w:tc>
          <w:tcPr>
            <w:tcW w:w="13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Incentive Plan</w:t>
            </w:r>
          </w:p>
        </w:tc>
        <w:tc>
          <w:tcPr>
            <w:tcW w:w="40" w:type="dxa"/>
            <w:vAlign w:val="bottom"/>
            <w:tcBorders>
              <w:right w:val="single" w:sz="8" w:color="0063A6"/>
            </w:tcBorders>
            <w:shd w:val="clear" w:color="auto" w:fill="0063A6"/>
          </w:tcPr>
          <w:p>
            <w:pPr>
              <w:spacing w:after="0"/>
              <w:rPr>
                <w:sz w:val="14"/>
                <w:szCs w:val="14"/>
                <w:color w:val="auto"/>
              </w:rPr>
            </w:pPr>
          </w:p>
        </w:tc>
        <w:tc>
          <w:tcPr>
            <w:tcW w:w="1360" w:type="dxa"/>
            <w:vAlign w:val="bottom"/>
            <w:tcBorders>
              <w:right w:val="single" w:sz="8" w:color="0063A6"/>
            </w:tcBorders>
            <w:shd w:val="clear" w:color="auto" w:fill="0063A6"/>
          </w:tcPr>
          <w:p>
            <w:pPr>
              <w:jc w:val="center"/>
              <w:ind w:left="248"/>
              <w:spacing w:after="0"/>
              <w:rPr>
                <w:sz w:val="20"/>
                <w:szCs w:val="20"/>
                <w:color w:val="auto"/>
              </w:rPr>
            </w:pPr>
            <w:r>
              <w:rPr>
                <w:rFonts w:ascii="Arial" w:cs="Arial" w:eastAsia="Arial" w:hAnsi="Arial"/>
                <w:sz w:val="14"/>
                <w:szCs w:val="14"/>
                <w:b w:val="1"/>
                <w:bCs w:val="1"/>
                <w:color w:val="FFFFFF"/>
              </w:rPr>
              <w:t>All Other</w:t>
            </w:r>
          </w:p>
        </w:tc>
        <w:tc>
          <w:tcPr>
            <w:tcW w:w="360" w:type="dxa"/>
            <w:vAlign w:val="bottom"/>
            <w:tcBorders>
              <w:right w:val="single" w:sz="8" w:color="0063A6"/>
            </w:tcBorders>
            <w:shd w:val="clear" w:color="auto" w:fill="0063A6"/>
          </w:tcPr>
          <w:p>
            <w:pPr>
              <w:spacing w:after="0"/>
              <w:rPr>
                <w:sz w:val="14"/>
                <w:szCs w:val="14"/>
                <w:color w:val="auto"/>
              </w:rPr>
            </w:pPr>
          </w:p>
        </w:tc>
        <w:tc>
          <w:tcPr>
            <w:tcW w:w="1340" w:type="dxa"/>
            <w:vAlign w:val="bottom"/>
            <w:shd w:val="clear" w:color="auto" w:fill="0063A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60" w:type="dxa"/>
            <w:vAlign w:val="bottom"/>
            <w:shd w:val="clear" w:color="auto" w:fill="0063A6"/>
          </w:tcPr>
          <w:p>
            <w:pPr>
              <w:spacing w:after="0"/>
              <w:rPr>
                <w:sz w:val="13"/>
                <w:szCs w:val="13"/>
                <w:color w:val="auto"/>
              </w:rPr>
            </w:pPr>
          </w:p>
        </w:tc>
        <w:tc>
          <w:tcPr>
            <w:tcW w:w="720" w:type="dxa"/>
            <w:vAlign w:val="bottom"/>
            <w:tcBorders>
              <w:right w:val="single" w:sz="8" w:color="0063A6"/>
            </w:tcBorders>
            <w:shd w:val="clear" w:color="auto" w:fill="0063A6"/>
          </w:tcPr>
          <w:p>
            <w:pPr>
              <w:spacing w:after="0"/>
              <w:rPr>
                <w:sz w:val="13"/>
                <w:szCs w:val="13"/>
                <w:color w:val="auto"/>
              </w:rPr>
            </w:pPr>
          </w:p>
        </w:tc>
        <w:tc>
          <w:tcPr>
            <w:tcW w:w="880" w:type="dxa"/>
            <w:vAlign w:val="bottom"/>
            <w:shd w:val="clear" w:color="auto" w:fill="0063A6"/>
          </w:tcPr>
          <w:p>
            <w:pPr>
              <w:jc w:val="right"/>
              <w:ind w:right="188"/>
              <w:spacing w:after="0" w:line="159" w:lineRule="exact"/>
              <w:rPr>
                <w:sz w:val="20"/>
                <w:szCs w:val="20"/>
                <w:color w:val="auto"/>
              </w:rPr>
            </w:pPr>
            <w:r>
              <w:rPr>
                <w:rFonts w:ascii="Arial" w:cs="Arial" w:eastAsia="Arial" w:hAnsi="Arial"/>
                <w:sz w:val="14"/>
                <w:szCs w:val="14"/>
                <w:b w:val="1"/>
                <w:bCs w:val="1"/>
                <w:color w:val="FFFFFF"/>
              </w:rPr>
              <w:t>Salary</w:t>
            </w:r>
          </w:p>
        </w:tc>
        <w:tc>
          <w:tcPr>
            <w:tcW w:w="820" w:type="dxa"/>
            <w:vAlign w:val="bottom"/>
            <w:gridSpan w:val="2"/>
            <w:shd w:val="clear" w:color="auto" w:fill="0063A6"/>
          </w:tcPr>
          <w:p>
            <w:pPr>
              <w:jc w:val="center"/>
              <w:ind w:left="268"/>
              <w:spacing w:after="0" w:line="159" w:lineRule="exact"/>
              <w:rPr>
                <w:sz w:val="20"/>
                <w:szCs w:val="20"/>
                <w:color w:val="auto"/>
              </w:rPr>
            </w:pPr>
            <w:r>
              <w:rPr>
                <w:rFonts w:ascii="Arial" w:cs="Arial" w:eastAsia="Arial" w:hAnsi="Arial"/>
                <w:sz w:val="14"/>
                <w:szCs w:val="14"/>
                <w:b w:val="1"/>
                <w:bCs w:val="1"/>
                <w:color w:val="FFFFFF"/>
              </w:rPr>
              <w:t>Bonus</w:t>
            </w:r>
          </w:p>
        </w:tc>
        <w:tc>
          <w:tcPr>
            <w:tcW w:w="320" w:type="dxa"/>
            <w:vAlign w:val="bottom"/>
            <w:shd w:val="clear" w:color="auto" w:fill="0063A6"/>
          </w:tcPr>
          <w:p>
            <w:pPr>
              <w:spacing w:after="0"/>
              <w:rPr>
                <w:sz w:val="13"/>
                <w:szCs w:val="13"/>
                <w:color w:val="auto"/>
              </w:rPr>
            </w:pPr>
          </w:p>
        </w:tc>
        <w:tc>
          <w:tcPr>
            <w:tcW w:w="40" w:type="dxa"/>
            <w:vAlign w:val="bottom"/>
            <w:shd w:val="clear" w:color="auto" w:fill="0063A6"/>
          </w:tcPr>
          <w:p>
            <w:pPr>
              <w:spacing w:after="0"/>
              <w:rPr>
                <w:sz w:val="13"/>
                <w:szCs w:val="13"/>
                <w:color w:val="auto"/>
              </w:rPr>
            </w:pPr>
          </w:p>
        </w:tc>
        <w:tc>
          <w:tcPr>
            <w:tcW w:w="1380" w:type="dxa"/>
            <w:vAlign w:val="bottom"/>
            <w:gridSpan w:val="2"/>
            <w:shd w:val="clear" w:color="auto" w:fill="0063A6"/>
          </w:tcPr>
          <w:p>
            <w:pPr>
              <w:jc w:val="center"/>
              <w:ind w:right="40"/>
              <w:spacing w:after="0" w:line="159" w:lineRule="exact"/>
              <w:rPr>
                <w:sz w:val="20"/>
                <w:szCs w:val="20"/>
                <w:color w:val="auto"/>
              </w:rPr>
            </w:pPr>
            <w:r>
              <w:rPr>
                <w:rFonts w:ascii="Arial" w:cs="Arial" w:eastAsia="Arial" w:hAnsi="Arial"/>
                <w:sz w:val="14"/>
                <w:szCs w:val="14"/>
                <w:b w:val="1"/>
                <w:bCs w:val="1"/>
                <w:color w:val="FFFFFF"/>
                <w:w w:val="98"/>
              </w:rPr>
              <w:t>Awards</w:t>
            </w:r>
          </w:p>
        </w:tc>
        <w:tc>
          <w:tcPr>
            <w:tcW w:w="132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w w:val="98"/>
              </w:rPr>
              <w:t>Compensation</w:t>
            </w:r>
          </w:p>
        </w:tc>
        <w:tc>
          <w:tcPr>
            <w:tcW w:w="40" w:type="dxa"/>
            <w:vAlign w:val="bottom"/>
            <w:tcBorders>
              <w:right w:val="single" w:sz="8" w:color="0063A6"/>
            </w:tcBorders>
            <w:shd w:val="clear" w:color="auto" w:fill="0063A6"/>
          </w:tcPr>
          <w:p>
            <w:pPr>
              <w:spacing w:after="0"/>
              <w:rPr>
                <w:sz w:val="13"/>
                <w:szCs w:val="13"/>
                <w:color w:val="auto"/>
              </w:rPr>
            </w:pPr>
          </w:p>
        </w:tc>
        <w:tc>
          <w:tcPr>
            <w:tcW w:w="1360" w:type="dxa"/>
            <w:vAlign w:val="bottom"/>
            <w:tcBorders>
              <w:right w:val="single" w:sz="8" w:color="0063A6"/>
            </w:tcBorders>
            <w:shd w:val="clear" w:color="auto" w:fill="0063A6"/>
          </w:tcPr>
          <w:p>
            <w:pPr>
              <w:jc w:val="center"/>
              <w:ind w:left="248"/>
              <w:spacing w:after="0" w:line="159" w:lineRule="exact"/>
              <w:rPr>
                <w:sz w:val="20"/>
                <w:szCs w:val="20"/>
                <w:color w:val="auto"/>
              </w:rPr>
            </w:pPr>
            <w:r>
              <w:rPr>
                <w:rFonts w:ascii="Arial" w:cs="Arial" w:eastAsia="Arial" w:hAnsi="Arial"/>
                <w:sz w:val="14"/>
                <w:szCs w:val="14"/>
                <w:b w:val="1"/>
                <w:bCs w:val="1"/>
                <w:color w:val="FFFFFF"/>
                <w:w w:val="98"/>
              </w:rPr>
              <w:t>Compensation</w:t>
            </w:r>
          </w:p>
        </w:tc>
        <w:tc>
          <w:tcPr>
            <w:tcW w:w="360" w:type="dxa"/>
            <w:vAlign w:val="bottom"/>
            <w:tcBorders>
              <w:right w:val="single" w:sz="8" w:color="0063A6"/>
            </w:tcBorders>
            <w:shd w:val="clear" w:color="auto" w:fill="0063A6"/>
          </w:tcPr>
          <w:p>
            <w:pPr>
              <w:spacing w:after="0"/>
              <w:rPr>
                <w:sz w:val="13"/>
                <w:szCs w:val="13"/>
                <w:color w:val="auto"/>
              </w:rPr>
            </w:pPr>
          </w:p>
        </w:tc>
        <w:tc>
          <w:tcPr>
            <w:tcW w:w="1340" w:type="dxa"/>
            <w:vAlign w:val="bottom"/>
            <w:shd w:val="clear" w:color="auto" w:fill="0063A6"/>
          </w:tcPr>
          <w:p>
            <w:pPr>
              <w:jc w:val="right"/>
              <w:ind w:right="468"/>
              <w:spacing w:after="0" w:line="159" w:lineRule="exact"/>
              <w:rPr>
                <w:sz w:val="20"/>
                <w:szCs w:val="20"/>
                <w:color w:val="auto"/>
              </w:rPr>
            </w:pPr>
            <w:r>
              <w:rPr>
                <w:rFonts w:ascii="Arial" w:cs="Arial" w:eastAsia="Arial" w:hAnsi="Arial"/>
                <w:sz w:val="14"/>
                <w:szCs w:val="14"/>
                <w:b w:val="1"/>
                <w:bCs w:val="1"/>
                <w:color w:val="FFFFFF"/>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6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720" w:type="dxa"/>
            <w:vAlign w:val="bottom"/>
            <w:tcBorders>
              <w:bottom w:val="single" w:sz="8" w:color="0063A6"/>
              <w:right w:val="single" w:sz="8" w:color="0063A6"/>
            </w:tcBorders>
            <w:shd w:val="clear" w:color="auto" w:fill="0063A6"/>
          </w:tcPr>
          <w:p>
            <w:pPr>
              <w:ind w:left="200"/>
              <w:spacing w:after="0"/>
              <w:rPr>
                <w:sz w:val="20"/>
                <w:szCs w:val="20"/>
                <w:color w:val="auto"/>
              </w:rPr>
            </w:pPr>
            <w:r>
              <w:rPr>
                <w:rFonts w:ascii="Arial" w:cs="Arial" w:eastAsia="Arial" w:hAnsi="Arial"/>
                <w:sz w:val="14"/>
                <w:szCs w:val="14"/>
                <w:b w:val="1"/>
                <w:bCs w:val="1"/>
                <w:color w:val="FFFFFF"/>
              </w:rPr>
              <w:t>Year</w:t>
            </w:r>
          </w:p>
        </w:tc>
        <w:tc>
          <w:tcPr>
            <w:tcW w:w="8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bottom w:val="single" w:sz="8" w:color="0063A6"/>
            </w:tcBorders>
            <w:shd w:val="clear" w:color="auto" w:fill="0063A6"/>
          </w:tcPr>
          <w:p>
            <w:pPr>
              <w:jc w:val="right"/>
              <w:ind w:right="68"/>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0063A6"/>
          </w:tcPr>
          <w:p>
            <w:pPr>
              <w:spacing w:after="0"/>
              <w:rPr>
                <w:sz w:val="21"/>
                <w:szCs w:val="21"/>
                <w:color w:val="auto"/>
              </w:rPr>
            </w:pPr>
          </w:p>
        </w:tc>
        <w:tc>
          <w:tcPr>
            <w:tcW w:w="320" w:type="dxa"/>
            <w:vAlign w:val="bottom"/>
            <w:tcBorders>
              <w:bottom w:val="single" w:sz="8" w:color="0063A6"/>
            </w:tcBorders>
            <w:shd w:val="clear" w:color="auto" w:fill="0063A6"/>
          </w:tcPr>
          <w:p>
            <w:pPr>
              <w:spacing w:after="0"/>
              <w:rPr>
                <w:sz w:val="21"/>
                <w:szCs w:val="21"/>
                <w:color w:val="auto"/>
              </w:rPr>
            </w:pPr>
          </w:p>
        </w:tc>
        <w:tc>
          <w:tcPr>
            <w:tcW w:w="40" w:type="dxa"/>
            <w:vAlign w:val="bottom"/>
            <w:tcBorders>
              <w:bottom w:val="single" w:sz="8" w:color="0063A6"/>
            </w:tcBorders>
            <w:shd w:val="clear" w:color="auto" w:fill="0063A6"/>
          </w:tcPr>
          <w:p>
            <w:pPr>
              <w:spacing w:after="0"/>
              <w:rPr>
                <w:sz w:val="21"/>
                <w:szCs w:val="21"/>
                <w:color w:val="auto"/>
              </w:rPr>
            </w:pPr>
          </w:p>
        </w:tc>
        <w:tc>
          <w:tcPr>
            <w:tcW w:w="980" w:type="dxa"/>
            <w:vAlign w:val="bottom"/>
            <w:tcBorders>
              <w:bottom w:val="single" w:sz="8" w:color="0063A6"/>
              <w:right w:val="single" w:sz="8" w:color="0063A6"/>
            </w:tcBorders>
            <w:shd w:val="clear" w:color="auto" w:fill="0063A6"/>
          </w:tcPr>
          <w:p>
            <w:pPr>
              <w:jc w:val="center"/>
              <w:ind w:left="288"/>
              <w:spacing w:after="0"/>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(1)</w:t>
            </w:r>
          </w:p>
        </w:tc>
        <w:tc>
          <w:tcPr>
            <w:tcW w:w="400" w:type="dxa"/>
            <w:vAlign w:val="bottom"/>
            <w:tcBorders>
              <w:bottom w:val="single" w:sz="8" w:color="0063A6"/>
            </w:tcBorders>
            <w:shd w:val="clear" w:color="auto" w:fill="0063A6"/>
          </w:tcPr>
          <w:p>
            <w:pPr>
              <w:spacing w:after="0"/>
              <w:rPr>
                <w:sz w:val="21"/>
                <w:szCs w:val="21"/>
                <w:color w:val="auto"/>
              </w:rPr>
            </w:pPr>
          </w:p>
        </w:tc>
        <w:tc>
          <w:tcPr>
            <w:tcW w:w="13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(2)</w:t>
            </w:r>
          </w:p>
        </w:tc>
        <w:tc>
          <w:tcPr>
            <w:tcW w:w="1400" w:type="dxa"/>
            <w:vAlign w:val="bottom"/>
            <w:tcBorders>
              <w:bottom w:val="single" w:sz="8" w:color="0063A6"/>
              <w:right w:val="single" w:sz="8" w:color="0063A6"/>
            </w:tcBorders>
            <w:gridSpan w:val="2"/>
            <w:shd w:val="clear" w:color="auto" w:fill="0063A6"/>
          </w:tcPr>
          <w:p>
            <w:pPr>
              <w:jc w:val="center"/>
              <w:ind w:left="28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(3)</w:t>
            </w:r>
          </w:p>
        </w:tc>
        <w:tc>
          <w:tcPr>
            <w:tcW w:w="360" w:type="dxa"/>
            <w:vAlign w:val="bottom"/>
            <w:tcBorders>
              <w:bottom w:val="single" w:sz="8" w:color="0063A6"/>
              <w:right w:val="single" w:sz="8" w:color="0063A6"/>
            </w:tcBorders>
            <w:shd w:val="clear" w:color="auto" w:fill="0063A6"/>
          </w:tcPr>
          <w:p>
            <w:pPr>
              <w:spacing w:after="0"/>
              <w:rPr>
                <w:sz w:val="21"/>
                <w:szCs w:val="21"/>
                <w:color w:val="auto"/>
              </w:rPr>
            </w:pPr>
          </w:p>
        </w:tc>
        <w:tc>
          <w:tcPr>
            <w:tcW w:w="1340" w:type="dxa"/>
            <w:vAlign w:val="bottom"/>
            <w:tcBorders>
              <w:bottom w:val="single" w:sz="8" w:color="0063A6"/>
            </w:tcBorders>
            <w:shd w:val="clear" w:color="auto" w:fill="0063A6"/>
          </w:tcPr>
          <w:p>
            <w:pPr>
              <w:jc w:val="right"/>
              <w:ind w:right="508"/>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Andrew W. Houston</w:t>
            </w: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2025</w:t>
            </w:r>
          </w:p>
        </w:tc>
        <w:tc>
          <w:tcPr>
            <w:tcW w:w="8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800,000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2"/>
                <w:szCs w:val="12"/>
                <w:color w:val="auto"/>
              </w:rPr>
            </w:pPr>
          </w:p>
        </w:tc>
        <w:tc>
          <w:tcPr>
            <w:tcW w:w="40" w:type="dxa"/>
            <w:vAlign w:val="bottom"/>
            <w:shd w:val="clear" w:color="auto" w:fill="F2F2F2"/>
          </w:tcPr>
          <w:p>
            <w:pPr>
              <w:spacing w:after="0"/>
              <w:rPr>
                <w:sz w:val="12"/>
                <w:szCs w:val="12"/>
                <w:color w:val="auto"/>
              </w:rPr>
            </w:pPr>
          </w:p>
        </w:tc>
        <w:tc>
          <w:tcPr>
            <w:tcW w:w="1380" w:type="dxa"/>
            <w:vAlign w:val="bottom"/>
            <w:gridSpan w:val="2"/>
            <w:vMerge w:val="restart"/>
            <w:shd w:val="clear" w:color="auto" w:fill="F2F2F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750,400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616,222</w:t>
            </w:r>
          </w:p>
        </w:tc>
        <w:tc>
          <w:tcPr>
            <w:tcW w:w="360" w:type="dxa"/>
            <w:vAlign w:val="bottom"/>
            <w:tcBorders>
              <w:right w:val="single" w:sz="8" w:color="F2F2F2"/>
            </w:tcBorders>
            <w:shd w:val="clear" w:color="auto" w:fill="F2F2F2"/>
          </w:tcPr>
          <w:p>
            <w:pPr>
              <w:jc w:val="right"/>
              <w:ind w:right="93"/>
              <w:spacing w:after="0"/>
              <w:rPr>
                <w:sz w:val="20"/>
                <w:szCs w:val="20"/>
                <w:color w:val="auto"/>
              </w:rPr>
            </w:pPr>
            <w:r>
              <w:rPr>
                <w:rFonts w:ascii="Arial" w:cs="Arial" w:eastAsia="Arial" w:hAnsi="Arial"/>
                <w:sz w:val="9"/>
                <w:szCs w:val="9"/>
                <w:color w:val="auto"/>
              </w:rPr>
              <w:t>(4)</w:t>
            </w:r>
          </w:p>
        </w:tc>
        <w:tc>
          <w:tcPr>
            <w:tcW w:w="134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2,166,622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660" w:type="dxa"/>
            <w:vAlign w:val="bottom"/>
            <w:vMerge w:val="continue"/>
            <w:shd w:val="clear" w:color="auto" w:fill="F2F2F2"/>
          </w:tcPr>
          <w:p>
            <w:pPr>
              <w:spacing w:after="0"/>
              <w:rPr>
                <w:sz w:val="8"/>
                <w:szCs w:val="8"/>
                <w:color w:val="auto"/>
              </w:rPr>
            </w:pPr>
          </w:p>
        </w:tc>
        <w:tc>
          <w:tcPr>
            <w:tcW w:w="720" w:type="dxa"/>
            <w:vAlign w:val="bottom"/>
            <w:tcBorders>
              <w:right w:val="single" w:sz="8" w:color="F2F2F2"/>
            </w:tcBorders>
            <w:vMerge w:val="continue"/>
            <w:shd w:val="clear" w:color="auto" w:fill="F2F2F2"/>
          </w:tcPr>
          <w:p>
            <w:pPr>
              <w:spacing w:after="0"/>
              <w:rPr>
                <w:sz w:val="8"/>
                <w:szCs w:val="8"/>
                <w:color w:val="auto"/>
              </w:rPr>
            </w:pPr>
          </w:p>
        </w:tc>
        <w:tc>
          <w:tcPr>
            <w:tcW w:w="880" w:type="dxa"/>
            <w:vAlign w:val="bottom"/>
            <w:vMerge w:val="continue"/>
            <w:shd w:val="clear" w:color="auto" w:fill="F2F2F2"/>
          </w:tcPr>
          <w:p>
            <w:pPr>
              <w:spacing w:after="0"/>
              <w:rPr>
                <w:sz w:val="8"/>
                <w:szCs w:val="8"/>
                <w:color w:val="auto"/>
              </w:rPr>
            </w:pPr>
          </w:p>
        </w:tc>
        <w:tc>
          <w:tcPr>
            <w:tcW w:w="820" w:type="dxa"/>
            <w:vAlign w:val="bottom"/>
            <w:gridSpan w:val="2"/>
            <w:vMerge w:val="continue"/>
            <w:shd w:val="clear" w:color="auto" w:fill="F2F2F2"/>
          </w:tcPr>
          <w:p>
            <w:pPr>
              <w:spacing w:after="0"/>
              <w:rPr>
                <w:sz w:val="8"/>
                <w:szCs w:val="8"/>
                <w:color w:val="auto"/>
              </w:rPr>
            </w:pPr>
          </w:p>
        </w:tc>
        <w:tc>
          <w:tcPr>
            <w:tcW w:w="320" w:type="dxa"/>
            <w:vAlign w:val="bottom"/>
            <w:shd w:val="clear" w:color="auto" w:fill="F2F2F2"/>
          </w:tcPr>
          <w:p>
            <w:pPr>
              <w:spacing w:after="0"/>
              <w:rPr>
                <w:sz w:val="8"/>
                <w:szCs w:val="8"/>
                <w:color w:val="auto"/>
              </w:rPr>
            </w:pPr>
          </w:p>
        </w:tc>
        <w:tc>
          <w:tcPr>
            <w:tcW w:w="40" w:type="dxa"/>
            <w:vAlign w:val="bottom"/>
            <w:shd w:val="clear" w:color="auto" w:fill="F2F2F2"/>
          </w:tcPr>
          <w:p>
            <w:pPr>
              <w:spacing w:after="0"/>
              <w:rPr>
                <w:sz w:val="8"/>
                <w:szCs w:val="8"/>
                <w:color w:val="auto"/>
              </w:rPr>
            </w:pPr>
          </w:p>
        </w:tc>
        <w:tc>
          <w:tcPr>
            <w:tcW w:w="1380" w:type="dxa"/>
            <w:vAlign w:val="bottom"/>
            <w:gridSpan w:val="2"/>
            <w:vMerge w:val="continue"/>
            <w:shd w:val="clear" w:color="auto" w:fill="F2F2F2"/>
          </w:tcPr>
          <w:p>
            <w:pPr>
              <w:spacing w:after="0"/>
              <w:rPr>
                <w:sz w:val="8"/>
                <w:szCs w:val="8"/>
                <w:color w:val="auto"/>
              </w:rPr>
            </w:pPr>
          </w:p>
        </w:tc>
        <w:tc>
          <w:tcPr>
            <w:tcW w:w="1320" w:type="dxa"/>
            <w:vAlign w:val="bottom"/>
            <w:vMerge w:val="continue"/>
            <w:shd w:val="clear" w:color="auto" w:fill="F2F2F2"/>
          </w:tcPr>
          <w:p>
            <w:pPr>
              <w:spacing w:after="0"/>
              <w:rPr>
                <w:sz w:val="8"/>
                <w:szCs w:val="8"/>
                <w:color w:val="auto"/>
              </w:rPr>
            </w:pPr>
          </w:p>
        </w:tc>
        <w:tc>
          <w:tcPr>
            <w:tcW w:w="1400" w:type="dxa"/>
            <w:vAlign w:val="bottom"/>
            <w:tcBorders>
              <w:right w:val="single" w:sz="8" w:color="F2F2F2"/>
            </w:tcBorders>
            <w:gridSpan w:val="2"/>
            <w:vMerge w:val="continue"/>
            <w:shd w:val="clear" w:color="auto" w:fill="F2F2F2"/>
          </w:tcPr>
          <w:p>
            <w:pPr>
              <w:spacing w:after="0"/>
              <w:rPr>
                <w:sz w:val="8"/>
                <w:szCs w:val="8"/>
                <w:color w:val="auto"/>
              </w:rPr>
            </w:pPr>
          </w:p>
        </w:tc>
        <w:tc>
          <w:tcPr>
            <w:tcW w:w="360" w:type="dxa"/>
            <w:vAlign w:val="bottom"/>
            <w:tcBorders>
              <w:right w:val="single" w:sz="8" w:color="F2F2F2"/>
            </w:tcBorders>
            <w:shd w:val="clear" w:color="auto" w:fill="F2F2F2"/>
          </w:tcPr>
          <w:p>
            <w:pPr>
              <w:spacing w:after="0"/>
              <w:rPr>
                <w:sz w:val="8"/>
                <w:szCs w:val="8"/>
                <w:color w:val="auto"/>
              </w:rPr>
            </w:pPr>
          </w:p>
        </w:tc>
        <w:tc>
          <w:tcPr>
            <w:tcW w:w="1340" w:type="dxa"/>
            <w:vAlign w:val="bottom"/>
            <w:vMerge w:val="continue"/>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660" w:type="dxa"/>
            <w:vAlign w:val="bottom"/>
            <w:vMerge w:val="continue"/>
            <w:shd w:val="clear" w:color="auto" w:fill="F2F2F2"/>
          </w:tcPr>
          <w:p>
            <w:pPr>
              <w:spacing w:after="0"/>
              <w:rPr>
                <w:sz w:val="4"/>
                <w:szCs w:val="4"/>
                <w:color w:val="auto"/>
              </w:rPr>
            </w:pPr>
          </w:p>
        </w:tc>
        <w:tc>
          <w:tcPr>
            <w:tcW w:w="720" w:type="dxa"/>
            <w:vAlign w:val="bottom"/>
            <w:tcBorders>
              <w:right w:val="single" w:sz="8" w:color="F2F2F2"/>
            </w:tcBorders>
            <w:shd w:val="clear" w:color="auto" w:fill="F2F2F2"/>
          </w:tcPr>
          <w:p>
            <w:pPr>
              <w:spacing w:after="0"/>
              <w:rPr>
                <w:sz w:val="4"/>
                <w:szCs w:val="4"/>
                <w:color w:val="auto"/>
              </w:rPr>
            </w:pPr>
          </w:p>
        </w:tc>
        <w:tc>
          <w:tcPr>
            <w:tcW w:w="880" w:type="dxa"/>
            <w:vAlign w:val="bottom"/>
            <w:shd w:val="clear" w:color="auto" w:fill="F2F2F2"/>
          </w:tcPr>
          <w:p>
            <w:pPr>
              <w:spacing w:after="0"/>
              <w:rPr>
                <w:sz w:val="4"/>
                <w:szCs w:val="4"/>
                <w:color w:val="auto"/>
              </w:rPr>
            </w:pPr>
          </w:p>
        </w:tc>
        <w:tc>
          <w:tcPr>
            <w:tcW w:w="80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320" w:type="dxa"/>
            <w:vAlign w:val="bottom"/>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980" w:type="dxa"/>
            <w:vAlign w:val="bottom"/>
            <w:tcBorders>
              <w:right w:val="single" w:sz="8" w:color="F2F2F2"/>
            </w:tcBorders>
            <w:shd w:val="clear" w:color="auto" w:fill="F2F2F2"/>
          </w:tcPr>
          <w:p>
            <w:pPr>
              <w:spacing w:after="0"/>
              <w:rPr>
                <w:sz w:val="4"/>
                <w:szCs w:val="4"/>
                <w:color w:val="auto"/>
              </w:rPr>
            </w:pPr>
          </w:p>
        </w:tc>
        <w:tc>
          <w:tcPr>
            <w:tcW w:w="400" w:type="dxa"/>
            <w:vAlign w:val="bottom"/>
            <w:shd w:val="clear" w:color="auto" w:fill="F2F2F2"/>
          </w:tcPr>
          <w:p>
            <w:pPr>
              <w:spacing w:after="0"/>
              <w:rPr>
                <w:sz w:val="4"/>
                <w:szCs w:val="4"/>
                <w:color w:val="auto"/>
              </w:rPr>
            </w:pPr>
          </w:p>
        </w:tc>
        <w:tc>
          <w:tcPr>
            <w:tcW w:w="1320" w:type="dxa"/>
            <w:vAlign w:val="bottom"/>
            <w:shd w:val="clear" w:color="auto" w:fill="F2F2F2"/>
          </w:tcPr>
          <w:p>
            <w:pPr>
              <w:spacing w:after="0"/>
              <w:rPr>
                <w:sz w:val="4"/>
                <w:szCs w:val="4"/>
                <w:color w:val="auto"/>
              </w:rPr>
            </w:pPr>
          </w:p>
        </w:tc>
        <w:tc>
          <w:tcPr>
            <w:tcW w:w="40" w:type="dxa"/>
            <w:vAlign w:val="bottom"/>
            <w:tcBorders>
              <w:right w:val="single" w:sz="8" w:color="F2F2F2"/>
            </w:tcBorders>
            <w:shd w:val="clear" w:color="auto" w:fill="F2F2F2"/>
          </w:tcPr>
          <w:p>
            <w:pPr>
              <w:spacing w:after="0"/>
              <w:rPr>
                <w:sz w:val="4"/>
                <w:szCs w:val="4"/>
                <w:color w:val="auto"/>
              </w:rPr>
            </w:pPr>
          </w:p>
        </w:tc>
        <w:tc>
          <w:tcPr>
            <w:tcW w:w="1360" w:type="dxa"/>
            <w:vAlign w:val="bottom"/>
            <w:tcBorders>
              <w:right w:val="single" w:sz="8" w:color="F2F2F2"/>
            </w:tcBorders>
            <w:shd w:val="clear" w:color="auto" w:fill="F2F2F2"/>
          </w:tcPr>
          <w:p>
            <w:pPr>
              <w:spacing w:after="0"/>
              <w:rPr>
                <w:sz w:val="4"/>
                <w:szCs w:val="4"/>
                <w:color w:val="auto"/>
              </w:rPr>
            </w:pPr>
          </w:p>
        </w:tc>
        <w:tc>
          <w:tcPr>
            <w:tcW w:w="360" w:type="dxa"/>
            <w:vAlign w:val="bottom"/>
            <w:tcBorders>
              <w:right w:val="single" w:sz="8" w:color="F2F2F2"/>
            </w:tcBorders>
            <w:vMerge w:val="restart"/>
            <w:shd w:val="clear" w:color="auto" w:fill="F2F2F2"/>
          </w:tcPr>
          <w:p>
            <w:pPr>
              <w:jc w:val="right"/>
              <w:ind w:right="93"/>
              <w:spacing w:after="0"/>
              <w:rPr>
                <w:sz w:val="20"/>
                <w:szCs w:val="20"/>
                <w:color w:val="auto"/>
              </w:rPr>
            </w:pPr>
            <w:r>
              <w:rPr>
                <w:rFonts w:ascii="Arial" w:cs="Arial" w:eastAsia="Arial" w:hAnsi="Arial"/>
                <w:sz w:val="9"/>
                <w:szCs w:val="9"/>
                <w:color w:val="auto"/>
              </w:rPr>
              <w:t>(4)</w:t>
            </w:r>
          </w:p>
        </w:tc>
        <w:tc>
          <w:tcPr>
            <w:tcW w:w="1340" w:type="dxa"/>
            <w:vAlign w:val="bottom"/>
            <w:shd w:val="clear" w:color="auto" w:fill="F2F2F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i w:val="1"/>
                <w:iCs w:val="1"/>
                <w:color w:val="auto"/>
              </w:rPr>
              <w:t>Chief Executive Officer</w:t>
            </w: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756,250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9"/>
                <w:szCs w:val="9"/>
                <w:color w:val="auto"/>
              </w:rPr>
            </w:pPr>
          </w:p>
        </w:tc>
        <w:tc>
          <w:tcPr>
            <w:tcW w:w="40" w:type="dxa"/>
            <w:vAlign w:val="bottom"/>
            <w:shd w:val="clear" w:color="auto" w:fill="F2F2F2"/>
          </w:tcPr>
          <w:p>
            <w:pPr>
              <w:spacing w:after="0"/>
              <w:rPr>
                <w:sz w:val="9"/>
                <w:szCs w:val="9"/>
                <w:color w:val="auto"/>
              </w:rPr>
            </w:pPr>
          </w:p>
        </w:tc>
        <w:tc>
          <w:tcPr>
            <w:tcW w:w="1380" w:type="dxa"/>
            <w:vAlign w:val="bottom"/>
            <w:gridSpan w:val="2"/>
            <w:vMerge w:val="restart"/>
            <w:shd w:val="clear" w:color="auto" w:fill="F2F2F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551,480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398,775</w:t>
            </w:r>
          </w:p>
        </w:tc>
        <w:tc>
          <w:tcPr>
            <w:tcW w:w="360" w:type="dxa"/>
            <w:vAlign w:val="bottom"/>
            <w:tcBorders>
              <w:right w:val="single" w:sz="8" w:color="F2F2F2"/>
            </w:tcBorders>
            <w:vMerge w:val="continue"/>
            <w:shd w:val="clear" w:color="auto" w:fill="F2F2F2"/>
          </w:tcPr>
          <w:p>
            <w:pPr>
              <w:spacing w:after="0"/>
              <w:rPr>
                <w:sz w:val="9"/>
                <w:szCs w:val="9"/>
                <w:color w:val="auto"/>
              </w:rPr>
            </w:pPr>
          </w:p>
        </w:tc>
        <w:tc>
          <w:tcPr>
            <w:tcW w:w="134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1,706,505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660" w:type="dxa"/>
            <w:vAlign w:val="bottom"/>
            <w:vMerge w:val="continue"/>
            <w:shd w:val="clear" w:color="auto" w:fill="F2F2F2"/>
          </w:tcPr>
          <w:p>
            <w:pPr>
              <w:spacing w:after="0"/>
              <w:rPr>
                <w:sz w:val="6"/>
                <w:szCs w:val="6"/>
                <w:color w:val="auto"/>
              </w:rPr>
            </w:pPr>
          </w:p>
        </w:tc>
        <w:tc>
          <w:tcPr>
            <w:tcW w:w="720" w:type="dxa"/>
            <w:vAlign w:val="bottom"/>
            <w:tcBorders>
              <w:right w:val="single" w:sz="8" w:color="F2F2F2"/>
            </w:tcBorders>
            <w:vMerge w:val="continue"/>
            <w:shd w:val="clear" w:color="auto" w:fill="F2F2F2"/>
          </w:tcPr>
          <w:p>
            <w:pPr>
              <w:spacing w:after="0"/>
              <w:rPr>
                <w:sz w:val="6"/>
                <w:szCs w:val="6"/>
                <w:color w:val="auto"/>
              </w:rPr>
            </w:pPr>
          </w:p>
        </w:tc>
        <w:tc>
          <w:tcPr>
            <w:tcW w:w="880" w:type="dxa"/>
            <w:vAlign w:val="bottom"/>
            <w:vMerge w:val="continue"/>
            <w:shd w:val="clear" w:color="auto" w:fill="F2F2F2"/>
          </w:tcPr>
          <w:p>
            <w:pPr>
              <w:spacing w:after="0"/>
              <w:rPr>
                <w:sz w:val="6"/>
                <w:szCs w:val="6"/>
                <w:color w:val="auto"/>
              </w:rPr>
            </w:pPr>
          </w:p>
        </w:tc>
        <w:tc>
          <w:tcPr>
            <w:tcW w:w="820" w:type="dxa"/>
            <w:vAlign w:val="bottom"/>
            <w:gridSpan w:val="2"/>
            <w:vMerge w:val="continue"/>
            <w:shd w:val="clear" w:color="auto" w:fill="F2F2F2"/>
          </w:tcPr>
          <w:p>
            <w:pPr>
              <w:spacing w:after="0"/>
              <w:rPr>
                <w:sz w:val="6"/>
                <w:szCs w:val="6"/>
                <w:color w:val="auto"/>
              </w:rPr>
            </w:pPr>
          </w:p>
        </w:tc>
        <w:tc>
          <w:tcPr>
            <w:tcW w:w="320" w:type="dxa"/>
            <w:vAlign w:val="bottom"/>
            <w:shd w:val="clear" w:color="auto" w:fill="F2F2F2"/>
          </w:tcPr>
          <w:p>
            <w:pPr>
              <w:spacing w:after="0"/>
              <w:rPr>
                <w:sz w:val="6"/>
                <w:szCs w:val="6"/>
                <w:color w:val="auto"/>
              </w:rPr>
            </w:pPr>
          </w:p>
        </w:tc>
        <w:tc>
          <w:tcPr>
            <w:tcW w:w="40" w:type="dxa"/>
            <w:vAlign w:val="bottom"/>
            <w:shd w:val="clear" w:color="auto" w:fill="F2F2F2"/>
          </w:tcPr>
          <w:p>
            <w:pPr>
              <w:spacing w:after="0"/>
              <w:rPr>
                <w:sz w:val="6"/>
                <w:szCs w:val="6"/>
                <w:color w:val="auto"/>
              </w:rPr>
            </w:pPr>
          </w:p>
        </w:tc>
        <w:tc>
          <w:tcPr>
            <w:tcW w:w="1380" w:type="dxa"/>
            <w:vAlign w:val="bottom"/>
            <w:gridSpan w:val="2"/>
            <w:vMerge w:val="continue"/>
            <w:shd w:val="clear" w:color="auto" w:fill="F2F2F2"/>
          </w:tcPr>
          <w:p>
            <w:pPr>
              <w:spacing w:after="0"/>
              <w:rPr>
                <w:sz w:val="6"/>
                <w:szCs w:val="6"/>
                <w:color w:val="auto"/>
              </w:rPr>
            </w:pPr>
          </w:p>
        </w:tc>
        <w:tc>
          <w:tcPr>
            <w:tcW w:w="1320" w:type="dxa"/>
            <w:vAlign w:val="bottom"/>
            <w:vMerge w:val="continue"/>
            <w:shd w:val="clear" w:color="auto" w:fill="F2F2F2"/>
          </w:tcPr>
          <w:p>
            <w:pPr>
              <w:spacing w:after="0"/>
              <w:rPr>
                <w:sz w:val="6"/>
                <w:szCs w:val="6"/>
                <w:color w:val="auto"/>
              </w:rPr>
            </w:pPr>
          </w:p>
        </w:tc>
        <w:tc>
          <w:tcPr>
            <w:tcW w:w="1400" w:type="dxa"/>
            <w:vAlign w:val="bottom"/>
            <w:tcBorders>
              <w:right w:val="single" w:sz="8" w:color="F2F2F2"/>
            </w:tcBorders>
            <w:gridSpan w:val="2"/>
            <w:vMerge w:val="continue"/>
            <w:shd w:val="clear" w:color="auto" w:fill="F2F2F2"/>
          </w:tcPr>
          <w:p>
            <w:pPr>
              <w:spacing w:after="0"/>
              <w:rPr>
                <w:sz w:val="6"/>
                <w:szCs w:val="6"/>
                <w:color w:val="auto"/>
              </w:rPr>
            </w:pPr>
          </w:p>
        </w:tc>
        <w:tc>
          <w:tcPr>
            <w:tcW w:w="360" w:type="dxa"/>
            <w:vAlign w:val="bottom"/>
            <w:tcBorders>
              <w:right w:val="single" w:sz="8" w:color="F2F2F2"/>
            </w:tcBorders>
            <w:shd w:val="clear" w:color="auto" w:fill="F2F2F2"/>
          </w:tcPr>
          <w:p>
            <w:pPr>
              <w:spacing w:after="0"/>
              <w:rPr>
                <w:sz w:val="6"/>
                <w:szCs w:val="6"/>
                <w:color w:val="auto"/>
              </w:rPr>
            </w:pPr>
          </w:p>
        </w:tc>
        <w:tc>
          <w:tcPr>
            <w:tcW w:w="1340" w:type="dxa"/>
            <w:vAlign w:val="bottom"/>
            <w:vMerge w:val="continue"/>
            <w:shd w:val="clear" w:color="auto" w:fill="F2F2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F2F2F2"/>
          </w:tcPr>
          <w:p>
            <w:pPr>
              <w:ind w:left="80"/>
              <w:spacing w:after="0"/>
              <w:rPr>
                <w:sz w:val="20"/>
                <w:szCs w:val="20"/>
                <w:color w:val="auto"/>
              </w:rPr>
            </w:pPr>
            <w:r>
              <w:rPr>
                <w:rFonts w:ascii="Arial" w:cs="Arial" w:eastAsia="Arial" w:hAnsi="Arial"/>
                <w:sz w:val="14"/>
                <w:szCs w:val="14"/>
                <w:i w:val="1"/>
                <w:iCs w:val="1"/>
                <w:color w:val="auto"/>
              </w:rPr>
              <w:t>and Co-Founder</w:t>
            </w: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2023</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625,000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6"/>
                <w:szCs w:val="16"/>
                <w:color w:val="auto"/>
              </w:rPr>
            </w:pPr>
          </w:p>
        </w:tc>
        <w:tc>
          <w:tcPr>
            <w:tcW w:w="40" w:type="dxa"/>
            <w:vAlign w:val="bottom"/>
            <w:shd w:val="clear" w:color="auto" w:fill="F2F2F2"/>
          </w:tcPr>
          <w:p>
            <w:pPr>
              <w:spacing w:after="0"/>
              <w:rPr>
                <w:sz w:val="16"/>
                <w:szCs w:val="16"/>
                <w:color w:val="auto"/>
              </w:rPr>
            </w:pPr>
          </w:p>
        </w:tc>
        <w:tc>
          <w:tcPr>
            <w:tcW w:w="1380" w:type="dxa"/>
            <w:vAlign w:val="bottom"/>
            <w:gridSpan w:val="2"/>
            <w:vMerge w:val="restart"/>
            <w:shd w:val="clear" w:color="auto" w:fill="F2F2F2"/>
          </w:tcPr>
          <w:p>
            <w:pPr>
              <w:jc w:val="center"/>
              <w:ind w:right="42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485,000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429,577</w:t>
            </w:r>
          </w:p>
        </w:tc>
        <w:tc>
          <w:tcPr>
            <w:tcW w:w="360" w:type="dxa"/>
            <w:vAlign w:val="bottom"/>
            <w:tcBorders>
              <w:right w:val="single" w:sz="8" w:color="F2F2F2"/>
            </w:tcBorders>
            <w:shd w:val="clear" w:color="auto" w:fill="F2F2F2"/>
          </w:tcPr>
          <w:p>
            <w:pPr>
              <w:jc w:val="right"/>
              <w:ind w:right="93"/>
              <w:spacing w:after="0"/>
              <w:rPr>
                <w:sz w:val="20"/>
                <w:szCs w:val="20"/>
                <w:color w:val="auto"/>
              </w:rPr>
            </w:pPr>
            <w:r>
              <w:rPr>
                <w:rFonts w:ascii="Arial" w:cs="Arial" w:eastAsia="Arial" w:hAnsi="Arial"/>
                <w:sz w:val="9"/>
                <w:szCs w:val="9"/>
                <w:color w:val="auto"/>
              </w:rPr>
              <w:t>(4)</w:t>
            </w:r>
          </w:p>
        </w:tc>
        <w:tc>
          <w:tcPr>
            <w:tcW w:w="134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1,539,577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2660" w:type="dxa"/>
            <w:vAlign w:val="bottom"/>
            <w:tcBorders>
              <w:bottom w:val="single" w:sz="8" w:color="F2F2F2"/>
            </w:tcBorders>
            <w:shd w:val="clear" w:color="auto" w:fill="F2F2F2"/>
          </w:tcPr>
          <w:p>
            <w:pPr>
              <w:spacing w:after="0"/>
              <w:rPr>
                <w:sz w:val="8"/>
                <w:szCs w:val="8"/>
                <w:color w:val="auto"/>
              </w:rPr>
            </w:pPr>
          </w:p>
        </w:tc>
        <w:tc>
          <w:tcPr>
            <w:tcW w:w="720" w:type="dxa"/>
            <w:vAlign w:val="bottom"/>
            <w:tcBorders>
              <w:bottom w:val="single" w:sz="8" w:color="F2F2F2"/>
              <w:right w:val="single" w:sz="8" w:color="F2F2F2"/>
            </w:tcBorders>
            <w:vMerge w:val="continue"/>
            <w:shd w:val="clear" w:color="auto" w:fill="F2F2F2"/>
          </w:tcPr>
          <w:p>
            <w:pPr>
              <w:spacing w:after="0"/>
              <w:rPr>
                <w:sz w:val="8"/>
                <w:szCs w:val="8"/>
                <w:color w:val="auto"/>
              </w:rPr>
            </w:pPr>
          </w:p>
        </w:tc>
        <w:tc>
          <w:tcPr>
            <w:tcW w:w="880" w:type="dxa"/>
            <w:vAlign w:val="bottom"/>
            <w:tcBorders>
              <w:bottom w:val="single" w:sz="8" w:color="F2F2F2"/>
            </w:tcBorders>
            <w:vMerge w:val="continue"/>
            <w:shd w:val="clear" w:color="auto" w:fill="F2F2F2"/>
          </w:tcPr>
          <w:p>
            <w:pPr>
              <w:spacing w:after="0"/>
              <w:rPr>
                <w:sz w:val="8"/>
                <w:szCs w:val="8"/>
                <w:color w:val="auto"/>
              </w:rPr>
            </w:pPr>
          </w:p>
        </w:tc>
        <w:tc>
          <w:tcPr>
            <w:tcW w:w="820" w:type="dxa"/>
            <w:vAlign w:val="bottom"/>
            <w:tcBorders>
              <w:bottom w:val="single" w:sz="8" w:color="F2F2F2"/>
            </w:tcBorders>
            <w:gridSpan w:val="2"/>
            <w:vMerge w:val="continue"/>
            <w:shd w:val="clear" w:color="auto" w:fill="F2F2F2"/>
          </w:tcPr>
          <w:p>
            <w:pPr>
              <w:spacing w:after="0"/>
              <w:rPr>
                <w:sz w:val="8"/>
                <w:szCs w:val="8"/>
                <w:color w:val="auto"/>
              </w:rPr>
            </w:pPr>
          </w:p>
        </w:tc>
        <w:tc>
          <w:tcPr>
            <w:tcW w:w="320" w:type="dxa"/>
            <w:vAlign w:val="bottom"/>
            <w:tcBorders>
              <w:bottom w:val="single" w:sz="8" w:color="F2F2F2"/>
            </w:tcBorders>
            <w:shd w:val="clear" w:color="auto" w:fill="F2F2F2"/>
          </w:tcPr>
          <w:p>
            <w:pPr>
              <w:spacing w:after="0"/>
              <w:rPr>
                <w:sz w:val="8"/>
                <w:szCs w:val="8"/>
                <w:color w:val="auto"/>
              </w:rPr>
            </w:pPr>
          </w:p>
        </w:tc>
        <w:tc>
          <w:tcPr>
            <w:tcW w:w="40" w:type="dxa"/>
            <w:vAlign w:val="bottom"/>
            <w:tcBorders>
              <w:bottom w:val="single" w:sz="8" w:color="F2F2F2"/>
            </w:tcBorders>
            <w:shd w:val="clear" w:color="auto" w:fill="F2F2F2"/>
          </w:tcPr>
          <w:p>
            <w:pPr>
              <w:spacing w:after="0"/>
              <w:rPr>
                <w:sz w:val="8"/>
                <w:szCs w:val="8"/>
                <w:color w:val="auto"/>
              </w:rPr>
            </w:pPr>
          </w:p>
        </w:tc>
        <w:tc>
          <w:tcPr>
            <w:tcW w:w="1380" w:type="dxa"/>
            <w:vAlign w:val="bottom"/>
            <w:tcBorders>
              <w:bottom w:val="single" w:sz="8" w:color="F2F2F2"/>
            </w:tcBorders>
            <w:gridSpan w:val="2"/>
            <w:vMerge w:val="continue"/>
            <w:shd w:val="clear" w:color="auto" w:fill="F2F2F2"/>
          </w:tcPr>
          <w:p>
            <w:pPr>
              <w:spacing w:after="0"/>
              <w:rPr>
                <w:sz w:val="8"/>
                <w:szCs w:val="8"/>
                <w:color w:val="auto"/>
              </w:rPr>
            </w:pPr>
          </w:p>
        </w:tc>
        <w:tc>
          <w:tcPr>
            <w:tcW w:w="1320" w:type="dxa"/>
            <w:vAlign w:val="bottom"/>
            <w:tcBorders>
              <w:bottom w:val="single" w:sz="8" w:color="F2F2F2"/>
            </w:tcBorders>
            <w:vMerge w:val="continue"/>
            <w:shd w:val="clear" w:color="auto" w:fill="F2F2F2"/>
          </w:tcPr>
          <w:p>
            <w:pPr>
              <w:spacing w:after="0"/>
              <w:rPr>
                <w:sz w:val="8"/>
                <w:szCs w:val="8"/>
                <w:color w:val="auto"/>
              </w:rPr>
            </w:pPr>
          </w:p>
        </w:tc>
        <w:tc>
          <w:tcPr>
            <w:tcW w:w="1400" w:type="dxa"/>
            <w:vAlign w:val="bottom"/>
            <w:tcBorders>
              <w:bottom w:val="single" w:sz="8" w:color="F2F2F2"/>
              <w:right w:val="single" w:sz="8" w:color="F2F2F2"/>
            </w:tcBorders>
            <w:gridSpan w:val="2"/>
            <w:vMerge w:val="continue"/>
            <w:shd w:val="clear" w:color="auto" w:fill="F2F2F2"/>
          </w:tcPr>
          <w:p>
            <w:pPr>
              <w:spacing w:after="0"/>
              <w:rPr>
                <w:sz w:val="8"/>
                <w:szCs w:val="8"/>
                <w:color w:val="auto"/>
              </w:rPr>
            </w:pPr>
          </w:p>
        </w:tc>
        <w:tc>
          <w:tcPr>
            <w:tcW w:w="360" w:type="dxa"/>
            <w:vAlign w:val="bottom"/>
            <w:tcBorders>
              <w:bottom w:val="single" w:sz="8" w:color="F2F2F2"/>
              <w:right w:val="single" w:sz="8" w:color="F2F2F2"/>
            </w:tcBorders>
            <w:shd w:val="clear" w:color="auto" w:fill="F2F2F2"/>
          </w:tcPr>
          <w:p>
            <w:pPr>
              <w:spacing w:after="0"/>
              <w:rPr>
                <w:sz w:val="8"/>
                <w:szCs w:val="8"/>
                <w:color w:val="auto"/>
              </w:rPr>
            </w:pPr>
          </w:p>
        </w:tc>
        <w:tc>
          <w:tcPr>
            <w:tcW w:w="1340" w:type="dxa"/>
            <w:vAlign w:val="bottom"/>
            <w:tcBorders>
              <w:bottom w:val="single" w:sz="8" w:color="F2F2F2"/>
            </w:tcBorders>
            <w:vMerge w:val="continue"/>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2025</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22,917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350,000</w:t>
            </w:r>
          </w:p>
        </w:tc>
        <w:tc>
          <w:tcPr>
            <w:tcW w:w="20" w:type="dxa"/>
            <w:vAlign w:val="bottom"/>
          </w:tcPr>
          <w:p>
            <w:pPr>
              <w:spacing w:after="0"/>
              <w:rPr>
                <w:sz w:val="13"/>
                <w:szCs w:val="13"/>
                <w:color w:val="auto"/>
              </w:rPr>
            </w:pPr>
          </w:p>
        </w:tc>
        <w:tc>
          <w:tcPr>
            <w:tcW w:w="320" w:type="dxa"/>
            <w:vAlign w:val="bottom"/>
          </w:tcPr>
          <w:p>
            <w:pPr>
              <w:jc w:val="right"/>
              <w:ind w:right="53"/>
              <w:spacing w:after="0"/>
              <w:rPr>
                <w:sz w:val="20"/>
                <w:szCs w:val="20"/>
                <w:color w:val="auto"/>
              </w:rPr>
            </w:pPr>
            <w:r>
              <w:rPr>
                <w:rFonts w:ascii="Arial" w:cs="Arial" w:eastAsia="Arial" w:hAnsi="Arial"/>
                <w:sz w:val="9"/>
                <w:szCs w:val="9"/>
                <w:color w:val="auto"/>
              </w:rPr>
              <w:t>(5)</w:t>
            </w:r>
          </w:p>
        </w:tc>
        <w:tc>
          <w:tcPr>
            <w:tcW w:w="4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3"/>
                <w:szCs w:val="13"/>
                <w:color w:val="auto"/>
              </w:rPr>
            </w:pPr>
          </w:p>
        </w:tc>
        <w:tc>
          <w:tcPr>
            <w:tcW w:w="1340" w:type="dxa"/>
            <w:vAlign w:val="bottom"/>
            <w:vMerge w:val="restart"/>
          </w:tcPr>
          <w:p>
            <w:pPr>
              <w:jc w:val="right"/>
              <w:ind w:right="208"/>
              <w:spacing w:after="0"/>
              <w:rPr>
                <w:sz w:val="20"/>
                <w:szCs w:val="20"/>
                <w:color w:val="auto"/>
              </w:rPr>
            </w:pPr>
            <w:r>
              <w:rPr>
                <w:rFonts w:ascii="Arial" w:cs="Arial" w:eastAsia="Arial" w:hAnsi="Arial"/>
                <w:sz w:val="14"/>
                <w:szCs w:val="14"/>
                <w:color w:val="auto"/>
              </w:rPr>
              <w:t>372,917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Ross Tennenbaum</w:t>
            </w:r>
          </w:p>
        </w:tc>
        <w:tc>
          <w:tcPr>
            <w:tcW w:w="7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1"/>
                <w:szCs w:val="11"/>
                <w:color w:val="auto"/>
              </w:rPr>
            </w:pPr>
          </w:p>
        </w:tc>
        <w:tc>
          <w:tcPr>
            <w:tcW w:w="134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6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Chief Financial Officer</w:t>
            </w:r>
          </w:p>
        </w:tc>
        <w:tc>
          <w:tcPr>
            <w:tcW w:w="7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60" w:type="dxa"/>
            <w:vAlign w:val="bottom"/>
            <w:vMerge w:val="continue"/>
          </w:tcPr>
          <w:p>
            <w:pPr>
              <w:spacing w:after="0"/>
              <w:rPr>
                <w:sz w:val="5"/>
                <w:szCs w:val="5"/>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2023</w:t>
            </w:r>
          </w:p>
        </w:tc>
        <w:tc>
          <w:tcPr>
            <w:tcW w:w="880" w:type="dxa"/>
            <w:vAlign w:val="bottom"/>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660" w:type="dxa"/>
            <w:vAlign w:val="bottom"/>
            <w:shd w:val="clear" w:color="auto" w:fill="F2F2F2"/>
          </w:tcPr>
          <w:p>
            <w:pPr>
              <w:spacing w:after="0"/>
              <w:rPr>
                <w:sz w:val="13"/>
                <w:szCs w:val="13"/>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2025</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560,000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3"/>
                <w:szCs w:val="13"/>
                <w:color w:val="auto"/>
              </w:rPr>
            </w:pPr>
          </w:p>
        </w:tc>
        <w:tc>
          <w:tcPr>
            <w:tcW w:w="40" w:type="dxa"/>
            <w:vAlign w:val="bottom"/>
            <w:shd w:val="clear" w:color="auto" w:fill="F2F2F2"/>
          </w:tcPr>
          <w:p>
            <w:pPr>
              <w:spacing w:after="0"/>
              <w:rPr>
                <w:sz w:val="13"/>
                <w:szCs w:val="13"/>
                <w:color w:val="auto"/>
              </w:rPr>
            </w:pPr>
          </w:p>
        </w:tc>
        <w:tc>
          <w:tcPr>
            <w:tcW w:w="980" w:type="dxa"/>
            <w:vAlign w:val="bottom"/>
            <w:tcBorders>
              <w:right w:val="single" w:sz="8" w:color="F2F2F2"/>
            </w:tcBorders>
            <w:vMerge w:val="restart"/>
            <w:shd w:val="clear" w:color="auto" w:fill="F2F2F2"/>
          </w:tcPr>
          <w:p>
            <w:pPr>
              <w:jc w:val="center"/>
              <w:spacing w:after="0"/>
              <w:rPr>
                <w:sz w:val="20"/>
                <w:szCs w:val="20"/>
                <w:color w:val="auto"/>
              </w:rPr>
            </w:pPr>
            <w:r>
              <w:rPr>
                <w:rFonts w:ascii="Arial" w:cs="Arial" w:eastAsia="Arial" w:hAnsi="Arial"/>
                <w:sz w:val="14"/>
                <w:szCs w:val="14"/>
                <w:color w:val="auto"/>
              </w:rPr>
              <w:t>5,603,144</w:t>
            </w:r>
          </w:p>
        </w:tc>
        <w:tc>
          <w:tcPr>
            <w:tcW w:w="400" w:type="dxa"/>
            <w:vAlign w:val="bottom"/>
            <w:shd w:val="clear" w:color="auto" w:fill="F2F2F2"/>
          </w:tcPr>
          <w:p>
            <w:pPr>
              <w:spacing w:after="0"/>
              <w:rPr>
                <w:sz w:val="13"/>
                <w:szCs w:val="13"/>
                <w:color w:val="auto"/>
              </w:rPr>
            </w:pP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558,000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256,000</w:t>
            </w:r>
          </w:p>
        </w:tc>
        <w:tc>
          <w:tcPr>
            <w:tcW w:w="360" w:type="dxa"/>
            <w:vAlign w:val="bottom"/>
            <w:tcBorders>
              <w:right w:val="single" w:sz="8" w:color="F2F2F2"/>
            </w:tcBorders>
            <w:shd w:val="clear" w:color="auto" w:fill="F2F2F2"/>
          </w:tcPr>
          <w:p>
            <w:pPr>
              <w:jc w:val="right"/>
              <w:ind w:right="93"/>
              <w:spacing w:after="0"/>
              <w:rPr>
                <w:sz w:val="20"/>
                <w:szCs w:val="20"/>
                <w:color w:val="auto"/>
              </w:rPr>
            </w:pPr>
            <w:r>
              <w:rPr>
                <w:rFonts w:ascii="Arial" w:cs="Arial" w:eastAsia="Arial" w:hAnsi="Arial"/>
                <w:sz w:val="9"/>
                <w:szCs w:val="9"/>
                <w:color w:val="auto"/>
              </w:rPr>
              <w:t>(6)</w:t>
            </w:r>
          </w:p>
        </w:tc>
        <w:tc>
          <w:tcPr>
            <w:tcW w:w="1340" w:type="dxa"/>
            <w:vAlign w:val="bottom"/>
            <w:vMerge w:val="restart"/>
            <w:shd w:val="clear" w:color="auto" w:fill="F2F2F2"/>
          </w:tcPr>
          <w:p>
            <w:pPr>
              <w:jc w:val="right"/>
              <w:ind w:right="188"/>
              <w:spacing w:after="0"/>
              <w:rPr>
                <w:sz w:val="20"/>
                <w:szCs w:val="20"/>
                <w:color w:val="auto"/>
              </w:rPr>
            </w:pPr>
            <w:r>
              <w:rPr>
                <w:rFonts w:ascii="Arial" w:cs="Arial" w:eastAsia="Arial" w:hAnsi="Arial"/>
                <w:sz w:val="14"/>
                <w:szCs w:val="14"/>
                <w:color w:val="auto"/>
              </w:rPr>
              <w:t>6,977,144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Timothy Regan</w:t>
            </w:r>
          </w:p>
        </w:tc>
        <w:tc>
          <w:tcPr>
            <w:tcW w:w="720" w:type="dxa"/>
            <w:vAlign w:val="bottom"/>
            <w:tcBorders>
              <w:right w:val="single" w:sz="8" w:color="F2F2F2"/>
            </w:tcBorders>
            <w:vMerge w:val="continue"/>
            <w:shd w:val="clear" w:color="auto" w:fill="F2F2F2"/>
          </w:tcPr>
          <w:p>
            <w:pPr>
              <w:spacing w:after="0"/>
              <w:rPr>
                <w:sz w:val="8"/>
                <w:szCs w:val="8"/>
                <w:color w:val="auto"/>
              </w:rPr>
            </w:pPr>
          </w:p>
        </w:tc>
        <w:tc>
          <w:tcPr>
            <w:tcW w:w="880" w:type="dxa"/>
            <w:vAlign w:val="bottom"/>
            <w:vMerge w:val="continue"/>
            <w:shd w:val="clear" w:color="auto" w:fill="F2F2F2"/>
          </w:tcPr>
          <w:p>
            <w:pPr>
              <w:spacing w:after="0"/>
              <w:rPr>
                <w:sz w:val="8"/>
                <w:szCs w:val="8"/>
                <w:color w:val="auto"/>
              </w:rPr>
            </w:pPr>
          </w:p>
        </w:tc>
        <w:tc>
          <w:tcPr>
            <w:tcW w:w="820" w:type="dxa"/>
            <w:vAlign w:val="bottom"/>
            <w:gridSpan w:val="2"/>
            <w:vMerge w:val="continue"/>
            <w:shd w:val="clear" w:color="auto" w:fill="F2F2F2"/>
          </w:tcPr>
          <w:p>
            <w:pPr>
              <w:spacing w:after="0"/>
              <w:rPr>
                <w:sz w:val="8"/>
                <w:szCs w:val="8"/>
                <w:color w:val="auto"/>
              </w:rPr>
            </w:pPr>
          </w:p>
        </w:tc>
        <w:tc>
          <w:tcPr>
            <w:tcW w:w="320" w:type="dxa"/>
            <w:vAlign w:val="bottom"/>
            <w:shd w:val="clear" w:color="auto" w:fill="F2F2F2"/>
          </w:tcPr>
          <w:p>
            <w:pPr>
              <w:spacing w:after="0"/>
              <w:rPr>
                <w:sz w:val="8"/>
                <w:szCs w:val="8"/>
                <w:color w:val="auto"/>
              </w:rPr>
            </w:pPr>
          </w:p>
        </w:tc>
        <w:tc>
          <w:tcPr>
            <w:tcW w:w="40" w:type="dxa"/>
            <w:vAlign w:val="bottom"/>
            <w:shd w:val="clear" w:color="auto" w:fill="F2F2F2"/>
          </w:tcPr>
          <w:p>
            <w:pPr>
              <w:spacing w:after="0"/>
              <w:rPr>
                <w:sz w:val="8"/>
                <w:szCs w:val="8"/>
                <w:color w:val="auto"/>
              </w:rPr>
            </w:pPr>
          </w:p>
        </w:tc>
        <w:tc>
          <w:tcPr>
            <w:tcW w:w="980" w:type="dxa"/>
            <w:vAlign w:val="bottom"/>
            <w:tcBorders>
              <w:right w:val="single" w:sz="8" w:color="F2F2F2"/>
            </w:tcBorders>
            <w:vMerge w:val="continue"/>
            <w:shd w:val="clear" w:color="auto" w:fill="F2F2F2"/>
          </w:tcPr>
          <w:p>
            <w:pPr>
              <w:spacing w:after="0"/>
              <w:rPr>
                <w:sz w:val="8"/>
                <w:szCs w:val="8"/>
                <w:color w:val="auto"/>
              </w:rPr>
            </w:pPr>
          </w:p>
        </w:tc>
        <w:tc>
          <w:tcPr>
            <w:tcW w:w="400" w:type="dxa"/>
            <w:vAlign w:val="bottom"/>
            <w:shd w:val="clear" w:color="auto" w:fill="F2F2F2"/>
          </w:tcPr>
          <w:p>
            <w:pPr>
              <w:spacing w:after="0"/>
              <w:rPr>
                <w:sz w:val="8"/>
                <w:szCs w:val="8"/>
                <w:color w:val="auto"/>
              </w:rPr>
            </w:pPr>
          </w:p>
        </w:tc>
        <w:tc>
          <w:tcPr>
            <w:tcW w:w="1320" w:type="dxa"/>
            <w:vAlign w:val="bottom"/>
            <w:vMerge w:val="continue"/>
            <w:shd w:val="clear" w:color="auto" w:fill="F2F2F2"/>
          </w:tcPr>
          <w:p>
            <w:pPr>
              <w:spacing w:after="0"/>
              <w:rPr>
                <w:sz w:val="8"/>
                <w:szCs w:val="8"/>
                <w:color w:val="auto"/>
              </w:rPr>
            </w:pPr>
          </w:p>
        </w:tc>
        <w:tc>
          <w:tcPr>
            <w:tcW w:w="1400" w:type="dxa"/>
            <w:vAlign w:val="bottom"/>
            <w:tcBorders>
              <w:right w:val="single" w:sz="8" w:color="F2F2F2"/>
            </w:tcBorders>
            <w:gridSpan w:val="2"/>
            <w:vMerge w:val="continue"/>
            <w:shd w:val="clear" w:color="auto" w:fill="F2F2F2"/>
          </w:tcPr>
          <w:p>
            <w:pPr>
              <w:spacing w:after="0"/>
              <w:rPr>
                <w:sz w:val="8"/>
                <w:szCs w:val="8"/>
                <w:color w:val="auto"/>
              </w:rPr>
            </w:pPr>
          </w:p>
        </w:tc>
        <w:tc>
          <w:tcPr>
            <w:tcW w:w="360" w:type="dxa"/>
            <w:vAlign w:val="bottom"/>
            <w:tcBorders>
              <w:right w:val="single" w:sz="8" w:color="F2F2F2"/>
            </w:tcBorders>
            <w:shd w:val="clear" w:color="auto" w:fill="F2F2F2"/>
          </w:tcPr>
          <w:p>
            <w:pPr>
              <w:spacing w:after="0"/>
              <w:rPr>
                <w:sz w:val="8"/>
                <w:szCs w:val="8"/>
                <w:color w:val="auto"/>
              </w:rPr>
            </w:pPr>
          </w:p>
        </w:tc>
        <w:tc>
          <w:tcPr>
            <w:tcW w:w="1340" w:type="dxa"/>
            <w:vAlign w:val="bottom"/>
            <w:vMerge w:val="continue"/>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60" w:type="dxa"/>
            <w:vAlign w:val="bottom"/>
            <w:vMerge w:val="continue"/>
            <w:shd w:val="clear" w:color="auto" w:fill="F2F2F2"/>
          </w:tcPr>
          <w:p>
            <w:pPr>
              <w:spacing w:after="0"/>
              <w:rPr>
                <w:sz w:val="10"/>
                <w:szCs w:val="10"/>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560,000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0"/>
                <w:szCs w:val="10"/>
                <w:color w:val="auto"/>
              </w:rPr>
            </w:pPr>
          </w:p>
        </w:tc>
        <w:tc>
          <w:tcPr>
            <w:tcW w:w="40" w:type="dxa"/>
            <w:vAlign w:val="bottom"/>
            <w:shd w:val="clear" w:color="auto" w:fill="F2F2F2"/>
          </w:tcPr>
          <w:p>
            <w:pPr>
              <w:spacing w:after="0"/>
              <w:rPr>
                <w:sz w:val="10"/>
                <w:szCs w:val="10"/>
                <w:color w:val="auto"/>
              </w:rPr>
            </w:pPr>
          </w:p>
        </w:tc>
        <w:tc>
          <w:tcPr>
            <w:tcW w:w="980" w:type="dxa"/>
            <w:vAlign w:val="bottom"/>
            <w:tcBorders>
              <w:right w:val="single" w:sz="8" w:color="F2F2F2"/>
            </w:tcBorders>
            <w:vMerge w:val="restart"/>
            <w:shd w:val="clear" w:color="auto" w:fill="F2F2F2"/>
          </w:tcPr>
          <w:p>
            <w:pPr>
              <w:jc w:val="center"/>
              <w:spacing w:after="0"/>
              <w:rPr>
                <w:sz w:val="20"/>
                <w:szCs w:val="20"/>
                <w:color w:val="auto"/>
              </w:rPr>
            </w:pPr>
            <w:r>
              <w:rPr>
                <w:rFonts w:ascii="Arial" w:cs="Arial" w:eastAsia="Arial" w:hAnsi="Arial"/>
                <w:sz w:val="14"/>
                <w:szCs w:val="14"/>
                <w:color w:val="auto"/>
              </w:rPr>
              <w:t>5,034,474</w:t>
            </w:r>
          </w:p>
        </w:tc>
        <w:tc>
          <w:tcPr>
            <w:tcW w:w="400" w:type="dxa"/>
            <w:vAlign w:val="bottom"/>
            <w:shd w:val="clear" w:color="auto" w:fill="F2F2F2"/>
          </w:tcPr>
          <w:p>
            <w:pPr>
              <w:spacing w:after="0"/>
              <w:rPr>
                <w:sz w:val="10"/>
                <w:szCs w:val="10"/>
                <w:color w:val="auto"/>
              </w:rPr>
            </w:pP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623,000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360" w:type="dxa"/>
            <w:vAlign w:val="bottom"/>
            <w:tcBorders>
              <w:right w:val="single" w:sz="8" w:color="F2F2F2"/>
            </w:tcBorders>
            <w:shd w:val="clear" w:color="auto" w:fill="F2F2F2"/>
          </w:tcPr>
          <w:p>
            <w:pPr>
              <w:spacing w:after="0"/>
              <w:rPr>
                <w:sz w:val="10"/>
                <w:szCs w:val="10"/>
                <w:color w:val="auto"/>
              </w:rPr>
            </w:pPr>
          </w:p>
        </w:tc>
        <w:tc>
          <w:tcPr>
            <w:tcW w:w="1340" w:type="dxa"/>
            <w:vAlign w:val="bottom"/>
            <w:vMerge w:val="restart"/>
            <w:shd w:val="clear" w:color="auto" w:fill="F2F2F2"/>
          </w:tcPr>
          <w:p>
            <w:pPr>
              <w:jc w:val="right"/>
              <w:ind w:right="188"/>
              <w:spacing w:after="0"/>
              <w:rPr>
                <w:sz w:val="20"/>
                <w:szCs w:val="20"/>
                <w:color w:val="auto"/>
              </w:rPr>
            </w:pPr>
            <w:r>
              <w:rPr>
                <w:rFonts w:ascii="Arial" w:cs="Arial" w:eastAsia="Arial" w:hAnsi="Arial"/>
                <w:sz w:val="14"/>
                <w:szCs w:val="14"/>
                <w:color w:val="auto"/>
              </w:rPr>
              <w:t>6,223,474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i w:val="1"/>
                <w:iCs w:val="1"/>
                <w:color w:val="auto"/>
              </w:rPr>
              <w:t>Former Chief Financial Officer</w:t>
            </w:r>
          </w:p>
        </w:tc>
        <w:tc>
          <w:tcPr>
            <w:tcW w:w="720" w:type="dxa"/>
            <w:vAlign w:val="bottom"/>
            <w:tcBorders>
              <w:right w:val="single" w:sz="8" w:color="F2F2F2"/>
            </w:tcBorders>
            <w:vMerge w:val="continue"/>
            <w:shd w:val="clear" w:color="auto" w:fill="F2F2F2"/>
          </w:tcPr>
          <w:p>
            <w:pPr>
              <w:spacing w:after="0"/>
              <w:rPr>
                <w:sz w:val="11"/>
                <w:szCs w:val="11"/>
                <w:color w:val="auto"/>
              </w:rPr>
            </w:pPr>
          </w:p>
        </w:tc>
        <w:tc>
          <w:tcPr>
            <w:tcW w:w="880" w:type="dxa"/>
            <w:vAlign w:val="bottom"/>
            <w:vMerge w:val="continue"/>
            <w:shd w:val="clear" w:color="auto" w:fill="F2F2F2"/>
          </w:tcPr>
          <w:p>
            <w:pPr>
              <w:spacing w:after="0"/>
              <w:rPr>
                <w:sz w:val="11"/>
                <w:szCs w:val="11"/>
                <w:color w:val="auto"/>
              </w:rPr>
            </w:pPr>
          </w:p>
        </w:tc>
        <w:tc>
          <w:tcPr>
            <w:tcW w:w="820" w:type="dxa"/>
            <w:vAlign w:val="bottom"/>
            <w:gridSpan w:val="2"/>
            <w:vMerge w:val="continue"/>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980" w:type="dxa"/>
            <w:vAlign w:val="bottom"/>
            <w:tcBorders>
              <w:right w:val="single" w:sz="8" w:color="F2F2F2"/>
            </w:tcBorders>
            <w:vMerge w:val="continue"/>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320" w:type="dxa"/>
            <w:vAlign w:val="bottom"/>
            <w:vMerge w:val="continue"/>
            <w:shd w:val="clear" w:color="auto" w:fill="F2F2F2"/>
          </w:tcPr>
          <w:p>
            <w:pPr>
              <w:spacing w:after="0"/>
              <w:rPr>
                <w:sz w:val="11"/>
                <w:szCs w:val="11"/>
                <w:color w:val="auto"/>
              </w:rPr>
            </w:pPr>
          </w:p>
        </w:tc>
        <w:tc>
          <w:tcPr>
            <w:tcW w:w="1400" w:type="dxa"/>
            <w:vAlign w:val="bottom"/>
            <w:tcBorders>
              <w:right w:val="single" w:sz="8" w:color="F2F2F2"/>
            </w:tcBorders>
            <w:gridSpan w:val="2"/>
            <w:vMerge w:val="continue"/>
            <w:shd w:val="clear" w:color="auto" w:fill="F2F2F2"/>
          </w:tcPr>
          <w:p>
            <w:pPr>
              <w:spacing w:after="0"/>
              <w:rPr>
                <w:sz w:val="11"/>
                <w:szCs w:val="11"/>
                <w:color w:val="auto"/>
              </w:rPr>
            </w:pPr>
          </w:p>
        </w:tc>
        <w:tc>
          <w:tcPr>
            <w:tcW w:w="360" w:type="dxa"/>
            <w:vAlign w:val="bottom"/>
            <w:tcBorders>
              <w:right w:val="single" w:sz="8" w:color="F2F2F2"/>
            </w:tcBorders>
            <w:shd w:val="clear" w:color="auto" w:fill="F2F2F2"/>
          </w:tcPr>
          <w:p>
            <w:pPr>
              <w:spacing w:after="0"/>
              <w:rPr>
                <w:sz w:val="11"/>
                <w:szCs w:val="11"/>
                <w:color w:val="auto"/>
              </w:rPr>
            </w:pPr>
          </w:p>
        </w:tc>
        <w:tc>
          <w:tcPr>
            <w:tcW w:w="1340" w:type="dxa"/>
            <w:vAlign w:val="bottom"/>
            <w:vMerge w:val="continue"/>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660" w:type="dxa"/>
            <w:vAlign w:val="bottom"/>
            <w:vMerge w:val="continue"/>
            <w:shd w:val="clear" w:color="auto" w:fill="F2F2F2"/>
          </w:tcPr>
          <w:p>
            <w:pPr>
              <w:spacing w:after="0"/>
              <w:rPr>
                <w:sz w:val="4"/>
                <w:szCs w:val="4"/>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F2F2F2"/>
          </w:tcPr>
          <w:p>
            <w:pPr>
              <w:spacing w:after="0"/>
              <w:rPr>
                <w:sz w:val="4"/>
                <w:szCs w:val="4"/>
                <w:color w:val="auto"/>
              </w:rPr>
            </w:pP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980" w:type="dxa"/>
            <w:vAlign w:val="bottom"/>
            <w:tcBorders>
              <w:right w:val="single" w:sz="8" w:color="F2F2F2"/>
            </w:tcBorders>
            <w:shd w:val="clear" w:color="auto" w:fill="F2F2F2"/>
          </w:tcPr>
          <w:p>
            <w:pPr>
              <w:spacing w:after="0"/>
              <w:rPr>
                <w:sz w:val="4"/>
                <w:szCs w:val="4"/>
                <w:color w:val="auto"/>
              </w:rPr>
            </w:pPr>
          </w:p>
        </w:tc>
        <w:tc>
          <w:tcPr>
            <w:tcW w:w="400" w:type="dxa"/>
            <w:vAlign w:val="bottom"/>
            <w:shd w:val="clear" w:color="auto" w:fill="F2F2F2"/>
          </w:tcPr>
          <w:p>
            <w:pPr>
              <w:spacing w:after="0"/>
              <w:rPr>
                <w:sz w:val="4"/>
                <w:szCs w:val="4"/>
                <w:color w:val="auto"/>
              </w:rPr>
            </w:pPr>
          </w:p>
        </w:tc>
        <w:tc>
          <w:tcPr>
            <w:tcW w:w="1320" w:type="dxa"/>
            <w:vAlign w:val="bottom"/>
            <w:shd w:val="clear" w:color="auto" w:fill="F2F2F2"/>
          </w:tcPr>
          <w:p>
            <w:pPr>
              <w:spacing w:after="0"/>
              <w:rPr>
                <w:sz w:val="4"/>
                <w:szCs w:val="4"/>
                <w:color w:val="auto"/>
              </w:rPr>
            </w:pPr>
          </w:p>
        </w:tc>
        <w:tc>
          <w:tcPr>
            <w:tcW w:w="40" w:type="dxa"/>
            <w:vAlign w:val="bottom"/>
            <w:tcBorders>
              <w:right w:val="single" w:sz="8" w:color="F2F2F2"/>
            </w:tcBorders>
            <w:shd w:val="clear" w:color="auto" w:fill="F2F2F2"/>
          </w:tcPr>
          <w:p>
            <w:pPr>
              <w:spacing w:after="0"/>
              <w:rPr>
                <w:sz w:val="4"/>
                <w:szCs w:val="4"/>
                <w:color w:val="auto"/>
              </w:rPr>
            </w:pPr>
          </w:p>
        </w:tc>
        <w:tc>
          <w:tcPr>
            <w:tcW w:w="1360" w:type="dxa"/>
            <w:vAlign w:val="bottom"/>
            <w:tcBorders>
              <w:right w:val="single" w:sz="8" w:color="F2F2F2"/>
            </w:tcBorders>
            <w:shd w:val="clear" w:color="auto" w:fill="F2F2F2"/>
          </w:tcPr>
          <w:p>
            <w:pPr>
              <w:spacing w:after="0"/>
              <w:rPr>
                <w:sz w:val="4"/>
                <w:szCs w:val="4"/>
                <w:color w:val="auto"/>
              </w:rPr>
            </w:pPr>
          </w:p>
        </w:tc>
        <w:tc>
          <w:tcPr>
            <w:tcW w:w="360" w:type="dxa"/>
            <w:vAlign w:val="bottom"/>
            <w:tcBorders>
              <w:right w:val="single" w:sz="8" w:color="F2F2F2"/>
            </w:tcBorders>
            <w:shd w:val="clear" w:color="auto" w:fill="F2F2F2"/>
          </w:tcPr>
          <w:p>
            <w:pPr>
              <w:spacing w:after="0"/>
              <w:rPr>
                <w:sz w:val="4"/>
                <w:szCs w:val="4"/>
                <w:color w:val="auto"/>
              </w:rPr>
            </w:pPr>
          </w:p>
        </w:tc>
        <w:tc>
          <w:tcPr>
            <w:tcW w:w="1340" w:type="dxa"/>
            <w:vAlign w:val="bottom"/>
            <w:shd w:val="clear" w:color="auto" w:fill="F2F2F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660" w:type="dxa"/>
            <w:vAlign w:val="bottom"/>
            <w:shd w:val="clear" w:color="auto" w:fill="F2F2F2"/>
          </w:tcPr>
          <w:p>
            <w:pPr>
              <w:spacing w:after="0"/>
              <w:rPr>
                <w:sz w:val="18"/>
                <w:szCs w:val="18"/>
                <w:color w:val="auto"/>
              </w:rPr>
            </w:pPr>
          </w:p>
        </w:tc>
        <w:tc>
          <w:tcPr>
            <w:tcW w:w="720" w:type="dxa"/>
            <w:vAlign w:val="bottom"/>
            <w:tcBorders>
              <w:right w:val="single" w:sz="8" w:color="F2F2F2"/>
            </w:tcBorders>
            <w:vMerge w:val="continue"/>
            <w:shd w:val="clear" w:color="auto" w:fill="F2F2F2"/>
          </w:tcPr>
          <w:p>
            <w:pPr>
              <w:spacing w:after="0"/>
              <w:rPr>
                <w:sz w:val="18"/>
                <w:szCs w:val="18"/>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560,000</w:t>
            </w:r>
          </w:p>
        </w:tc>
        <w:tc>
          <w:tcPr>
            <w:tcW w:w="820" w:type="dxa"/>
            <w:vAlign w:val="bottom"/>
            <w:gridSpan w:val="2"/>
            <w:vMerge w:val="continue"/>
            <w:shd w:val="clear" w:color="auto" w:fill="F2F2F2"/>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40" w:type="dxa"/>
            <w:vAlign w:val="bottom"/>
            <w:shd w:val="clear" w:color="auto" w:fill="F2F2F2"/>
          </w:tcPr>
          <w:p>
            <w:pPr>
              <w:spacing w:after="0"/>
              <w:rPr>
                <w:sz w:val="18"/>
                <w:szCs w:val="18"/>
                <w:color w:val="auto"/>
              </w:rPr>
            </w:pPr>
          </w:p>
        </w:tc>
        <w:tc>
          <w:tcPr>
            <w:tcW w:w="98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4,761,200</w:t>
            </w:r>
          </w:p>
        </w:tc>
        <w:tc>
          <w:tcPr>
            <w:tcW w:w="400" w:type="dxa"/>
            <w:vAlign w:val="bottom"/>
            <w:shd w:val="clear" w:color="auto" w:fill="F2F2F2"/>
          </w:tcPr>
          <w:p>
            <w:pPr>
              <w:spacing w:after="0"/>
              <w:rPr>
                <w:sz w:val="18"/>
                <w:szCs w:val="18"/>
                <w:color w:val="auto"/>
              </w:rPr>
            </w:pP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348,000</w:t>
            </w:r>
          </w:p>
        </w:tc>
        <w:tc>
          <w:tcPr>
            <w:tcW w:w="1400" w:type="dxa"/>
            <w:vAlign w:val="bottom"/>
            <w:tcBorders>
              <w:right w:val="single" w:sz="8" w:color="F2F2F2"/>
            </w:tcBorders>
            <w:gridSpan w:val="2"/>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360" w:type="dxa"/>
            <w:vAlign w:val="bottom"/>
            <w:tcBorders>
              <w:right w:val="single" w:sz="8" w:color="F2F2F2"/>
            </w:tcBorders>
            <w:shd w:val="clear" w:color="auto" w:fill="F2F2F2"/>
          </w:tcPr>
          <w:p>
            <w:pPr>
              <w:spacing w:after="0"/>
              <w:rPr>
                <w:sz w:val="18"/>
                <w:szCs w:val="18"/>
                <w:color w:val="auto"/>
              </w:rPr>
            </w:pPr>
          </w:p>
        </w:tc>
        <w:tc>
          <w:tcPr>
            <w:tcW w:w="13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5,675,200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William Yoon</w:t>
            </w:r>
          </w:p>
        </w:tc>
        <w:tc>
          <w:tcPr>
            <w:tcW w:w="720" w:type="dxa"/>
            <w:vAlign w:val="bottom"/>
            <w:tcBorders>
              <w:right w:val="single" w:sz="8" w:color="F2F2F2"/>
            </w:tcBorders>
          </w:tcPr>
          <w:p>
            <w:pPr>
              <w:ind w:left="200"/>
              <w:spacing w:after="0"/>
              <w:rPr>
                <w:sz w:val="20"/>
                <w:szCs w:val="20"/>
                <w:color w:val="auto"/>
              </w:rPr>
            </w:pPr>
            <w:r>
              <w:rPr>
                <w:rFonts w:ascii="Arial" w:cs="Arial" w:eastAsia="Arial" w:hAnsi="Arial"/>
                <w:sz w:val="14"/>
                <w:szCs w:val="14"/>
                <w:color w:val="auto"/>
              </w:rPr>
              <w:t>2025</w:t>
            </w:r>
          </w:p>
        </w:tc>
        <w:tc>
          <w:tcPr>
            <w:tcW w:w="880" w:type="dxa"/>
            <w:vAlign w:val="bottom"/>
          </w:tcPr>
          <w:p>
            <w:pPr>
              <w:jc w:val="center"/>
              <w:spacing w:after="0"/>
              <w:rPr>
                <w:sz w:val="20"/>
                <w:szCs w:val="20"/>
                <w:color w:val="auto"/>
              </w:rPr>
            </w:pPr>
            <w:r>
              <w:rPr>
                <w:rFonts w:ascii="Arial" w:cs="Arial" w:eastAsia="Arial" w:hAnsi="Arial"/>
                <w:sz w:val="14"/>
                <w:szCs w:val="14"/>
                <w:color w:val="auto"/>
              </w:rPr>
              <w:t>461,250</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Borders>
              <w:right w:val="single" w:sz="8" w:color="F2F2F2"/>
            </w:tcBorders>
          </w:tcPr>
          <w:p>
            <w:pPr>
              <w:jc w:val="center"/>
              <w:spacing w:after="0"/>
              <w:rPr>
                <w:sz w:val="20"/>
                <w:szCs w:val="20"/>
                <w:color w:val="auto"/>
              </w:rPr>
            </w:pPr>
            <w:r>
              <w:rPr>
                <w:rFonts w:ascii="Arial" w:cs="Arial" w:eastAsia="Arial" w:hAnsi="Arial"/>
                <w:sz w:val="14"/>
                <w:szCs w:val="14"/>
                <w:color w:val="auto"/>
              </w:rPr>
              <w:t>5,093,757</w:t>
            </w:r>
          </w:p>
        </w:tc>
        <w:tc>
          <w:tcPr>
            <w:tcW w:w="4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375,000</w:t>
            </w:r>
          </w:p>
        </w:tc>
        <w:tc>
          <w:tcPr>
            <w:tcW w:w="40" w:type="dxa"/>
            <w:vAlign w:val="bottom"/>
            <w:tcBorders>
              <w:right w:val="single" w:sz="8" w:color="F2F2F2"/>
            </w:tcBorders>
          </w:tcPr>
          <w:p>
            <w:pPr>
              <w:spacing w:after="0"/>
              <w:rPr>
                <w:sz w:val="21"/>
                <w:szCs w:val="21"/>
                <w:color w:val="auto"/>
              </w:rPr>
            </w:pPr>
          </w:p>
        </w:tc>
        <w:tc>
          <w:tcPr>
            <w:tcW w:w="1360" w:type="dxa"/>
            <w:vAlign w:val="bottom"/>
            <w:tcBorders>
              <w:right w:val="single" w:sz="8" w:color="F2F2F2"/>
            </w:tcBorders>
          </w:tcPr>
          <w:p>
            <w:pPr>
              <w:jc w:val="center"/>
              <w:spacing w:after="0"/>
              <w:rPr>
                <w:sz w:val="20"/>
                <w:szCs w:val="20"/>
                <w:color w:val="auto"/>
              </w:rPr>
            </w:pPr>
            <w:r>
              <w:rPr>
                <w:rFonts w:ascii="Arial" w:cs="Arial" w:eastAsia="Arial" w:hAnsi="Arial"/>
                <w:sz w:val="14"/>
                <w:szCs w:val="14"/>
                <w:color w:val="auto"/>
              </w:rPr>
              <w:t>9,273</w:t>
            </w:r>
          </w:p>
        </w:tc>
        <w:tc>
          <w:tcPr>
            <w:tcW w:w="360" w:type="dxa"/>
            <w:vAlign w:val="bottom"/>
            <w:tcBorders>
              <w:right w:val="single" w:sz="8" w:color="F2F2F2"/>
            </w:tcBorders>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5,939,280</w:t>
            </w:r>
          </w:p>
        </w:tc>
        <w:tc>
          <w:tcPr>
            <w:tcW w:w="2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660" w:type="dxa"/>
            <w:vAlign w:val="bottom"/>
            <w:vMerge w:val="continue"/>
          </w:tcPr>
          <w:p>
            <w:pPr>
              <w:spacing w:after="0"/>
              <w:rPr>
                <w:sz w:val="9"/>
                <w:szCs w:val="9"/>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9"/>
                <w:szCs w:val="9"/>
                <w:color w:val="auto"/>
              </w:rPr>
            </w:pPr>
          </w:p>
        </w:tc>
        <w:tc>
          <w:tcPr>
            <w:tcW w:w="134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66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Chief Legal Officer</w:t>
            </w:r>
          </w:p>
        </w:tc>
        <w:tc>
          <w:tcPr>
            <w:tcW w:w="7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660" w:type="dxa"/>
            <w:vAlign w:val="bottom"/>
          </w:tcPr>
          <w:p>
            <w:pPr>
              <w:spacing w:after="0"/>
              <w:rPr>
                <w:sz w:val="19"/>
                <w:szCs w:val="19"/>
                <w:color w:val="auto"/>
              </w:rPr>
            </w:pPr>
          </w:p>
        </w:tc>
        <w:tc>
          <w:tcPr>
            <w:tcW w:w="720" w:type="dxa"/>
            <w:vAlign w:val="bottom"/>
          </w:tcPr>
          <w:p>
            <w:pPr>
              <w:ind w:left="200"/>
              <w:spacing w:after="0"/>
              <w:rPr>
                <w:sz w:val="20"/>
                <w:szCs w:val="20"/>
                <w:color w:val="auto"/>
              </w:rPr>
            </w:pPr>
            <w:r>
              <w:rPr>
                <w:rFonts w:ascii="Arial" w:cs="Arial" w:eastAsia="Arial" w:hAnsi="Arial"/>
                <w:sz w:val="14"/>
                <w:szCs w:val="14"/>
                <w:color w:val="auto"/>
              </w:rPr>
              <w:t>2023</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9"/>
                <w:szCs w:val="19"/>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Ali Dasdan</w:t>
            </w:r>
          </w:p>
        </w:tc>
        <w:tc>
          <w:tcPr>
            <w:tcW w:w="720" w:type="dxa"/>
            <w:vAlign w:val="bottom"/>
            <w:tcBorders>
              <w:right w:val="single" w:sz="8" w:color="F2F2F2"/>
            </w:tcBorders>
            <w:shd w:val="clear" w:color="auto" w:fill="F2F2F2"/>
          </w:tcPr>
          <w:p>
            <w:pPr>
              <w:ind w:left="200"/>
              <w:spacing w:after="0"/>
              <w:rPr>
                <w:sz w:val="20"/>
                <w:szCs w:val="20"/>
                <w:color w:val="auto"/>
              </w:rPr>
            </w:pPr>
            <w:r>
              <w:rPr>
                <w:rFonts w:ascii="Arial" w:cs="Arial" w:eastAsia="Arial" w:hAnsi="Arial"/>
                <w:sz w:val="14"/>
                <w:szCs w:val="14"/>
                <w:color w:val="auto"/>
              </w:rPr>
              <w:t>2025</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415,063</w:t>
            </w:r>
          </w:p>
        </w:tc>
        <w:tc>
          <w:tcPr>
            <w:tcW w:w="820" w:type="dxa"/>
            <w:vAlign w:val="bottom"/>
            <w:gridSpan w:val="2"/>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21"/>
                <w:szCs w:val="21"/>
                <w:color w:val="auto"/>
              </w:rPr>
            </w:pPr>
          </w:p>
        </w:tc>
        <w:tc>
          <w:tcPr>
            <w:tcW w:w="40" w:type="dxa"/>
            <w:vAlign w:val="bottom"/>
            <w:shd w:val="clear" w:color="auto" w:fill="F2F2F2"/>
          </w:tcPr>
          <w:p>
            <w:pPr>
              <w:spacing w:after="0"/>
              <w:rPr>
                <w:sz w:val="21"/>
                <w:szCs w:val="21"/>
                <w:color w:val="auto"/>
              </w:rPr>
            </w:pPr>
          </w:p>
        </w:tc>
        <w:tc>
          <w:tcPr>
            <w:tcW w:w="98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16,300,045</w:t>
            </w:r>
          </w:p>
        </w:tc>
        <w:tc>
          <w:tcPr>
            <w:tcW w:w="400" w:type="dxa"/>
            <w:vAlign w:val="bottom"/>
            <w:shd w:val="clear" w:color="auto" w:fill="F2F2F2"/>
          </w:tcPr>
          <w:p>
            <w:pPr>
              <w:spacing w:after="0"/>
              <w:rPr>
                <w:sz w:val="21"/>
                <w:szCs w:val="21"/>
                <w:color w:val="auto"/>
              </w:rPr>
            </w:pP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391,000</w:t>
            </w:r>
          </w:p>
        </w:tc>
        <w:tc>
          <w:tcPr>
            <w:tcW w:w="1400" w:type="dxa"/>
            <w:vAlign w:val="bottom"/>
            <w:tcBorders>
              <w:right w:val="single" w:sz="8" w:color="F2F2F2"/>
            </w:tcBorders>
            <w:gridSpan w:val="2"/>
            <w:shd w:val="clear" w:color="auto" w:fill="F2F2F2"/>
          </w:tcPr>
          <w:p>
            <w:pPr>
              <w:jc w:val="center"/>
              <w:spacing w:after="0"/>
              <w:rPr>
                <w:sz w:val="20"/>
                <w:szCs w:val="20"/>
                <w:color w:val="auto"/>
              </w:rPr>
            </w:pPr>
            <w:r>
              <w:rPr>
                <w:rFonts w:ascii="Arial" w:cs="Arial" w:eastAsia="Arial" w:hAnsi="Arial"/>
                <w:sz w:val="14"/>
                <w:szCs w:val="14"/>
                <w:color w:val="auto"/>
              </w:rPr>
              <w:t>9,488</w:t>
            </w:r>
          </w:p>
        </w:tc>
        <w:tc>
          <w:tcPr>
            <w:tcW w:w="360" w:type="dxa"/>
            <w:vAlign w:val="bottom"/>
            <w:tcBorders>
              <w:right w:val="single" w:sz="8" w:color="F2F2F2"/>
            </w:tcBorders>
            <w:shd w:val="clear" w:color="auto" w:fill="F2F2F2"/>
          </w:tcPr>
          <w:p>
            <w:pPr>
              <w:spacing w:after="0"/>
              <w:rPr>
                <w:sz w:val="21"/>
                <w:szCs w:val="21"/>
                <w:color w:val="auto"/>
              </w:rPr>
            </w:pPr>
          </w:p>
        </w:tc>
        <w:tc>
          <w:tcPr>
            <w:tcW w:w="13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17,115,597</w:t>
            </w:r>
          </w:p>
        </w:tc>
        <w:tc>
          <w:tcPr>
            <w:tcW w:w="2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660" w:type="dxa"/>
            <w:vAlign w:val="bottom"/>
            <w:vMerge w:val="continue"/>
            <w:shd w:val="clear" w:color="auto" w:fill="F2F2F2"/>
          </w:tcPr>
          <w:p>
            <w:pPr>
              <w:spacing w:after="0"/>
              <w:rPr>
                <w:sz w:val="11"/>
                <w:szCs w:val="11"/>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380" w:type="dxa"/>
            <w:vAlign w:val="bottom"/>
            <w:gridSpan w:val="2"/>
            <w:vMerge w:val="restart"/>
            <w:shd w:val="clear" w:color="auto" w:fill="F2F2F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40" w:type="dxa"/>
            <w:vAlign w:val="bottom"/>
            <w:tcBorders>
              <w:right w:val="single" w:sz="8" w:color="F2F2F2"/>
            </w:tcBorders>
            <w:shd w:val="clear" w:color="auto" w:fill="F2F2F2"/>
          </w:tcPr>
          <w:p>
            <w:pPr>
              <w:spacing w:after="0"/>
              <w:rPr>
                <w:sz w:val="11"/>
                <w:szCs w:val="11"/>
                <w:color w:val="auto"/>
              </w:rPr>
            </w:pPr>
          </w:p>
        </w:tc>
        <w:tc>
          <w:tcPr>
            <w:tcW w:w="1360" w:type="dxa"/>
            <w:vAlign w:val="bottom"/>
            <w:tcBorders>
              <w:right w:val="single" w:sz="8" w:color="F2F2F2"/>
            </w:tcBorders>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Borders>
              <w:right w:val="single" w:sz="8" w:color="F2F2F2"/>
            </w:tcBorders>
            <w:shd w:val="clear" w:color="auto" w:fill="F2F2F2"/>
          </w:tcPr>
          <w:p>
            <w:pPr>
              <w:spacing w:after="0"/>
              <w:rPr>
                <w:sz w:val="11"/>
                <w:szCs w:val="11"/>
                <w:color w:val="auto"/>
              </w:rPr>
            </w:pPr>
          </w:p>
        </w:tc>
        <w:tc>
          <w:tcPr>
            <w:tcW w:w="1340" w:type="dxa"/>
            <w:vAlign w:val="bottom"/>
            <w:vMerge w:val="restart"/>
            <w:shd w:val="clear" w:color="auto" w:fill="F2F2F2"/>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i w:val="1"/>
                <w:iCs w:val="1"/>
                <w:color w:val="auto"/>
              </w:rPr>
              <w:t>Chief Technology Officer</w:t>
            </w:r>
          </w:p>
        </w:tc>
        <w:tc>
          <w:tcPr>
            <w:tcW w:w="720" w:type="dxa"/>
            <w:vAlign w:val="bottom"/>
            <w:tcBorders>
              <w:right w:val="single" w:sz="8" w:color="F2F2F2"/>
            </w:tcBorders>
            <w:vMerge w:val="continue"/>
            <w:shd w:val="clear" w:color="auto" w:fill="F2F2F2"/>
          </w:tcPr>
          <w:p>
            <w:pPr>
              <w:spacing w:after="0"/>
              <w:rPr>
                <w:sz w:val="10"/>
                <w:szCs w:val="10"/>
                <w:color w:val="auto"/>
              </w:rPr>
            </w:pPr>
          </w:p>
        </w:tc>
        <w:tc>
          <w:tcPr>
            <w:tcW w:w="880" w:type="dxa"/>
            <w:vAlign w:val="bottom"/>
            <w:vMerge w:val="continue"/>
            <w:shd w:val="clear" w:color="auto" w:fill="F2F2F2"/>
          </w:tcPr>
          <w:p>
            <w:pPr>
              <w:spacing w:after="0"/>
              <w:rPr>
                <w:sz w:val="10"/>
                <w:szCs w:val="10"/>
                <w:color w:val="auto"/>
              </w:rPr>
            </w:pPr>
          </w:p>
        </w:tc>
        <w:tc>
          <w:tcPr>
            <w:tcW w:w="820" w:type="dxa"/>
            <w:vAlign w:val="bottom"/>
            <w:gridSpan w:val="2"/>
            <w:vMerge w:val="continue"/>
            <w:shd w:val="clear" w:color="auto" w:fill="F2F2F2"/>
          </w:tcPr>
          <w:p>
            <w:pPr>
              <w:spacing w:after="0"/>
              <w:rPr>
                <w:sz w:val="10"/>
                <w:szCs w:val="10"/>
                <w:color w:val="auto"/>
              </w:rPr>
            </w:pPr>
          </w:p>
        </w:tc>
        <w:tc>
          <w:tcPr>
            <w:tcW w:w="320" w:type="dxa"/>
            <w:vAlign w:val="bottom"/>
            <w:shd w:val="clear" w:color="auto" w:fill="F2F2F2"/>
          </w:tcPr>
          <w:p>
            <w:pPr>
              <w:spacing w:after="0"/>
              <w:rPr>
                <w:sz w:val="10"/>
                <w:szCs w:val="10"/>
                <w:color w:val="auto"/>
              </w:rPr>
            </w:pPr>
          </w:p>
        </w:tc>
        <w:tc>
          <w:tcPr>
            <w:tcW w:w="40" w:type="dxa"/>
            <w:vAlign w:val="bottom"/>
            <w:shd w:val="clear" w:color="auto" w:fill="F2F2F2"/>
          </w:tcPr>
          <w:p>
            <w:pPr>
              <w:spacing w:after="0"/>
              <w:rPr>
                <w:sz w:val="10"/>
                <w:szCs w:val="10"/>
                <w:color w:val="auto"/>
              </w:rPr>
            </w:pPr>
          </w:p>
        </w:tc>
        <w:tc>
          <w:tcPr>
            <w:tcW w:w="1380" w:type="dxa"/>
            <w:vAlign w:val="bottom"/>
            <w:gridSpan w:val="2"/>
            <w:vMerge w:val="continue"/>
            <w:shd w:val="clear" w:color="auto" w:fill="F2F2F2"/>
          </w:tcPr>
          <w:p>
            <w:pPr>
              <w:spacing w:after="0"/>
              <w:rPr>
                <w:sz w:val="10"/>
                <w:szCs w:val="10"/>
                <w:color w:val="auto"/>
              </w:rPr>
            </w:pPr>
          </w:p>
        </w:tc>
        <w:tc>
          <w:tcPr>
            <w:tcW w:w="1320" w:type="dxa"/>
            <w:vAlign w:val="bottom"/>
            <w:vMerge w:val="continue"/>
            <w:shd w:val="clear" w:color="auto" w:fill="F2F2F2"/>
          </w:tcPr>
          <w:p>
            <w:pPr>
              <w:spacing w:after="0"/>
              <w:rPr>
                <w:sz w:val="10"/>
                <w:szCs w:val="10"/>
                <w:color w:val="auto"/>
              </w:rPr>
            </w:pPr>
          </w:p>
        </w:tc>
        <w:tc>
          <w:tcPr>
            <w:tcW w:w="40" w:type="dxa"/>
            <w:vAlign w:val="bottom"/>
            <w:tcBorders>
              <w:right w:val="single" w:sz="8" w:color="F2F2F2"/>
            </w:tcBorders>
            <w:shd w:val="clear" w:color="auto" w:fill="F2F2F2"/>
          </w:tcPr>
          <w:p>
            <w:pPr>
              <w:spacing w:after="0"/>
              <w:rPr>
                <w:sz w:val="10"/>
                <w:szCs w:val="10"/>
                <w:color w:val="auto"/>
              </w:rPr>
            </w:pPr>
          </w:p>
        </w:tc>
        <w:tc>
          <w:tcPr>
            <w:tcW w:w="1360" w:type="dxa"/>
            <w:vAlign w:val="bottom"/>
            <w:tcBorders>
              <w:right w:val="single" w:sz="8" w:color="F2F2F2"/>
            </w:tcBorders>
            <w:vMerge w:val="continue"/>
            <w:shd w:val="clear" w:color="auto" w:fill="F2F2F2"/>
          </w:tcPr>
          <w:p>
            <w:pPr>
              <w:spacing w:after="0"/>
              <w:rPr>
                <w:sz w:val="10"/>
                <w:szCs w:val="10"/>
                <w:color w:val="auto"/>
              </w:rPr>
            </w:pPr>
          </w:p>
        </w:tc>
        <w:tc>
          <w:tcPr>
            <w:tcW w:w="360" w:type="dxa"/>
            <w:vAlign w:val="bottom"/>
            <w:tcBorders>
              <w:right w:val="single" w:sz="8" w:color="F2F2F2"/>
            </w:tcBorders>
            <w:shd w:val="clear" w:color="auto" w:fill="F2F2F2"/>
          </w:tcPr>
          <w:p>
            <w:pPr>
              <w:spacing w:after="0"/>
              <w:rPr>
                <w:sz w:val="10"/>
                <w:szCs w:val="10"/>
                <w:color w:val="auto"/>
              </w:rPr>
            </w:pPr>
          </w:p>
        </w:tc>
        <w:tc>
          <w:tcPr>
            <w:tcW w:w="1340" w:type="dxa"/>
            <w:vAlign w:val="bottom"/>
            <w:vMerge w:val="continue"/>
            <w:shd w:val="clear" w:color="auto" w:fill="F2F2F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60" w:type="dxa"/>
            <w:vAlign w:val="bottom"/>
            <w:vMerge w:val="continue"/>
            <w:shd w:val="clear" w:color="auto" w:fill="F2F2F2"/>
          </w:tcPr>
          <w:p>
            <w:pPr>
              <w:spacing w:after="0"/>
              <w:rPr>
                <w:sz w:val="5"/>
                <w:szCs w:val="5"/>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F2F2F2"/>
          </w:tcPr>
          <w:p>
            <w:pPr>
              <w:spacing w:after="0"/>
              <w:rPr>
                <w:sz w:val="5"/>
                <w:szCs w:val="5"/>
                <w:color w:val="auto"/>
              </w:rPr>
            </w:pP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5"/>
                <w:szCs w:val="5"/>
                <w:color w:val="auto"/>
              </w:rPr>
            </w:pPr>
          </w:p>
        </w:tc>
        <w:tc>
          <w:tcPr>
            <w:tcW w:w="40" w:type="dxa"/>
            <w:vAlign w:val="bottom"/>
            <w:shd w:val="clear" w:color="auto" w:fill="F2F2F2"/>
          </w:tcPr>
          <w:p>
            <w:pPr>
              <w:spacing w:after="0"/>
              <w:rPr>
                <w:sz w:val="5"/>
                <w:szCs w:val="5"/>
                <w:color w:val="auto"/>
              </w:rPr>
            </w:pPr>
          </w:p>
        </w:tc>
        <w:tc>
          <w:tcPr>
            <w:tcW w:w="980" w:type="dxa"/>
            <w:vAlign w:val="bottom"/>
            <w:tcBorders>
              <w:right w:val="single" w:sz="8" w:color="F2F2F2"/>
            </w:tcBorders>
            <w:shd w:val="clear" w:color="auto" w:fill="F2F2F2"/>
          </w:tcPr>
          <w:p>
            <w:pPr>
              <w:spacing w:after="0"/>
              <w:rPr>
                <w:sz w:val="5"/>
                <w:szCs w:val="5"/>
                <w:color w:val="auto"/>
              </w:rPr>
            </w:pPr>
          </w:p>
        </w:tc>
        <w:tc>
          <w:tcPr>
            <w:tcW w:w="400" w:type="dxa"/>
            <w:vAlign w:val="bottom"/>
            <w:shd w:val="clear" w:color="auto" w:fill="F2F2F2"/>
          </w:tcPr>
          <w:p>
            <w:pPr>
              <w:spacing w:after="0"/>
              <w:rPr>
                <w:sz w:val="5"/>
                <w:szCs w:val="5"/>
                <w:color w:val="auto"/>
              </w:rPr>
            </w:pPr>
          </w:p>
        </w:tc>
        <w:tc>
          <w:tcPr>
            <w:tcW w:w="1320" w:type="dxa"/>
            <w:vAlign w:val="bottom"/>
            <w:shd w:val="clear" w:color="auto" w:fill="F2F2F2"/>
          </w:tcPr>
          <w:p>
            <w:pPr>
              <w:spacing w:after="0"/>
              <w:rPr>
                <w:sz w:val="5"/>
                <w:szCs w:val="5"/>
                <w:color w:val="auto"/>
              </w:rPr>
            </w:pPr>
          </w:p>
        </w:tc>
        <w:tc>
          <w:tcPr>
            <w:tcW w:w="40" w:type="dxa"/>
            <w:vAlign w:val="bottom"/>
            <w:tcBorders>
              <w:right w:val="single" w:sz="8" w:color="F2F2F2"/>
            </w:tcBorders>
            <w:shd w:val="clear" w:color="auto" w:fill="F2F2F2"/>
          </w:tcPr>
          <w:p>
            <w:pPr>
              <w:spacing w:after="0"/>
              <w:rPr>
                <w:sz w:val="5"/>
                <w:szCs w:val="5"/>
                <w:color w:val="auto"/>
              </w:rPr>
            </w:pPr>
          </w:p>
        </w:tc>
        <w:tc>
          <w:tcPr>
            <w:tcW w:w="1360" w:type="dxa"/>
            <w:vAlign w:val="bottom"/>
            <w:tcBorders>
              <w:right w:val="single" w:sz="8" w:color="F2F2F2"/>
            </w:tcBorders>
            <w:shd w:val="clear" w:color="auto" w:fill="F2F2F2"/>
          </w:tcPr>
          <w:p>
            <w:pPr>
              <w:spacing w:after="0"/>
              <w:rPr>
                <w:sz w:val="5"/>
                <w:szCs w:val="5"/>
                <w:color w:val="auto"/>
              </w:rPr>
            </w:pPr>
          </w:p>
        </w:tc>
        <w:tc>
          <w:tcPr>
            <w:tcW w:w="360" w:type="dxa"/>
            <w:vAlign w:val="bottom"/>
            <w:tcBorders>
              <w:right w:val="single" w:sz="8" w:color="F2F2F2"/>
            </w:tcBorders>
            <w:shd w:val="clear" w:color="auto" w:fill="F2F2F2"/>
          </w:tcPr>
          <w:p>
            <w:pPr>
              <w:spacing w:after="0"/>
              <w:rPr>
                <w:sz w:val="5"/>
                <w:szCs w:val="5"/>
                <w:color w:val="auto"/>
              </w:rPr>
            </w:pPr>
          </w:p>
        </w:tc>
        <w:tc>
          <w:tcPr>
            <w:tcW w:w="1340" w:type="dxa"/>
            <w:vAlign w:val="bottom"/>
            <w:shd w:val="clear" w:color="auto" w:fill="F2F2F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F2F2F2"/>
          </w:tcPr>
          <w:p>
            <w:pPr>
              <w:spacing w:after="0"/>
              <w:rPr>
                <w:sz w:val="18"/>
                <w:szCs w:val="18"/>
                <w:color w:val="auto"/>
              </w:rPr>
            </w:pPr>
          </w:p>
        </w:tc>
        <w:tc>
          <w:tcPr>
            <w:tcW w:w="720" w:type="dxa"/>
            <w:vAlign w:val="bottom"/>
            <w:tcBorders>
              <w:right w:val="single" w:sz="8" w:color="F2F2F2"/>
            </w:tcBorders>
            <w:vMerge w:val="continue"/>
            <w:shd w:val="clear" w:color="auto" w:fill="F2F2F2"/>
          </w:tcPr>
          <w:p>
            <w:pPr>
              <w:spacing w:after="0"/>
              <w:rPr>
                <w:sz w:val="18"/>
                <w:szCs w:val="18"/>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continue"/>
            <w:shd w:val="clear" w:color="auto" w:fill="F2F2F2"/>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40" w:type="dxa"/>
            <w:vAlign w:val="bottom"/>
            <w:shd w:val="clear" w:color="auto" w:fill="F2F2F2"/>
          </w:tcPr>
          <w:p>
            <w:pPr>
              <w:spacing w:after="0"/>
              <w:rPr>
                <w:sz w:val="18"/>
                <w:szCs w:val="18"/>
                <w:color w:val="auto"/>
              </w:rPr>
            </w:pPr>
          </w:p>
        </w:tc>
        <w:tc>
          <w:tcPr>
            <w:tcW w:w="1380" w:type="dxa"/>
            <w:vAlign w:val="bottom"/>
            <w:gridSpan w:val="2"/>
            <w:shd w:val="clear" w:color="auto" w:fill="F2F2F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40" w:type="dxa"/>
            <w:vAlign w:val="bottom"/>
            <w:tcBorders>
              <w:right w:val="single" w:sz="8" w:color="F2F2F2"/>
            </w:tcBorders>
            <w:shd w:val="clear" w:color="auto" w:fill="F2F2F2"/>
          </w:tcPr>
          <w:p>
            <w:pPr>
              <w:spacing w:after="0"/>
              <w:rPr>
                <w:sz w:val="18"/>
                <w:szCs w:val="18"/>
                <w:color w:val="auto"/>
              </w:rPr>
            </w:pPr>
          </w:p>
        </w:tc>
        <w:tc>
          <w:tcPr>
            <w:tcW w:w="136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Borders>
              <w:right w:val="single" w:sz="8" w:color="F2F2F2"/>
            </w:tcBorders>
            <w:shd w:val="clear" w:color="auto" w:fill="F2F2F2"/>
          </w:tcPr>
          <w:p>
            <w:pPr>
              <w:spacing w:after="0"/>
              <w:rPr>
                <w:sz w:val="18"/>
                <w:szCs w:val="18"/>
                <w:color w:val="auto"/>
              </w:rPr>
            </w:pPr>
          </w:p>
        </w:tc>
        <w:tc>
          <w:tcPr>
            <w:tcW w:w="1340" w:type="dxa"/>
            <w:vAlign w:val="bottom"/>
            <w:shd w:val="clear" w:color="auto" w:fill="F2F2F2"/>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Ashraf Alkarmi</w:t>
            </w:r>
          </w:p>
        </w:tc>
        <w:tc>
          <w:tcPr>
            <w:tcW w:w="720" w:type="dxa"/>
            <w:vAlign w:val="bottom"/>
            <w:tcBorders>
              <w:right w:val="single" w:sz="8" w:color="F2F2F2"/>
            </w:tcBorders>
          </w:tcPr>
          <w:p>
            <w:pPr>
              <w:ind w:left="200"/>
              <w:spacing w:after="0"/>
              <w:rPr>
                <w:sz w:val="20"/>
                <w:szCs w:val="20"/>
                <w:color w:val="auto"/>
              </w:rPr>
            </w:pPr>
            <w:r>
              <w:rPr>
                <w:rFonts w:ascii="Arial" w:cs="Arial" w:eastAsia="Arial" w:hAnsi="Arial"/>
                <w:sz w:val="14"/>
                <w:szCs w:val="14"/>
                <w:color w:val="auto"/>
              </w:rPr>
              <w:t>2025</w:t>
            </w:r>
          </w:p>
        </w:tc>
        <w:tc>
          <w:tcPr>
            <w:tcW w:w="880" w:type="dxa"/>
            <w:vAlign w:val="bottom"/>
          </w:tcPr>
          <w:p>
            <w:pPr>
              <w:jc w:val="right"/>
              <w:spacing w:after="0"/>
              <w:rPr>
                <w:sz w:val="20"/>
                <w:szCs w:val="20"/>
                <w:color w:val="auto"/>
              </w:rPr>
            </w:pPr>
            <w:r>
              <w:rPr>
                <w:rFonts w:ascii="Arial" w:cs="Arial" w:eastAsia="Arial" w:hAnsi="Arial"/>
                <w:sz w:val="14"/>
                <w:szCs w:val="14"/>
                <w:color w:val="auto"/>
              </w:rPr>
              <w:t>500,000</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0"/>
                <w:szCs w:val="20"/>
                <w:color w:val="auto"/>
              </w:rPr>
            </w:pPr>
          </w:p>
        </w:tc>
        <w:tc>
          <w:tcPr>
            <w:tcW w:w="40" w:type="dxa"/>
            <w:vAlign w:val="bottom"/>
            <w:tcBorders>
              <w:top w:val="single" w:sz="8" w:color="F2F2F2"/>
            </w:tcBorders>
          </w:tcPr>
          <w:p>
            <w:pPr>
              <w:spacing w:after="0"/>
              <w:rPr>
                <w:sz w:val="20"/>
                <w:szCs w:val="20"/>
                <w:color w:val="auto"/>
              </w:rPr>
            </w:pPr>
          </w:p>
        </w:tc>
        <w:tc>
          <w:tcPr>
            <w:tcW w:w="980" w:type="dxa"/>
            <w:vAlign w:val="bottom"/>
            <w:tcBorders>
              <w:top w:val="single" w:sz="8" w:color="F2F2F2"/>
              <w:bottom w:val="single" w:sz="8" w:color="F2F2F2"/>
            </w:tcBorders>
          </w:tcPr>
          <w:p>
            <w:pPr>
              <w:jc w:val="center"/>
              <w:spacing w:after="0"/>
              <w:rPr>
                <w:sz w:val="20"/>
                <w:szCs w:val="20"/>
                <w:color w:val="auto"/>
              </w:rPr>
            </w:pPr>
            <w:r>
              <w:rPr>
                <w:rFonts w:ascii="Arial" w:cs="Arial" w:eastAsia="Arial" w:hAnsi="Arial"/>
                <w:sz w:val="14"/>
                <w:szCs w:val="14"/>
                <w:color w:val="auto"/>
              </w:rPr>
              <w:t>16,159,597</w:t>
            </w:r>
          </w:p>
        </w:tc>
        <w:tc>
          <w:tcPr>
            <w:tcW w:w="4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586,000</w:t>
            </w: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rPr>
              <w:t>9,808</w:t>
            </w:r>
          </w:p>
        </w:tc>
        <w:tc>
          <w:tcPr>
            <w:tcW w:w="360" w:type="dxa"/>
            <w:vAlign w:val="bottom"/>
            <w:tcBorders>
              <w:right w:val="single" w:sz="8" w:color="F2F2F2"/>
            </w:tcBorders>
          </w:tcPr>
          <w:p>
            <w:pPr>
              <w:spacing w:after="0"/>
              <w:rPr>
                <w:sz w:val="20"/>
                <w:szCs w:val="20"/>
                <w:color w:val="auto"/>
              </w:rPr>
            </w:pPr>
          </w:p>
        </w:tc>
        <w:tc>
          <w:tcPr>
            <w:tcW w:w="1340" w:type="dxa"/>
            <w:vAlign w:val="bottom"/>
            <w:tcBorders>
              <w:top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17,255,405</w:t>
            </w:r>
          </w:p>
        </w:tc>
        <w:tc>
          <w:tcPr>
            <w:tcW w:w="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80"/>
              <w:spacing w:after="0"/>
              <w:rPr>
                <w:sz w:val="20"/>
                <w:szCs w:val="20"/>
                <w:color w:val="auto"/>
              </w:rPr>
            </w:pPr>
            <w:r>
              <w:rPr>
                <w:rFonts w:ascii="Arial" w:cs="Arial" w:eastAsia="Arial" w:hAnsi="Arial"/>
                <w:sz w:val="14"/>
                <w:szCs w:val="14"/>
                <w:i w:val="1"/>
                <w:iCs w:val="1"/>
                <w:color w:val="auto"/>
              </w:rPr>
              <w:t>General Manager and Senior Vice</w:t>
            </w:r>
          </w:p>
        </w:tc>
        <w:tc>
          <w:tcPr>
            <w:tcW w:w="720" w:type="dxa"/>
            <w:vAlign w:val="bottom"/>
          </w:tcPr>
          <w:p>
            <w:pPr>
              <w:ind w:left="200"/>
              <w:spacing w:after="0"/>
              <w:rPr>
                <w:sz w:val="20"/>
                <w:szCs w:val="20"/>
                <w:color w:val="auto"/>
              </w:rPr>
            </w:pPr>
            <w:r>
              <w:rPr>
                <w:rFonts w:ascii="Arial" w:cs="Arial" w:eastAsia="Arial" w:hAnsi="Arial"/>
                <w:sz w:val="14"/>
                <w:szCs w:val="14"/>
                <w:color w:val="auto"/>
              </w:rPr>
              <w:t>2024</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66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President, Core Products</w:t>
            </w:r>
          </w:p>
        </w:tc>
        <w:tc>
          <w:tcPr>
            <w:tcW w:w="72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Borders>
              <w:bottom w:val="single" w:sz="8" w:color="F2F2F2"/>
            </w:tcBorders>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4"/>
                <w:szCs w:val="4"/>
                <w:color w:val="auto"/>
              </w:rPr>
            </w:pPr>
          </w:p>
        </w:tc>
        <w:tc>
          <w:tcPr>
            <w:tcW w:w="134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660" w:type="dxa"/>
            <w:vAlign w:val="bottom"/>
            <w:vMerge w:val="continue"/>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2023</w:t>
            </w:r>
          </w:p>
        </w:tc>
        <w:tc>
          <w:tcPr>
            <w:tcW w:w="880" w:type="dxa"/>
            <w:vAlign w:val="bottom"/>
            <w:vMerge w:val="continue"/>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right="100" w:hanging="332"/>
        <w:spacing w:after="0" w:line="213" w:lineRule="auto"/>
        <w:tabs>
          <w:tab w:leader="none" w:pos="333"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Unless otherwise described in the footnotes below, the amounts reported represent the aggregate grant date fair value of the stock awards based on the closing price for a share of our Class A common stock as reported by Nasdaq on the day immediately preceding the grant date, calculated in accordance with ASC Topic 718.</w:t>
      </w:r>
    </w:p>
    <w:p>
      <w:pPr>
        <w:spacing w:after="0" w:line="1" w:lineRule="exact"/>
        <w:rPr>
          <w:rFonts w:ascii="Arial" w:cs="Arial" w:eastAsia="Arial" w:hAnsi="Arial"/>
          <w:sz w:val="19"/>
          <w:szCs w:val="19"/>
          <w:color w:val="auto"/>
          <w:vertAlign w:val="superscript"/>
        </w:rPr>
      </w:pPr>
    </w:p>
    <w:p>
      <w:pPr>
        <w:ind w:left="340" w:right="100" w:hanging="332"/>
        <w:spacing w:after="0" w:line="204" w:lineRule="auto"/>
        <w:tabs>
          <w:tab w:leader="none" w:pos="333"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The amounts reported represent the amounts payable under our cash bonus plans for 2023, 2024, and 2025, respectively. See the section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Elements—Annual Cash Bonuses</w:t>
      </w:r>
      <w:r>
        <w:rPr>
          <w:rFonts w:ascii="Arial" w:cs="Arial" w:eastAsia="Arial" w:hAnsi="Arial"/>
          <w:sz w:val="14"/>
          <w:szCs w:val="14"/>
          <w:color w:val="auto"/>
        </w:rPr>
        <w:t>” above.</w:t>
      </w:r>
    </w:p>
    <w:p>
      <w:pPr>
        <w:spacing w:after="0" w:line="1" w:lineRule="exact"/>
        <w:rPr>
          <w:rFonts w:ascii="Arial" w:cs="Arial" w:eastAsia="Arial" w:hAnsi="Arial"/>
          <w:sz w:val="19"/>
          <w:szCs w:val="19"/>
          <w:color w:val="auto"/>
          <w:vertAlign w:val="superscript"/>
        </w:rPr>
      </w:pPr>
    </w:p>
    <w:p>
      <w:pPr>
        <w:ind w:left="320" w:hanging="312"/>
        <w:spacing w:after="0" w:line="187" w:lineRule="auto"/>
        <w:tabs>
          <w:tab w:leader="none" w:pos="3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Unless otherwise noted, the amount reported includes matching 401(k) contributions in 2023, 2024, and 2025, respectively.</w:t>
      </w:r>
    </w:p>
    <w:p>
      <w:pPr>
        <w:ind w:left="320" w:hanging="312"/>
        <w:spacing w:after="0" w:line="187" w:lineRule="auto"/>
        <w:tabs>
          <w:tab w:leader="none" w:pos="3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security programs and related costs.</w:t>
      </w:r>
    </w:p>
    <w:p>
      <w:pPr>
        <w:ind w:left="320" w:hanging="312"/>
        <w:spacing w:after="0" w:line="182" w:lineRule="auto"/>
        <w:tabs>
          <w:tab w:leader="none" w:pos="320" w:val="left"/>
        </w:tabs>
        <w:numPr>
          <w:ilvl w:val="0"/>
          <w:numId w:val="70"/>
        </w:numPr>
        <w:rPr>
          <w:rFonts w:ascii="Arial" w:cs="Arial" w:eastAsia="Arial" w:hAnsi="Arial"/>
          <w:sz w:val="17"/>
          <w:szCs w:val="17"/>
          <w:color w:val="auto"/>
          <w:vertAlign w:val="superscript"/>
        </w:rPr>
      </w:pPr>
      <w:r>
        <w:rPr>
          <w:rFonts w:ascii="Arial" w:cs="Arial" w:eastAsia="Arial" w:hAnsi="Arial"/>
          <w:sz w:val="13"/>
          <w:szCs w:val="13"/>
          <w:color w:val="auto"/>
        </w:rPr>
        <w:t>The amount reported represents a sign-on bonus pursuant to the terms of the offer letter that we entered into with Mr. Tennenbaum in December 2025.</w:t>
      </w:r>
    </w:p>
    <w:p>
      <w:pPr>
        <w:ind w:left="340" w:right="320" w:hanging="332"/>
        <w:spacing w:after="0" w:line="264" w:lineRule="auto"/>
        <w:tabs>
          <w:tab w:leader="none" w:pos="333" w:val="left"/>
        </w:tabs>
        <w:numPr>
          <w:ilvl w:val="0"/>
          <w:numId w:val="70"/>
        </w:numPr>
        <w:rPr>
          <w:rFonts w:ascii="Arial" w:cs="Arial" w:eastAsia="Arial" w:hAnsi="Arial"/>
          <w:sz w:val="9"/>
          <w:szCs w:val="9"/>
          <w:color w:val="auto"/>
        </w:rPr>
      </w:pPr>
      <w:r>
        <w:rPr>
          <w:rFonts w:ascii="Arial" w:cs="Arial" w:eastAsia="Arial" w:hAnsi="Arial"/>
          <w:sz w:val="14"/>
          <w:szCs w:val="14"/>
          <w:color w:val="auto"/>
        </w:rPr>
        <w:t>Mr. Regan received a one-time advisory fee cash payment of $250,000 in December 2025 in connection with his continued service as a non-executive employee of the company to ensure a smooth transition. Mr. Regan did not otherwise receive any other compensation in connection with his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Grants of Plan-Based Awards in 2025</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plan-based awards granted to our named executive officers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140970</wp:posOffset>
            </wp:positionV>
            <wp:extent cx="4509135" cy="21856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09135" cy="218567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80" w:type="dxa"/>
            <w:vAlign w:val="bottom"/>
            <w:shd w:val="clear" w:color="auto" w:fill="0063A6"/>
          </w:tcPr>
          <w:p>
            <w:pPr>
              <w:spacing w:after="0"/>
              <w:rPr>
                <w:sz w:val="22"/>
                <w:szCs w:val="22"/>
                <w:color w:val="auto"/>
              </w:rPr>
            </w:pPr>
          </w:p>
        </w:tc>
        <w:tc>
          <w:tcPr>
            <w:tcW w:w="1240" w:type="dxa"/>
            <w:vAlign w:val="bottom"/>
            <w:shd w:val="clear" w:color="auto" w:fill="0063A6"/>
          </w:tcPr>
          <w:p>
            <w:pPr>
              <w:spacing w:after="0"/>
              <w:rPr>
                <w:sz w:val="22"/>
                <w:szCs w:val="22"/>
                <w:color w:val="auto"/>
              </w:rPr>
            </w:pPr>
          </w:p>
        </w:tc>
        <w:tc>
          <w:tcPr>
            <w:tcW w:w="1240" w:type="dxa"/>
            <w:vAlign w:val="bottom"/>
            <w:shd w:val="clear" w:color="auto" w:fill="0063A6"/>
          </w:tcPr>
          <w:p>
            <w:pPr>
              <w:spacing w:after="0"/>
              <w:rPr>
                <w:sz w:val="22"/>
                <w:szCs w:val="22"/>
                <w:color w:val="auto"/>
              </w:rPr>
            </w:pPr>
          </w:p>
        </w:tc>
        <w:tc>
          <w:tcPr>
            <w:tcW w:w="3440" w:type="dxa"/>
            <w:vAlign w:val="bottom"/>
            <w:gridSpan w:val="3"/>
            <w:shd w:val="clear" w:color="auto" w:fill="0063A6"/>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All Other</w:t>
            </w:r>
          </w:p>
        </w:tc>
        <w:tc>
          <w:tcPr>
            <w:tcW w:w="1480" w:type="dxa"/>
            <w:vAlign w:val="bottom"/>
            <w:shd w:val="clear" w:color="auto" w:fill="0063A6"/>
          </w:tcPr>
          <w:p>
            <w:pPr>
              <w:spacing w:after="0"/>
              <w:rPr>
                <w:sz w:val="22"/>
                <w:szCs w:val="22"/>
                <w:color w:val="auto"/>
              </w:rPr>
            </w:pPr>
          </w:p>
        </w:tc>
      </w:tr>
      <w:tr>
        <w:trPr>
          <w:trHeight w:val="166"/>
        </w:trPr>
        <w:tc>
          <w:tcPr>
            <w:tcW w:w="268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15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Non-Equity Incentive</w:t>
            </w:r>
          </w:p>
        </w:tc>
        <w:tc>
          <w:tcPr>
            <w:tcW w:w="960" w:type="dxa"/>
            <w:vAlign w:val="bottom"/>
            <w:shd w:val="clear" w:color="auto" w:fill="0063A6"/>
          </w:tcPr>
          <w:p>
            <w:pPr>
              <w:spacing w:after="0"/>
              <w:rPr>
                <w:sz w:val="14"/>
                <w:szCs w:val="14"/>
                <w:color w:val="auto"/>
              </w:rPr>
            </w:pP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Stock</w:t>
            </w:r>
          </w:p>
        </w:tc>
        <w:tc>
          <w:tcPr>
            <w:tcW w:w="1480" w:type="dxa"/>
            <w:vAlign w:val="bottom"/>
            <w:shd w:val="clear" w:color="auto" w:fill="0063A6"/>
          </w:tcPr>
          <w:p>
            <w:pPr>
              <w:spacing w:after="0"/>
              <w:rPr>
                <w:sz w:val="14"/>
                <w:szCs w:val="14"/>
                <w:color w:val="auto"/>
              </w:rPr>
            </w:pPr>
          </w:p>
        </w:tc>
      </w:tr>
      <w:tr>
        <w:trPr>
          <w:trHeight w:val="171"/>
        </w:trPr>
        <w:tc>
          <w:tcPr>
            <w:tcW w:w="268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1520" w:type="dxa"/>
            <w:vAlign w:val="bottom"/>
            <w:shd w:val="clear" w:color="auto" w:fill="0063A6"/>
          </w:tcPr>
          <w:p>
            <w:pPr>
              <w:jc w:val="center"/>
              <w:spacing w:after="0" w:line="171" w:lineRule="exact"/>
              <w:rPr>
                <w:sz w:val="20"/>
                <w:szCs w:val="20"/>
                <w:color w:val="auto"/>
              </w:rPr>
            </w:pPr>
            <w:r>
              <w:rPr>
                <w:rFonts w:ascii="Arial" w:cs="Arial" w:eastAsia="Arial" w:hAnsi="Arial"/>
                <w:sz w:val="14"/>
                <w:szCs w:val="14"/>
                <w:b w:val="1"/>
                <w:bCs w:val="1"/>
                <w:color w:val="FFFFFF"/>
                <w:w w:val="98"/>
              </w:rPr>
              <w:t>Plan Awards ($)</w:t>
            </w:r>
            <w:r>
              <w:rPr>
                <w:rFonts w:ascii="Arial" w:cs="Arial" w:eastAsia="Arial" w:hAnsi="Arial"/>
                <w:sz w:val="18"/>
                <w:szCs w:val="18"/>
                <w:b w:val="1"/>
                <w:bCs w:val="1"/>
                <w:color w:val="FFFFFF"/>
                <w:w w:val="98"/>
                <w:vertAlign w:val="superscript"/>
              </w:rPr>
              <w:t>(1)</w:t>
            </w:r>
          </w:p>
        </w:tc>
        <w:tc>
          <w:tcPr>
            <w:tcW w:w="960" w:type="dxa"/>
            <w:vAlign w:val="bottom"/>
            <w:shd w:val="clear" w:color="auto" w:fill="0063A6"/>
          </w:tcPr>
          <w:p>
            <w:pPr>
              <w:spacing w:after="0"/>
              <w:rPr>
                <w:sz w:val="14"/>
                <w:szCs w:val="14"/>
                <w:color w:val="auto"/>
              </w:rPr>
            </w:pP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Awards:</w:t>
            </w:r>
          </w:p>
        </w:tc>
        <w:tc>
          <w:tcPr>
            <w:tcW w:w="14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Grant Date</w:t>
            </w:r>
          </w:p>
        </w:tc>
      </w:tr>
      <w:tr>
        <w:trPr>
          <w:trHeight w:val="153"/>
        </w:trPr>
        <w:tc>
          <w:tcPr>
            <w:tcW w:w="2680" w:type="dxa"/>
            <w:vAlign w:val="bottom"/>
            <w:shd w:val="clear" w:color="auto" w:fill="0063A6"/>
          </w:tcPr>
          <w:p>
            <w:pPr>
              <w:spacing w:after="0"/>
              <w:rPr>
                <w:sz w:val="13"/>
                <w:szCs w:val="13"/>
                <w:color w:val="auto"/>
              </w:rPr>
            </w:pPr>
          </w:p>
        </w:tc>
        <w:tc>
          <w:tcPr>
            <w:tcW w:w="1240" w:type="dxa"/>
            <w:vAlign w:val="bottom"/>
            <w:shd w:val="clear" w:color="auto" w:fill="0063A6"/>
          </w:tcPr>
          <w:p>
            <w:pPr>
              <w:spacing w:after="0"/>
              <w:rPr>
                <w:sz w:val="13"/>
                <w:szCs w:val="13"/>
                <w:color w:val="auto"/>
              </w:rPr>
            </w:pPr>
          </w:p>
        </w:tc>
        <w:tc>
          <w:tcPr>
            <w:tcW w:w="1240" w:type="dxa"/>
            <w:vAlign w:val="bottom"/>
            <w:shd w:val="clear" w:color="auto" w:fill="0063A6"/>
          </w:tcPr>
          <w:p>
            <w:pPr>
              <w:spacing w:after="0"/>
              <w:rPr>
                <w:sz w:val="13"/>
                <w:szCs w:val="13"/>
                <w:color w:val="auto"/>
              </w:rPr>
            </w:pPr>
          </w:p>
        </w:tc>
        <w:tc>
          <w:tcPr>
            <w:tcW w:w="960" w:type="dxa"/>
            <w:vAlign w:val="bottom"/>
            <w:shd w:val="clear" w:color="auto" w:fill="0063A6"/>
          </w:tcPr>
          <w:p>
            <w:pPr>
              <w:spacing w:after="0"/>
              <w:rPr>
                <w:sz w:val="13"/>
                <w:szCs w:val="13"/>
                <w:color w:val="auto"/>
              </w:rPr>
            </w:pPr>
          </w:p>
        </w:tc>
        <w:tc>
          <w:tcPr>
            <w:tcW w:w="1520" w:type="dxa"/>
            <w:vAlign w:val="bottom"/>
            <w:shd w:val="clear" w:color="auto" w:fill="0063A6"/>
          </w:tcPr>
          <w:p>
            <w:pPr>
              <w:spacing w:after="0"/>
              <w:rPr>
                <w:sz w:val="13"/>
                <w:szCs w:val="13"/>
                <w:color w:val="auto"/>
              </w:rPr>
            </w:pPr>
          </w:p>
        </w:tc>
        <w:tc>
          <w:tcPr>
            <w:tcW w:w="960" w:type="dxa"/>
            <w:vAlign w:val="bottom"/>
            <w:shd w:val="clear" w:color="auto" w:fill="0063A6"/>
          </w:tcPr>
          <w:p>
            <w:pPr>
              <w:spacing w:after="0"/>
              <w:rPr>
                <w:sz w:val="13"/>
                <w:szCs w:val="13"/>
                <w:color w:val="auto"/>
              </w:rPr>
            </w:pPr>
          </w:p>
        </w:tc>
        <w:tc>
          <w:tcPr>
            <w:tcW w:w="1160" w:type="dxa"/>
            <w:vAlign w:val="bottom"/>
            <w:shd w:val="clear" w:color="auto" w:fill="0063A6"/>
          </w:tcPr>
          <w:p>
            <w:pPr>
              <w:jc w:val="center"/>
              <w:spacing w:after="0" w:line="153" w:lineRule="exact"/>
              <w:rPr>
                <w:sz w:val="20"/>
                <w:szCs w:val="20"/>
                <w:color w:val="auto"/>
              </w:rPr>
            </w:pPr>
            <w:r>
              <w:rPr>
                <w:rFonts w:ascii="Arial" w:cs="Arial" w:eastAsia="Arial" w:hAnsi="Arial"/>
                <w:sz w:val="14"/>
                <w:szCs w:val="14"/>
                <w:b w:val="1"/>
                <w:bCs w:val="1"/>
                <w:color w:val="FFFFFF"/>
              </w:rPr>
              <w:t>Number of</w:t>
            </w:r>
          </w:p>
        </w:tc>
        <w:tc>
          <w:tcPr>
            <w:tcW w:w="1480" w:type="dxa"/>
            <w:vAlign w:val="bottom"/>
            <w:shd w:val="clear" w:color="auto" w:fill="0063A6"/>
          </w:tcPr>
          <w:p>
            <w:pPr>
              <w:jc w:val="center"/>
              <w:spacing w:after="0" w:line="153" w:lineRule="exact"/>
              <w:rPr>
                <w:sz w:val="20"/>
                <w:szCs w:val="20"/>
                <w:color w:val="auto"/>
              </w:rPr>
            </w:pPr>
            <w:r>
              <w:rPr>
                <w:rFonts w:ascii="Arial" w:cs="Arial" w:eastAsia="Arial" w:hAnsi="Arial"/>
                <w:sz w:val="14"/>
                <w:szCs w:val="14"/>
                <w:b w:val="1"/>
                <w:bCs w:val="1"/>
                <w:color w:val="FFFFFF"/>
              </w:rPr>
              <w:t>Fair Value of Stock</w:t>
            </w:r>
          </w:p>
        </w:tc>
      </w:tr>
      <w:tr>
        <w:trPr>
          <w:trHeight w:val="246"/>
        </w:trPr>
        <w:tc>
          <w:tcPr>
            <w:tcW w:w="26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1240" w:type="dxa"/>
            <w:vAlign w:val="bottom"/>
            <w:tcBorders>
              <w:bottom w:val="single" w:sz="8" w:color="0063A6"/>
            </w:tcBorders>
            <w:shd w:val="clear" w:color="auto" w:fill="0063A6"/>
          </w:tcPr>
          <w:p>
            <w:pPr>
              <w:ind w:left="260"/>
              <w:spacing w:after="0"/>
              <w:rPr>
                <w:sz w:val="20"/>
                <w:szCs w:val="20"/>
                <w:color w:val="auto"/>
              </w:rPr>
            </w:pPr>
            <w:r>
              <w:rPr>
                <w:rFonts w:ascii="Arial" w:cs="Arial" w:eastAsia="Arial" w:hAnsi="Arial"/>
                <w:sz w:val="14"/>
                <w:szCs w:val="14"/>
                <w:b w:val="1"/>
                <w:bCs w:val="1"/>
                <w:color w:val="FFFFFF"/>
              </w:rPr>
              <w:t>Grant Date</w:t>
            </w:r>
          </w:p>
        </w:tc>
        <w:tc>
          <w:tcPr>
            <w:tcW w:w="1240" w:type="dxa"/>
            <w:vAlign w:val="bottom"/>
            <w:tcBorders>
              <w:bottom w:val="single" w:sz="8" w:color="0063A6"/>
            </w:tcBorders>
            <w:shd w:val="clear" w:color="auto" w:fill="0063A6"/>
          </w:tcPr>
          <w:p>
            <w:pPr>
              <w:ind w:left="140"/>
              <w:spacing w:after="0"/>
              <w:rPr>
                <w:sz w:val="20"/>
                <w:szCs w:val="20"/>
                <w:color w:val="auto"/>
              </w:rPr>
            </w:pPr>
            <w:r>
              <w:rPr>
                <w:rFonts w:ascii="Arial" w:cs="Arial" w:eastAsia="Arial" w:hAnsi="Arial"/>
                <w:sz w:val="14"/>
                <w:szCs w:val="14"/>
                <w:b w:val="1"/>
                <w:bCs w:val="1"/>
                <w:color w:val="FFFFFF"/>
              </w:rPr>
              <w:t>Approval Date</w:t>
            </w:r>
          </w:p>
        </w:tc>
        <w:tc>
          <w:tcPr>
            <w:tcW w:w="960" w:type="dxa"/>
            <w:vAlign w:val="bottom"/>
            <w:tcBorders>
              <w:bottom w:val="single" w:sz="8" w:color="0063A6"/>
            </w:tcBorders>
            <w:shd w:val="clear" w:color="auto" w:fill="0063A6"/>
          </w:tcPr>
          <w:p>
            <w:pPr>
              <w:ind w:left="240"/>
              <w:spacing w:after="0"/>
              <w:rPr>
                <w:sz w:val="20"/>
                <w:szCs w:val="20"/>
                <w:color w:val="auto"/>
              </w:rPr>
            </w:pPr>
            <w:r>
              <w:rPr>
                <w:rFonts w:ascii="Arial" w:cs="Arial" w:eastAsia="Arial" w:hAnsi="Arial"/>
                <w:sz w:val="14"/>
                <w:szCs w:val="14"/>
                <w:b w:val="1"/>
                <w:bCs w:val="1"/>
                <w:color w:val="FFFFFF"/>
              </w:rPr>
              <w:t>Threshold</w:t>
            </w:r>
          </w:p>
        </w:tc>
        <w:tc>
          <w:tcPr>
            <w:tcW w:w="15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9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Maximum</w:t>
            </w:r>
          </w:p>
        </w:tc>
        <w:tc>
          <w:tcPr>
            <w:tcW w:w="11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w:t>
            </w: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7"/>
              </w:rPr>
              <w:t>Awards ($)</w:t>
            </w:r>
            <w:r>
              <w:rPr>
                <w:rFonts w:ascii="Arial" w:cs="Arial" w:eastAsia="Arial" w:hAnsi="Arial"/>
                <w:sz w:val="18"/>
                <w:szCs w:val="18"/>
                <w:b w:val="1"/>
                <w:bCs w:val="1"/>
                <w:color w:val="FFFFFF"/>
                <w:w w:val="97"/>
                <w:vertAlign w:val="superscript"/>
              </w:rPr>
              <w:t>(2)</w:t>
            </w:r>
          </w:p>
        </w:tc>
      </w:tr>
      <w:tr>
        <w:trPr>
          <w:trHeight w:val="223"/>
        </w:trPr>
        <w:tc>
          <w:tcPr>
            <w:tcW w:w="26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2F2F2"/>
            </w:tcBorders>
            <w:shd w:val="clear" w:color="auto" w:fill="F2F2F2"/>
          </w:tcPr>
          <w:p>
            <w:pPr>
              <w:jc w:val="center"/>
              <w:ind w:left="121"/>
              <w:spacing w:after="0"/>
              <w:rPr>
                <w:sz w:val="20"/>
                <w:szCs w:val="20"/>
                <w:color w:val="auto"/>
              </w:rPr>
            </w:pPr>
            <w:r>
              <w:rPr>
                <w:rFonts w:ascii="Arial" w:cs="Arial" w:eastAsia="Arial" w:hAnsi="Arial"/>
                <w:sz w:val="16"/>
                <w:szCs w:val="16"/>
                <w:color w:val="auto"/>
              </w:rPr>
              <w:t>200,000</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96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1,500,000</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215"/>
        </w:trPr>
        <w:tc>
          <w:tcPr>
            <w:tcW w:w="268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8"/>
        </w:trPr>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5"/>
        </w:trPr>
        <w:tc>
          <w:tcPr>
            <w:tcW w:w="268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F2F2F2"/>
          </w:tcPr>
          <w:p>
            <w:pPr>
              <w:jc w:val="center"/>
              <w:ind w:left="121"/>
              <w:spacing w:after="0"/>
              <w:rPr>
                <w:sz w:val="20"/>
                <w:szCs w:val="20"/>
                <w:color w:val="auto"/>
              </w:rPr>
            </w:pPr>
            <w:r>
              <w:rPr>
                <w:rFonts w:ascii="Arial" w:cs="Arial" w:eastAsia="Arial" w:hAnsi="Arial"/>
                <w:sz w:val="16"/>
                <w:szCs w:val="16"/>
                <w:color w:val="auto"/>
                <w:w w:val="96"/>
              </w:rPr>
              <w:t>119,000</w:t>
            </w:r>
          </w:p>
        </w:tc>
        <w:tc>
          <w:tcPr>
            <w:tcW w:w="15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476,000</w:t>
            </w:r>
          </w:p>
        </w:tc>
        <w:tc>
          <w:tcPr>
            <w:tcW w:w="960" w:type="dxa"/>
            <w:vAlign w:val="bottom"/>
            <w:shd w:val="clear" w:color="auto" w:fill="F2F2F2"/>
          </w:tcPr>
          <w:p>
            <w:pPr>
              <w:jc w:val="center"/>
              <w:ind w:right="100"/>
              <w:spacing w:after="0"/>
              <w:rPr>
                <w:sz w:val="20"/>
                <w:szCs w:val="20"/>
                <w:color w:val="auto"/>
              </w:rPr>
            </w:pPr>
            <w:r>
              <w:rPr>
                <w:rFonts w:ascii="Arial" w:cs="Arial" w:eastAsia="Arial" w:hAnsi="Arial"/>
                <w:sz w:val="16"/>
                <w:szCs w:val="16"/>
                <w:color w:val="auto"/>
              </w:rPr>
              <w:t>892,500</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251"/>
        </w:trPr>
        <w:tc>
          <w:tcPr>
            <w:tcW w:w="2680" w:type="dxa"/>
            <w:vAlign w:val="bottom"/>
            <w:tcBorders>
              <w:bottom w:val="single" w:sz="8" w:color="F2F2F2"/>
            </w:tcBorders>
            <w:shd w:val="clear" w:color="auto" w:fill="F2F2F2"/>
          </w:tcPr>
          <w:p>
            <w:pPr>
              <w:spacing w:after="0"/>
              <w:rPr>
                <w:sz w:val="21"/>
                <w:szCs w:val="21"/>
                <w:color w:val="auto"/>
              </w:rPr>
            </w:pP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4/1/2025</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3/5/2025</w:t>
            </w:r>
          </w:p>
        </w:tc>
        <w:tc>
          <w:tcPr>
            <w:tcW w:w="960" w:type="dxa"/>
            <w:vAlign w:val="bottom"/>
            <w:tcBorders>
              <w:bottom w:val="single" w:sz="8" w:color="F2F2F2"/>
            </w:tcBorders>
            <w:shd w:val="clear" w:color="auto" w:fill="F2F2F2"/>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209,777</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5,603,144</w:t>
            </w:r>
          </w:p>
        </w:tc>
      </w:tr>
      <w:tr>
        <w:trPr>
          <w:trHeight w:val="215"/>
        </w:trPr>
        <w:tc>
          <w:tcPr>
            <w:tcW w:w="2680" w:type="dxa"/>
            <w:vAlign w:val="bottom"/>
          </w:tcPr>
          <w:p>
            <w:pPr>
              <w:ind w:left="60"/>
              <w:spacing w:after="0"/>
              <w:rPr>
                <w:sz w:val="20"/>
                <w:szCs w:val="20"/>
                <w:color w:val="auto"/>
              </w:rPr>
            </w:pPr>
            <w:r>
              <w:rPr>
                <w:rFonts w:ascii="Arial" w:cs="Arial" w:eastAsia="Arial" w:hAnsi="Arial"/>
                <w:sz w:val="16"/>
                <w:szCs w:val="16"/>
                <w:color w:val="auto"/>
              </w:rPr>
              <w:t>William Yoon</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left="141"/>
              <w:spacing w:after="0"/>
              <w:rPr>
                <w:sz w:val="20"/>
                <w:szCs w:val="20"/>
                <w:color w:val="auto"/>
              </w:rPr>
            </w:pPr>
            <w:r>
              <w:rPr>
                <w:rFonts w:ascii="Arial" w:cs="Arial" w:eastAsia="Arial" w:hAnsi="Arial"/>
                <w:sz w:val="16"/>
                <w:szCs w:val="16"/>
                <w:color w:val="auto"/>
              </w:rPr>
              <w:t>80,047</w:t>
            </w:r>
          </w:p>
        </w:tc>
        <w:tc>
          <w:tcPr>
            <w:tcW w:w="1520" w:type="dxa"/>
            <w:vAlign w:val="bottom"/>
          </w:tcPr>
          <w:p>
            <w:pPr>
              <w:jc w:val="center"/>
              <w:spacing w:after="0"/>
              <w:rPr>
                <w:sz w:val="20"/>
                <w:szCs w:val="20"/>
                <w:color w:val="auto"/>
              </w:rPr>
            </w:pPr>
            <w:r>
              <w:rPr>
                <w:rFonts w:ascii="Arial" w:cs="Arial" w:eastAsia="Arial" w:hAnsi="Arial"/>
                <w:sz w:val="16"/>
                <w:szCs w:val="16"/>
                <w:color w:val="auto"/>
              </w:rPr>
              <w:t>320,188</w:t>
            </w:r>
          </w:p>
        </w:tc>
        <w:tc>
          <w:tcPr>
            <w:tcW w:w="960" w:type="dxa"/>
            <w:vAlign w:val="bottom"/>
          </w:tcPr>
          <w:p>
            <w:pPr>
              <w:jc w:val="center"/>
              <w:ind w:right="100"/>
              <w:spacing w:after="0"/>
              <w:rPr>
                <w:sz w:val="20"/>
                <w:szCs w:val="20"/>
                <w:color w:val="auto"/>
              </w:rPr>
            </w:pPr>
            <w:r>
              <w:rPr>
                <w:rFonts w:ascii="Arial" w:cs="Arial" w:eastAsia="Arial" w:hAnsi="Arial"/>
                <w:sz w:val="16"/>
                <w:szCs w:val="16"/>
                <w:color w:val="auto"/>
              </w:rPr>
              <w:t>600,353</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2"/>
        </w:trPr>
        <w:tc>
          <w:tcPr>
            <w:tcW w:w="26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4/1/2025</w:t>
            </w:r>
          </w:p>
        </w:tc>
        <w:tc>
          <w:tcPr>
            <w:tcW w:w="1240" w:type="dxa"/>
            <w:vAlign w:val="bottom"/>
          </w:tcPr>
          <w:p>
            <w:pPr>
              <w:jc w:val="center"/>
              <w:spacing w:after="0"/>
              <w:rPr>
                <w:sz w:val="20"/>
                <w:szCs w:val="20"/>
                <w:color w:val="auto"/>
              </w:rPr>
            </w:pPr>
            <w:r>
              <w:rPr>
                <w:rFonts w:ascii="Arial" w:cs="Arial" w:eastAsia="Arial" w:hAnsi="Arial"/>
                <w:sz w:val="16"/>
                <w:szCs w:val="16"/>
                <w:color w:val="auto"/>
              </w:rPr>
              <w:t>3/6/2025</w:t>
            </w:r>
          </w:p>
        </w:tc>
        <w:tc>
          <w:tcPr>
            <w:tcW w:w="960" w:type="dxa"/>
            <w:vAlign w:val="bottom"/>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rPr>
              <w:t>190,706</w:t>
            </w:r>
          </w:p>
        </w:tc>
        <w:tc>
          <w:tcPr>
            <w:tcW w:w="1480" w:type="dxa"/>
            <w:vAlign w:val="bottom"/>
          </w:tcPr>
          <w:p>
            <w:pPr>
              <w:jc w:val="center"/>
              <w:spacing w:after="0"/>
              <w:rPr>
                <w:sz w:val="20"/>
                <w:szCs w:val="20"/>
                <w:color w:val="auto"/>
              </w:rPr>
            </w:pPr>
            <w:r>
              <w:rPr>
                <w:rFonts w:ascii="Arial" w:cs="Arial" w:eastAsia="Arial" w:hAnsi="Arial"/>
                <w:sz w:val="16"/>
                <w:szCs w:val="16"/>
                <w:color w:val="auto"/>
              </w:rPr>
              <w:t>5,093,757</w:t>
            </w:r>
          </w:p>
        </w:tc>
      </w:tr>
      <w:tr>
        <w:trPr>
          <w:trHeight w:val="29"/>
        </w:trPr>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5"/>
        </w:trPr>
        <w:tc>
          <w:tcPr>
            <w:tcW w:w="26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Ali Dasdan</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F2F2F2"/>
          </w:tcPr>
          <w:p>
            <w:pPr>
              <w:jc w:val="center"/>
              <w:ind w:left="141"/>
              <w:spacing w:after="0"/>
              <w:rPr>
                <w:sz w:val="20"/>
                <w:szCs w:val="20"/>
                <w:color w:val="auto"/>
              </w:rPr>
            </w:pPr>
            <w:r>
              <w:rPr>
                <w:rFonts w:ascii="Arial" w:cs="Arial" w:eastAsia="Arial" w:hAnsi="Arial"/>
                <w:sz w:val="16"/>
                <w:szCs w:val="16"/>
                <w:color w:val="auto"/>
              </w:rPr>
              <w:t>104,110</w:t>
            </w:r>
          </w:p>
        </w:tc>
        <w:tc>
          <w:tcPr>
            <w:tcW w:w="15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416,438</w:t>
            </w:r>
          </w:p>
        </w:tc>
        <w:tc>
          <w:tcPr>
            <w:tcW w:w="960" w:type="dxa"/>
            <w:vAlign w:val="bottom"/>
            <w:shd w:val="clear" w:color="auto" w:fill="F2F2F2"/>
          </w:tcPr>
          <w:p>
            <w:pPr>
              <w:jc w:val="center"/>
              <w:ind w:right="100"/>
              <w:spacing w:after="0"/>
              <w:rPr>
                <w:sz w:val="20"/>
                <w:szCs w:val="20"/>
                <w:color w:val="auto"/>
              </w:rPr>
            </w:pPr>
            <w:r>
              <w:rPr>
                <w:rFonts w:ascii="Arial" w:cs="Arial" w:eastAsia="Arial" w:hAnsi="Arial"/>
                <w:sz w:val="16"/>
                <w:szCs w:val="16"/>
                <w:color w:val="auto"/>
              </w:rPr>
              <w:t>780,821</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251"/>
        </w:trPr>
        <w:tc>
          <w:tcPr>
            <w:tcW w:w="2680" w:type="dxa"/>
            <w:vAlign w:val="bottom"/>
            <w:tcBorders>
              <w:bottom w:val="single" w:sz="8" w:color="F2F2F2"/>
            </w:tcBorders>
            <w:shd w:val="clear" w:color="auto" w:fill="F2F2F2"/>
          </w:tcPr>
          <w:p>
            <w:pPr>
              <w:spacing w:after="0"/>
              <w:rPr>
                <w:sz w:val="21"/>
                <w:szCs w:val="21"/>
                <w:color w:val="auto"/>
              </w:rPr>
            </w:pP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4/1/2025</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3/5/2025</w:t>
            </w:r>
          </w:p>
        </w:tc>
        <w:tc>
          <w:tcPr>
            <w:tcW w:w="960" w:type="dxa"/>
            <w:vAlign w:val="bottom"/>
            <w:tcBorders>
              <w:bottom w:val="single" w:sz="8" w:color="F2F2F2"/>
            </w:tcBorders>
            <w:shd w:val="clear" w:color="auto" w:fill="F2F2F2"/>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610,260</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16,300,045</w:t>
            </w:r>
          </w:p>
        </w:tc>
      </w:tr>
      <w:tr>
        <w:trPr>
          <w:trHeight w:val="215"/>
        </w:trPr>
        <w:tc>
          <w:tcPr>
            <w:tcW w:w="268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left="141"/>
              <w:spacing w:after="0"/>
              <w:rPr>
                <w:sz w:val="20"/>
                <w:szCs w:val="20"/>
                <w:color w:val="auto"/>
              </w:rPr>
            </w:pPr>
            <w:r>
              <w:rPr>
                <w:rFonts w:ascii="Arial" w:cs="Arial" w:eastAsia="Arial" w:hAnsi="Arial"/>
                <w:sz w:val="16"/>
                <w:szCs w:val="16"/>
                <w:color w:val="auto"/>
              </w:rPr>
              <w:t>125,000</w:t>
            </w:r>
          </w:p>
        </w:tc>
        <w:tc>
          <w:tcPr>
            <w:tcW w:w="1520" w:type="dxa"/>
            <w:vAlign w:val="bottom"/>
          </w:tcPr>
          <w:p>
            <w:pPr>
              <w:jc w:val="center"/>
              <w:spacing w:after="0"/>
              <w:rPr>
                <w:sz w:val="20"/>
                <w:szCs w:val="20"/>
                <w:color w:val="auto"/>
              </w:rPr>
            </w:pPr>
            <w:r>
              <w:rPr>
                <w:rFonts w:ascii="Arial" w:cs="Arial" w:eastAsia="Arial" w:hAnsi="Arial"/>
                <w:sz w:val="16"/>
                <w:szCs w:val="16"/>
                <w:color w:val="auto"/>
              </w:rPr>
              <w:t>500,000</w:t>
            </w:r>
          </w:p>
        </w:tc>
        <w:tc>
          <w:tcPr>
            <w:tcW w:w="960" w:type="dxa"/>
            <w:vAlign w:val="bottom"/>
          </w:tcPr>
          <w:p>
            <w:pPr>
              <w:jc w:val="center"/>
              <w:ind w:right="100"/>
              <w:spacing w:after="0"/>
              <w:rPr>
                <w:sz w:val="20"/>
                <w:szCs w:val="20"/>
                <w:color w:val="auto"/>
              </w:rPr>
            </w:pPr>
            <w:r>
              <w:rPr>
                <w:rFonts w:ascii="Arial" w:cs="Arial" w:eastAsia="Arial" w:hAnsi="Arial"/>
                <w:sz w:val="16"/>
                <w:szCs w:val="16"/>
                <w:color w:val="auto"/>
              </w:rPr>
              <w:t>937,500</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2"/>
        </w:trPr>
        <w:tc>
          <w:tcPr>
            <w:tcW w:w="26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1/1/2025</w:t>
            </w:r>
          </w:p>
        </w:tc>
        <w:tc>
          <w:tcPr>
            <w:tcW w:w="1240" w:type="dxa"/>
            <w:vAlign w:val="bottom"/>
          </w:tcPr>
          <w:p>
            <w:pPr>
              <w:jc w:val="center"/>
              <w:spacing w:after="0"/>
              <w:rPr>
                <w:sz w:val="20"/>
                <w:szCs w:val="20"/>
                <w:color w:val="auto"/>
              </w:rPr>
            </w:pPr>
            <w:r>
              <w:rPr>
                <w:rFonts w:ascii="Arial" w:cs="Arial" w:eastAsia="Arial" w:hAnsi="Arial"/>
                <w:sz w:val="16"/>
                <w:szCs w:val="16"/>
                <w:color w:val="auto"/>
              </w:rPr>
              <w:t>12/9/2024</w:t>
            </w:r>
          </w:p>
        </w:tc>
        <w:tc>
          <w:tcPr>
            <w:tcW w:w="960" w:type="dxa"/>
            <w:vAlign w:val="bottom"/>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rPr>
              <w:t>537,936</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16,159,597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-598170</wp:posOffset>
            </wp:positionV>
            <wp:extent cx="17145"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-598170</wp:posOffset>
            </wp:positionV>
            <wp:extent cx="1714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-598170</wp:posOffset>
            </wp:positionV>
            <wp:extent cx="1714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-598170</wp:posOffset>
            </wp:positionV>
            <wp:extent cx="1714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-1369695</wp:posOffset>
            </wp:positionV>
            <wp:extent cx="17145" cy="308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 cy="308610"/>
                    </a:xfrm>
                    <a:prstGeom prst="rect">
                      <a:avLst/>
                    </a:prstGeom>
                    <a:noFill/>
                  </pic:spPr>
                </pic:pic>
              </a:graphicData>
            </a:graphic>
          </wp:anchor>
        </w:drawing>
      </w:r>
    </w:p>
    <w:p>
      <w:pPr>
        <w:spacing w:after="0" w:line="81" w:lineRule="exact"/>
        <w:rPr>
          <w:sz w:val="20"/>
          <w:szCs w:val="20"/>
          <w:color w:val="auto"/>
        </w:rPr>
      </w:pPr>
    </w:p>
    <w:p>
      <w:pPr>
        <w:ind w:left="340" w:right="220" w:hanging="332"/>
        <w:spacing w:after="0" w:line="222" w:lineRule="auto"/>
        <w:tabs>
          <w:tab w:leader="none" w:pos="333"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Each of these grants was made pursuant to our 2025 Cash Bonus Plan, as described in greater detail under the section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Elements – Annual Cash Bonuses</w:t>
      </w:r>
      <w:r>
        <w:rPr>
          <w:rFonts w:ascii="Arial" w:cs="Arial" w:eastAsia="Arial" w:hAnsi="Arial"/>
          <w:sz w:val="14"/>
          <w:szCs w:val="14"/>
          <w:color w:val="auto"/>
        </w:rPr>
        <w:t>” above.</w:t>
      </w:r>
    </w:p>
    <w:p>
      <w:pPr>
        <w:ind w:left="340" w:right="20" w:hanging="332"/>
        <w:spacing w:after="0" w:line="213" w:lineRule="auto"/>
        <w:tabs>
          <w:tab w:leader="none" w:pos="333"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Amounts reported represent the aggregate grant date fair value of the RSUs based on the closing price for a share of our Class A common stock as reported by Nasdaq on the day immediately preceding the grant date, calculated in accordance with ASC Topic 718.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0" w:hanging="554"/>
        <w:spacing w:after="0"/>
        <w:tabs>
          <w:tab w:leader="none" w:pos="58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Outstanding Equity Awards at 2025 Year-End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9317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080" w:type="dxa"/>
            <w:vAlign w:val="bottom"/>
            <w:shd w:val="clear" w:color="auto" w:fill="0063A6"/>
          </w:tcPr>
          <w:p>
            <w:pPr>
              <w:spacing w:after="0"/>
              <w:rPr>
                <w:sz w:val="24"/>
                <w:szCs w:val="24"/>
                <w:color w:val="auto"/>
              </w:rPr>
            </w:pPr>
          </w:p>
        </w:tc>
        <w:tc>
          <w:tcPr>
            <w:tcW w:w="560" w:type="dxa"/>
            <w:vAlign w:val="bottom"/>
            <w:shd w:val="clear" w:color="auto" w:fill="0063A6"/>
          </w:tcPr>
          <w:p>
            <w:pPr>
              <w:spacing w:after="0"/>
              <w:rPr>
                <w:sz w:val="24"/>
                <w:szCs w:val="24"/>
                <w:color w:val="auto"/>
              </w:rPr>
            </w:pPr>
          </w:p>
        </w:tc>
        <w:tc>
          <w:tcPr>
            <w:tcW w:w="64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2600" w:type="dxa"/>
            <w:vAlign w:val="bottom"/>
            <w:gridSpan w:val="2"/>
            <w:shd w:val="clear" w:color="auto" w:fill="0063A6"/>
          </w:tcPr>
          <w:p>
            <w:pPr>
              <w:ind w:left="800"/>
              <w:spacing w:after="0"/>
              <w:rPr>
                <w:sz w:val="20"/>
                <w:szCs w:val="20"/>
                <w:color w:val="auto"/>
              </w:rPr>
            </w:pPr>
            <w:r>
              <w:rPr>
                <w:rFonts w:ascii="Arial" w:cs="Arial" w:eastAsia="Arial" w:hAnsi="Arial"/>
                <w:sz w:val="14"/>
                <w:szCs w:val="14"/>
                <w:b w:val="1"/>
                <w:bCs w:val="1"/>
                <w:color w:val="FFFFFF"/>
              </w:rPr>
              <w:t>Option awards</w:t>
            </w:r>
          </w:p>
        </w:tc>
        <w:tc>
          <w:tcPr>
            <w:tcW w:w="1020" w:type="dxa"/>
            <w:vAlign w:val="bottom"/>
            <w:shd w:val="clear" w:color="auto" w:fill="0063A6"/>
          </w:tcPr>
          <w:p>
            <w:pPr>
              <w:spacing w:after="0"/>
              <w:rPr>
                <w:sz w:val="24"/>
                <w:szCs w:val="24"/>
                <w:color w:val="auto"/>
              </w:rPr>
            </w:pPr>
          </w:p>
        </w:tc>
        <w:tc>
          <w:tcPr>
            <w:tcW w:w="1160" w:type="dxa"/>
            <w:vAlign w:val="bottom"/>
            <w:shd w:val="clear" w:color="auto" w:fill="0063A6"/>
          </w:tcPr>
          <w:p>
            <w:pPr>
              <w:spacing w:after="0"/>
              <w:rPr>
                <w:sz w:val="24"/>
                <w:szCs w:val="24"/>
                <w:color w:val="auto"/>
              </w:rPr>
            </w:pPr>
          </w:p>
        </w:tc>
        <w:tc>
          <w:tcPr>
            <w:tcW w:w="3020" w:type="dxa"/>
            <w:vAlign w:val="bottom"/>
            <w:gridSpan w:val="2"/>
            <w:shd w:val="clear" w:color="auto" w:fill="0063A6"/>
          </w:tcPr>
          <w:p>
            <w:pPr>
              <w:jc w:val="right"/>
              <w:ind w:right="1022"/>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303"/>
        </w:trPr>
        <w:tc>
          <w:tcPr>
            <w:tcW w:w="2080" w:type="dxa"/>
            <w:vAlign w:val="bottom"/>
            <w:shd w:val="clear" w:color="auto" w:fill="0063A6"/>
          </w:tcPr>
          <w:p>
            <w:pPr>
              <w:spacing w:after="0"/>
              <w:rPr>
                <w:sz w:val="24"/>
                <w:szCs w:val="24"/>
                <w:color w:val="auto"/>
              </w:rPr>
            </w:pPr>
          </w:p>
        </w:tc>
        <w:tc>
          <w:tcPr>
            <w:tcW w:w="560" w:type="dxa"/>
            <w:vAlign w:val="bottom"/>
            <w:shd w:val="clear" w:color="auto" w:fill="0063A6"/>
          </w:tcPr>
          <w:p>
            <w:pPr>
              <w:spacing w:after="0"/>
              <w:rPr>
                <w:sz w:val="24"/>
                <w:szCs w:val="24"/>
                <w:color w:val="auto"/>
              </w:rPr>
            </w:pPr>
          </w:p>
        </w:tc>
        <w:tc>
          <w:tcPr>
            <w:tcW w:w="64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1020" w:type="dxa"/>
            <w:vAlign w:val="bottom"/>
            <w:shd w:val="clear" w:color="auto" w:fill="0063A6"/>
          </w:tcPr>
          <w:p>
            <w:pPr>
              <w:spacing w:after="0"/>
              <w:rPr>
                <w:sz w:val="24"/>
                <w:szCs w:val="24"/>
                <w:color w:val="auto"/>
              </w:rPr>
            </w:pPr>
          </w:p>
        </w:tc>
        <w:tc>
          <w:tcPr>
            <w:tcW w:w="1160" w:type="dxa"/>
            <w:vAlign w:val="bottom"/>
            <w:shd w:val="clear" w:color="auto" w:fill="0063A6"/>
          </w:tcPr>
          <w:p>
            <w:pPr>
              <w:spacing w:after="0"/>
              <w:rPr>
                <w:sz w:val="24"/>
                <w:szCs w:val="24"/>
                <w:color w:val="auto"/>
              </w:rPr>
            </w:pPr>
          </w:p>
        </w:tc>
        <w:tc>
          <w:tcPr>
            <w:tcW w:w="1600" w:type="dxa"/>
            <w:vAlign w:val="bottom"/>
            <w:shd w:val="clear" w:color="auto" w:fill="0063A6"/>
          </w:tcPr>
          <w:p>
            <w:pPr>
              <w:spacing w:after="0"/>
              <w:rPr>
                <w:sz w:val="24"/>
                <w:szCs w:val="24"/>
                <w:color w:val="auto"/>
              </w:rPr>
            </w:pPr>
          </w:p>
        </w:tc>
        <w:tc>
          <w:tcPr>
            <w:tcW w:w="142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0063A6"/>
          </w:tcPr>
          <w:p>
            <w:pPr>
              <w:spacing w:after="0"/>
              <w:rPr>
                <w:sz w:val="15"/>
                <w:szCs w:val="15"/>
                <w:color w:val="auto"/>
              </w:rPr>
            </w:pPr>
          </w:p>
        </w:tc>
        <w:tc>
          <w:tcPr>
            <w:tcW w:w="560" w:type="dxa"/>
            <w:vAlign w:val="bottom"/>
            <w:shd w:val="clear" w:color="auto" w:fill="0063A6"/>
          </w:tcPr>
          <w:p>
            <w:pPr>
              <w:spacing w:after="0"/>
              <w:rPr>
                <w:sz w:val="15"/>
                <w:szCs w:val="15"/>
                <w:color w:val="auto"/>
              </w:rPr>
            </w:pPr>
          </w:p>
        </w:tc>
        <w:tc>
          <w:tcPr>
            <w:tcW w:w="640" w:type="dxa"/>
            <w:vAlign w:val="bottom"/>
            <w:shd w:val="clear" w:color="auto" w:fill="0063A6"/>
          </w:tcPr>
          <w:p>
            <w:pPr>
              <w:spacing w:after="0"/>
              <w:rPr>
                <w:sz w:val="15"/>
                <w:szCs w:val="15"/>
                <w:color w:val="auto"/>
              </w:rPr>
            </w:pPr>
          </w:p>
        </w:tc>
        <w:tc>
          <w:tcPr>
            <w:tcW w:w="160" w:type="dxa"/>
            <w:vAlign w:val="bottom"/>
            <w:shd w:val="clear" w:color="auto" w:fill="0063A6"/>
          </w:tcPr>
          <w:p>
            <w:pPr>
              <w:spacing w:after="0"/>
              <w:rPr>
                <w:sz w:val="15"/>
                <w:szCs w:val="15"/>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Securities</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Securities</w:t>
            </w:r>
          </w:p>
        </w:tc>
        <w:tc>
          <w:tcPr>
            <w:tcW w:w="1020" w:type="dxa"/>
            <w:vAlign w:val="bottom"/>
            <w:shd w:val="clear" w:color="auto" w:fill="0063A6"/>
          </w:tcPr>
          <w:p>
            <w:pPr>
              <w:spacing w:after="0"/>
              <w:rPr>
                <w:sz w:val="15"/>
                <w:szCs w:val="15"/>
                <w:color w:val="auto"/>
              </w:rPr>
            </w:pPr>
          </w:p>
        </w:tc>
        <w:tc>
          <w:tcPr>
            <w:tcW w:w="1160" w:type="dxa"/>
            <w:vAlign w:val="bottom"/>
            <w:shd w:val="clear" w:color="auto" w:fill="0063A6"/>
          </w:tcPr>
          <w:p>
            <w:pPr>
              <w:spacing w:after="0"/>
              <w:rPr>
                <w:sz w:val="15"/>
                <w:szCs w:val="15"/>
                <w:color w:val="auto"/>
              </w:rPr>
            </w:pPr>
          </w:p>
        </w:tc>
        <w:tc>
          <w:tcPr>
            <w:tcW w:w="1600" w:type="dxa"/>
            <w:vAlign w:val="bottom"/>
            <w:shd w:val="clear" w:color="auto" w:fill="0063A6"/>
          </w:tcPr>
          <w:p>
            <w:pPr>
              <w:jc w:val="center"/>
              <w:ind w:right="2"/>
              <w:spacing w:after="0"/>
              <w:rPr>
                <w:sz w:val="20"/>
                <w:szCs w:val="20"/>
                <w:color w:val="auto"/>
              </w:rPr>
            </w:pPr>
            <w:r>
              <w:rPr>
                <w:rFonts w:ascii="Arial" w:cs="Arial" w:eastAsia="Arial" w:hAnsi="Arial"/>
                <w:sz w:val="14"/>
                <w:szCs w:val="14"/>
                <w:b w:val="1"/>
                <w:bCs w:val="1"/>
                <w:color w:val="FFFFFF"/>
              </w:rPr>
              <w:t>Number of</w:t>
            </w:r>
          </w:p>
        </w:tc>
        <w:tc>
          <w:tcPr>
            <w:tcW w:w="14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Market value</w:t>
            </w:r>
          </w:p>
        </w:tc>
        <w:tc>
          <w:tcPr>
            <w:tcW w:w="0" w:type="dxa"/>
            <w:vAlign w:val="bottom"/>
          </w:tcPr>
          <w:p>
            <w:pPr>
              <w:spacing w:after="0"/>
              <w:rPr>
                <w:sz w:val="1"/>
                <w:szCs w:val="1"/>
                <w:color w:val="auto"/>
              </w:rPr>
            </w:pPr>
          </w:p>
        </w:tc>
      </w:tr>
      <w:tr>
        <w:trPr>
          <w:trHeight w:val="162"/>
        </w:trPr>
        <w:tc>
          <w:tcPr>
            <w:tcW w:w="2080" w:type="dxa"/>
            <w:vAlign w:val="bottom"/>
            <w:shd w:val="clear" w:color="auto" w:fill="0063A6"/>
          </w:tcPr>
          <w:p>
            <w:pPr>
              <w:spacing w:after="0"/>
              <w:rPr>
                <w:sz w:val="14"/>
                <w:szCs w:val="14"/>
                <w:color w:val="auto"/>
              </w:rPr>
            </w:pPr>
          </w:p>
        </w:tc>
        <w:tc>
          <w:tcPr>
            <w:tcW w:w="560" w:type="dxa"/>
            <w:vAlign w:val="bottom"/>
            <w:shd w:val="clear" w:color="auto" w:fill="0063A6"/>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1020" w:type="dxa"/>
            <w:vAlign w:val="bottom"/>
            <w:shd w:val="clear" w:color="auto" w:fill="0063A6"/>
          </w:tcPr>
          <w:p>
            <w:pPr>
              <w:spacing w:after="0"/>
              <w:rPr>
                <w:sz w:val="14"/>
                <w:szCs w:val="14"/>
                <w:color w:val="auto"/>
              </w:rPr>
            </w:pPr>
          </w:p>
        </w:tc>
        <w:tc>
          <w:tcPr>
            <w:tcW w:w="1160" w:type="dxa"/>
            <w:vAlign w:val="bottom"/>
            <w:shd w:val="clear" w:color="auto" w:fill="0063A6"/>
          </w:tcPr>
          <w:p>
            <w:pPr>
              <w:spacing w:after="0"/>
              <w:rPr>
                <w:sz w:val="14"/>
                <w:szCs w:val="14"/>
                <w:color w:val="auto"/>
              </w:rPr>
            </w:pPr>
          </w:p>
        </w:tc>
        <w:tc>
          <w:tcPr>
            <w:tcW w:w="1600" w:type="dxa"/>
            <w:vAlign w:val="bottom"/>
            <w:shd w:val="clear" w:color="auto" w:fill="0063A6"/>
          </w:tcPr>
          <w:p>
            <w:pPr>
              <w:jc w:val="center"/>
              <w:ind w:right="2"/>
              <w:spacing w:after="0"/>
              <w:rPr>
                <w:sz w:val="20"/>
                <w:szCs w:val="20"/>
                <w:color w:val="auto"/>
              </w:rPr>
            </w:pPr>
            <w:r>
              <w:rPr>
                <w:rFonts w:ascii="Arial" w:cs="Arial" w:eastAsia="Arial" w:hAnsi="Arial"/>
                <w:sz w:val="14"/>
                <w:szCs w:val="14"/>
                <w:b w:val="1"/>
                <w:bCs w:val="1"/>
                <w:color w:val="FFFFFF"/>
              </w:rPr>
              <w:t>shares or</w:t>
            </w:r>
          </w:p>
        </w:tc>
        <w:tc>
          <w:tcPr>
            <w:tcW w:w="1420" w:type="dxa"/>
            <w:vAlign w:val="bottom"/>
            <w:shd w:val="clear" w:color="auto" w:fill="0063A6"/>
          </w:tcPr>
          <w:p>
            <w:pPr>
              <w:jc w:val="center"/>
              <w:ind w:left="2"/>
              <w:spacing w:after="0"/>
              <w:rPr>
                <w:sz w:val="20"/>
                <w:szCs w:val="20"/>
                <w:color w:val="auto"/>
              </w:rPr>
            </w:pPr>
            <w:r>
              <w:rPr>
                <w:rFonts w:ascii="Arial" w:cs="Arial" w:eastAsia="Arial" w:hAnsi="Arial"/>
                <w:sz w:val="14"/>
                <w:szCs w:val="14"/>
                <w:b w:val="1"/>
                <w:bCs w:val="1"/>
                <w:color w:val="FFFFFF"/>
              </w:rPr>
              <w:t>of shares or</w:t>
            </w:r>
          </w:p>
        </w:tc>
        <w:tc>
          <w:tcPr>
            <w:tcW w:w="0" w:type="dxa"/>
            <w:vAlign w:val="bottom"/>
          </w:tcPr>
          <w:p>
            <w:pPr>
              <w:spacing w:after="0"/>
              <w:rPr>
                <w:sz w:val="1"/>
                <w:szCs w:val="1"/>
                <w:color w:val="auto"/>
              </w:rPr>
            </w:pPr>
          </w:p>
        </w:tc>
      </w:tr>
      <w:tr>
        <w:trPr>
          <w:trHeight w:val="162"/>
        </w:trPr>
        <w:tc>
          <w:tcPr>
            <w:tcW w:w="2080" w:type="dxa"/>
            <w:vAlign w:val="bottom"/>
            <w:shd w:val="clear" w:color="auto" w:fill="0063A6"/>
          </w:tcPr>
          <w:p>
            <w:pPr>
              <w:spacing w:after="0"/>
              <w:rPr>
                <w:sz w:val="14"/>
                <w:szCs w:val="14"/>
                <w:color w:val="auto"/>
              </w:rPr>
            </w:pPr>
          </w:p>
        </w:tc>
        <w:tc>
          <w:tcPr>
            <w:tcW w:w="560" w:type="dxa"/>
            <w:vAlign w:val="bottom"/>
            <w:shd w:val="clear" w:color="auto" w:fill="0063A6"/>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w:t>
            </w:r>
          </w:p>
        </w:tc>
        <w:tc>
          <w:tcPr>
            <w:tcW w:w="1160" w:type="dxa"/>
            <w:vAlign w:val="bottom"/>
            <w:shd w:val="clear" w:color="auto" w:fill="0063A6"/>
          </w:tcPr>
          <w:p>
            <w:pPr>
              <w:jc w:val="center"/>
              <w:ind w:right="81"/>
              <w:spacing w:after="0"/>
              <w:rPr>
                <w:sz w:val="20"/>
                <w:szCs w:val="20"/>
                <w:color w:val="auto"/>
              </w:rPr>
            </w:pPr>
            <w:r>
              <w:rPr>
                <w:rFonts w:ascii="Arial" w:cs="Arial" w:eastAsia="Arial" w:hAnsi="Arial"/>
                <w:sz w:val="14"/>
                <w:szCs w:val="14"/>
                <w:b w:val="1"/>
                <w:bCs w:val="1"/>
                <w:color w:val="FFFFFF"/>
              </w:rPr>
              <w:t>Option</w:t>
            </w: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420" w:type="dxa"/>
            <w:vAlign w:val="bottom"/>
            <w:shd w:val="clear" w:color="auto" w:fill="0063A6"/>
          </w:tcPr>
          <w:p>
            <w:pPr>
              <w:jc w:val="center"/>
              <w:ind w:left="2"/>
              <w:spacing w:after="0"/>
              <w:rPr>
                <w:sz w:val="20"/>
                <w:szCs w:val="20"/>
                <w:color w:val="auto"/>
              </w:rPr>
            </w:pPr>
            <w:r>
              <w:rPr>
                <w:rFonts w:ascii="Arial" w:cs="Arial" w:eastAsia="Arial" w:hAnsi="Arial"/>
                <w:sz w:val="14"/>
                <w:szCs w:val="14"/>
                <w:b w:val="1"/>
                <w:bCs w:val="1"/>
                <w:color w:val="FFFFFF"/>
              </w:rPr>
              <w:t>units of stock</w:t>
            </w:r>
          </w:p>
        </w:tc>
        <w:tc>
          <w:tcPr>
            <w:tcW w:w="0" w:type="dxa"/>
            <w:vAlign w:val="bottom"/>
          </w:tcPr>
          <w:p>
            <w:pPr>
              <w:spacing w:after="0"/>
              <w:rPr>
                <w:sz w:val="1"/>
                <w:szCs w:val="1"/>
                <w:color w:val="auto"/>
              </w:rPr>
            </w:pPr>
          </w:p>
        </w:tc>
      </w:tr>
      <w:tr>
        <w:trPr>
          <w:trHeight w:val="162"/>
        </w:trPr>
        <w:tc>
          <w:tcPr>
            <w:tcW w:w="2080" w:type="dxa"/>
            <w:vAlign w:val="bottom"/>
            <w:shd w:val="clear" w:color="auto" w:fill="0063A6"/>
          </w:tcPr>
          <w:p>
            <w:pPr>
              <w:spacing w:after="0"/>
              <w:rPr>
                <w:sz w:val="14"/>
                <w:szCs w:val="14"/>
                <w:color w:val="auto"/>
              </w:rPr>
            </w:pPr>
          </w:p>
        </w:tc>
        <w:tc>
          <w:tcPr>
            <w:tcW w:w="560" w:type="dxa"/>
            <w:vAlign w:val="bottom"/>
            <w:shd w:val="clear" w:color="auto" w:fill="0063A6"/>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Options</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Options</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w:t>
            </w:r>
          </w:p>
        </w:tc>
        <w:tc>
          <w:tcPr>
            <w:tcW w:w="1160" w:type="dxa"/>
            <w:vAlign w:val="bottom"/>
            <w:shd w:val="clear" w:color="auto" w:fill="0063A6"/>
          </w:tcPr>
          <w:p>
            <w:pPr>
              <w:jc w:val="center"/>
              <w:ind w:right="81"/>
              <w:spacing w:after="0"/>
              <w:rPr>
                <w:sz w:val="20"/>
                <w:szCs w:val="20"/>
                <w:color w:val="auto"/>
              </w:rPr>
            </w:pPr>
            <w:r>
              <w:rPr>
                <w:rFonts w:ascii="Arial" w:cs="Arial" w:eastAsia="Arial" w:hAnsi="Arial"/>
                <w:sz w:val="14"/>
                <w:szCs w:val="14"/>
                <w:b w:val="1"/>
                <w:bCs w:val="1"/>
                <w:color w:val="FFFFFF"/>
              </w:rPr>
              <w:t>Expiration</w:t>
            </w: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that have not</w:t>
            </w:r>
          </w:p>
        </w:tc>
        <w:tc>
          <w:tcPr>
            <w:tcW w:w="1420" w:type="dxa"/>
            <w:vAlign w:val="bottom"/>
            <w:shd w:val="clear" w:color="auto" w:fill="0063A6"/>
          </w:tcPr>
          <w:p>
            <w:pPr>
              <w:jc w:val="center"/>
              <w:ind w:left="2"/>
              <w:spacing w:after="0"/>
              <w:rPr>
                <w:sz w:val="20"/>
                <w:szCs w:val="20"/>
                <w:color w:val="auto"/>
              </w:rPr>
            </w:pPr>
            <w:r>
              <w:rPr>
                <w:rFonts w:ascii="Arial" w:cs="Arial" w:eastAsia="Arial" w:hAnsi="Arial"/>
                <w:sz w:val="14"/>
                <w:szCs w:val="14"/>
                <w:b w:val="1"/>
                <w:bCs w:val="1"/>
                <w:color w:val="FFFFFF"/>
              </w:rPr>
              <w:t>that have not</w:t>
            </w:r>
          </w:p>
        </w:tc>
        <w:tc>
          <w:tcPr>
            <w:tcW w:w="0" w:type="dxa"/>
            <w:vAlign w:val="bottom"/>
          </w:tcPr>
          <w:p>
            <w:pPr>
              <w:spacing w:after="0"/>
              <w:rPr>
                <w:sz w:val="1"/>
                <w:szCs w:val="1"/>
                <w:color w:val="auto"/>
              </w:rPr>
            </w:pPr>
          </w:p>
        </w:tc>
      </w:tr>
      <w:tr>
        <w:trPr>
          <w:trHeight w:val="246"/>
        </w:trPr>
        <w:tc>
          <w:tcPr>
            <w:tcW w:w="2080" w:type="dxa"/>
            <w:vAlign w:val="bottom"/>
            <w:tcBorders>
              <w:bottom w:val="single" w:sz="8" w:color="0063A6"/>
            </w:tcBorders>
            <w:shd w:val="clear" w:color="auto" w:fill="0063A6"/>
          </w:tcPr>
          <w:p>
            <w:pPr>
              <w:ind w:left="840"/>
              <w:spacing w:after="0"/>
              <w:rPr>
                <w:sz w:val="20"/>
                <w:szCs w:val="20"/>
                <w:color w:val="auto"/>
              </w:rPr>
            </w:pPr>
            <w:r>
              <w:rPr>
                <w:rFonts w:ascii="Arial" w:cs="Arial" w:eastAsia="Arial" w:hAnsi="Arial"/>
                <w:sz w:val="14"/>
                <w:szCs w:val="14"/>
                <w:b w:val="1"/>
                <w:bCs w:val="1"/>
                <w:color w:val="FFFFFF"/>
              </w:rPr>
              <w:t>Name</w:t>
            </w:r>
          </w:p>
        </w:tc>
        <w:tc>
          <w:tcPr>
            <w:tcW w:w="1360" w:type="dxa"/>
            <w:vAlign w:val="bottom"/>
            <w:tcBorders>
              <w:bottom w:val="single" w:sz="8" w:color="0063A6"/>
            </w:tcBorders>
            <w:gridSpan w:val="3"/>
            <w:shd w:val="clear" w:color="auto" w:fill="0063A6"/>
          </w:tcPr>
          <w:p>
            <w:pPr>
              <w:jc w:val="right"/>
              <w:ind w:right="267"/>
              <w:spacing w:after="0"/>
              <w:rPr>
                <w:sz w:val="20"/>
                <w:szCs w:val="20"/>
                <w:color w:val="auto"/>
              </w:rPr>
            </w:pPr>
            <w:r>
              <w:rPr>
                <w:rFonts w:ascii="Arial" w:cs="Arial" w:eastAsia="Arial" w:hAnsi="Arial"/>
                <w:sz w:val="14"/>
                <w:szCs w:val="14"/>
                <w:b w:val="1"/>
                <w:bCs w:val="1"/>
                <w:color w:val="FFFFFF"/>
              </w:rPr>
              <w:t>Grant date</w:t>
            </w:r>
          </w:p>
        </w:tc>
        <w:tc>
          <w:tcPr>
            <w:tcW w:w="12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Exercisable</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Unexercisable</w:t>
            </w:r>
          </w:p>
        </w:tc>
        <w:tc>
          <w:tcPr>
            <w:tcW w:w="1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Price ($)</w:t>
            </w:r>
          </w:p>
        </w:tc>
        <w:tc>
          <w:tcPr>
            <w:tcW w:w="1160" w:type="dxa"/>
            <w:vAlign w:val="bottom"/>
            <w:tcBorders>
              <w:bottom w:val="single" w:sz="8" w:color="0063A6"/>
            </w:tcBorders>
            <w:shd w:val="clear" w:color="auto" w:fill="0063A6"/>
          </w:tcPr>
          <w:p>
            <w:pPr>
              <w:jc w:val="center"/>
              <w:ind w:right="41"/>
              <w:spacing w:after="0"/>
              <w:rPr>
                <w:sz w:val="20"/>
                <w:szCs w:val="20"/>
                <w:color w:val="auto"/>
              </w:rPr>
            </w:pPr>
            <w:r>
              <w:rPr>
                <w:rFonts w:ascii="Arial" w:cs="Arial" w:eastAsia="Arial" w:hAnsi="Arial"/>
                <w:sz w:val="14"/>
                <w:szCs w:val="14"/>
                <w:b w:val="1"/>
                <w:bCs w:val="1"/>
                <w:color w:val="FFFFFF"/>
              </w:rPr>
              <w:t>Date</w:t>
            </w:r>
          </w:p>
        </w:tc>
        <w:tc>
          <w:tcPr>
            <w:tcW w:w="1600" w:type="dxa"/>
            <w:vAlign w:val="bottom"/>
            <w:tcBorders>
              <w:bottom w:val="single" w:sz="8" w:color="0063A6"/>
            </w:tcBorders>
            <w:shd w:val="clear" w:color="auto" w:fill="0063A6"/>
          </w:tcPr>
          <w:p>
            <w:pPr>
              <w:jc w:val="center"/>
              <w:ind w:right="2"/>
              <w:spacing w:after="0"/>
              <w:rPr>
                <w:sz w:val="20"/>
                <w:szCs w:val="20"/>
                <w:color w:val="auto"/>
              </w:rPr>
            </w:pPr>
            <w:r>
              <w:rPr>
                <w:rFonts w:ascii="Arial" w:cs="Arial" w:eastAsia="Arial" w:hAnsi="Arial"/>
                <w:sz w:val="14"/>
                <w:szCs w:val="14"/>
                <w:b w:val="1"/>
                <w:bCs w:val="1"/>
                <w:color w:val="FFFFFF"/>
              </w:rPr>
              <w:t>vested (#)</w:t>
            </w:r>
          </w:p>
        </w:tc>
        <w:tc>
          <w:tcPr>
            <w:tcW w:w="1420" w:type="dxa"/>
            <w:vAlign w:val="bottom"/>
            <w:tcBorders>
              <w:bottom w:val="single" w:sz="8" w:color="0063A6"/>
            </w:tcBorders>
            <w:shd w:val="clear" w:color="auto" w:fill="0063A6"/>
          </w:tcPr>
          <w:p>
            <w:pPr>
              <w:jc w:val="center"/>
              <w:ind w:left="2"/>
              <w:spacing w:after="0"/>
              <w:rPr>
                <w:sz w:val="20"/>
                <w:szCs w:val="20"/>
                <w:color w:val="auto"/>
              </w:rPr>
            </w:pPr>
            <w:r>
              <w:rPr>
                <w:rFonts w:ascii="Arial" w:cs="Arial" w:eastAsia="Arial" w:hAnsi="Arial"/>
                <w:sz w:val="14"/>
                <w:szCs w:val="14"/>
                <w:b w:val="1"/>
                <w:bCs w:val="1"/>
                <w:color w:val="FFFFFF"/>
                <w:w w:val="97"/>
              </w:rPr>
              <w:t>vested ($)</w:t>
            </w:r>
            <w:r>
              <w:rPr>
                <w:rFonts w:ascii="Arial" w:cs="Arial" w:eastAsia="Arial" w:hAnsi="Arial"/>
                <w:sz w:val="18"/>
                <w:szCs w:val="18"/>
                <w:b w:val="1"/>
                <w:bCs w:val="1"/>
                <w:color w:val="FFFFFF"/>
                <w:w w:val="97"/>
                <w:vertAlign w:val="superscript"/>
              </w:rPr>
              <w:t>(1)</w:t>
            </w:r>
          </w:p>
        </w:tc>
        <w:tc>
          <w:tcPr>
            <w:tcW w:w="0" w:type="dxa"/>
            <w:vAlign w:val="bottom"/>
          </w:tcPr>
          <w:p>
            <w:pPr>
              <w:spacing w:after="0"/>
              <w:rPr>
                <w:sz w:val="1"/>
                <w:szCs w:val="1"/>
                <w:color w:val="auto"/>
              </w:rPr>
            </w:pPr>
          </w:p>
        </w:tc>
      </w:tr>
      <w:tr>
        <w:trPr>
          <w:trHeight w:val="223"/>
        </w:trPr>
        <w:tc>
          <w:tcPr>
            <w:tcW w:w="2080" w:type="dxa"/>
            <w:vAlign w:val="bottom"/>
            <w:vMerge w:val="restart"/>
            <w:shd w:val="clear" w:color="auto" w:fill="F2F2F2"/>
          </w:tcPr>
          <w:p>
            <w:pPr>
              <w:ind w:left="20"/>
              <w:spacing w:after="0"/>
              <w:rPr>
                <w:sz w:val="20"/>
                <w:szCs w:val="20"/>
                <w:color w:val="auto"/>
              </w:rPr>
            </w:pPr>
            <w:r>
              <w:rPr>
                <w:rFonts w:ascii="Arial" w:cs="Arial" w:eastAsia="Arial" w:hAnsi="Arial"/>
                <w:sz w:val="16"/>
                <w:szCs w:val="16"/>
                <w:color w:val="auto"/>
              </w:rPr>
              <w:t>Andrew W. Houston</w:t>
            </w:r>
          </w:p>
        </w:tc>
        <w:tc>
          <w:tcPr>
            <w:tcW w:w="560" w:type="dxa"/>
            <w:vAlign w:val="bottom"/>
            <w:shd w:val="clear" w:color="auto" w:fill="F2F2F2"/>
          </w:tcPr>
          <w:p>
            <w:pPr>
              <w:spacing w:after="0"/>
              <w:rPr>
                <w:sz w:val="19"/>
                <w:szCs w:val="19"/>
                <w:color w:val="auto"/>
              </w:rPr>
            </w:pPr>
          </w:p>
        </w:tc>
        <w:tc>
          <w:tcPr>
            <w:tcW w:w="640" w:type="dxa"/>
            <w:vAlign w:val="bottom"/>
            <w:vMerge w:val="restart"/>
            <w:shd w:val="clear" w:color="auto" w:fill="F2F2F2"/>
          </w:tcPr>
          <w:p>
            <w:pPr>
              <w:jc w:val="right"/>
              <w:spacing w:after="0"/>
              <w:rPr>
                <w:sz w:val="20"/>
                <w:szCs w:val="20"/>
                <w:color w:val="auto"/>
              </w:rPr>
            </w:pPr>
            <w:r>
              <w:rPr>
                <w:rFonts w:ascii="Arial" w:cs="Arial" w:eastAsia="Arial" w:hAnsi="Arial"/>
                <w:sz w:val="16"/>
                <w:szCs w:val="16"/>
                <w:color w:val="auto"/>
                <w:w w:val="99"/>
                <w:shd w:val="clear" w:color="auto" w:fill="F2F2F2"/>
              </w:rPr>
              <w:t>12/12/17</w:t>
            </w:r>
          </w:p>
        </w:tc>
        <w:tc>
          <w:tcPr>
            <w:tcW w:w="160" w:type="dxa"/>
            <w:vAlign w:val="bottom"/>
            <w:shd w:val="clear" w:color="auto" w:fill="F2F2F2"/>
          </w:tcPr>
          <w:p>
            <w:pPr>
              <w:jc w:val="right"/>
              <w:spacing w:after="0"/>
              <w:rPr>
                <w:sz w:val="20"/>
                <w:szCs w:val="20"/>
                <w:color w:val="auto"/>
              </w:rPr>
            </w:pPr>
            <w:r>
              <w:rPr>
                <w:rFonts w:ascii="Arial" w:cs="Arial" w:eastAsia="Arial" w:hAnsi="Arial"/>
                <w:sz w:val="11"/>
                <w:szCs w:val="11"/>
                <w:color w:val="auto"/>
                <w:w w:val="74"/>
                <w:shd w:val="clear" w:color="auto" w:fill="F2F2F2"/>
              </w:rPr>
              <w:t>(2)</w:t>
            </w:r>
          </w:p>
        </w:tc>
        <w:tc>
          <w:tcPr>
            <w:tcW w:w="124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vMerge w:val="restart"/>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vMerge w:val="restart"/>
            <w:shd w:val="clear" w:color="auto" w:fill="F2F2F2"/>
          </w:tcPr>
          <w:p>
            <w:pPr>
              <w:jc w:val="right"/>
              <w:ind w:right="182"/>
              <w:spacing w:after="0"/>
              <w:rPr>
                <w:sz w:val="20"/>
                <w:szCs w:val="20"/>
                <w:color w:val="auto"/>
              </w:rPr>
            </w:pPr>
            <w:r>
              <w:rPr>
                <w:rFonts w:ascii="Arial" w:cs="Arial" w:eastAsia="Arial" w:hAnsi="Arial"/>
                <w:sz w:val="16"/>
                <w:szCs w:val="16"/>
                <w:color w:val="auto"/>
              </w:rPr>
              <w:t>8,266,666</w:t>
            </w:r>
          </w:p>
        </w:tc>
        <w:tc>
          <w:tcPr>
            <w:tcW w:w="1420" w:type="dxa"/>
            <w:vAlign w:val="bottom"/>
            <w:vMerge w:val="restart"/>
            <w:shd w:val="clear" w:color="auto" w:fill="F2F2F2"/>
          </w:tcPr>
          <w:p>
            <w:pPr>
              <w:jc w:val="right"/>
              <w:ind w:right="2"/>
              <w:spacing w:after="0"/>
              <w:rPr>
                <w:sz w:val="20"/>
                <w:szCs w:val="20"/>
                <w:color w:val="auto"/>
              </w:rPr>
            </w:pPr>
            <w:r>
              <w:rPr>
                <w:rFonts w:ascii="Arial" w:cs="Arial" w:eastAsia="Arial" w:hAnsi="Arial"/>
                <w:sz w:val="16"/>
                <w:szCs w:val="16"/>
                <w:color w:val="auto"/>
              </w:rPr>
              <w:t>229,813,315</w:t>
            </w:r>
          </w:p>
        </w:tc>
        <w:tc>
          <w:tcPr>
            <w:tcW w:w="0" w:type="dxa"/>
            <w:vAlign w:val="bottom"/>
          </w:tcPr>
          <w:p>
            <w:pPr>
              <w:spacing w:after="0"/>
              <w:rPr>
                <w:sz w:val="1"/>
                <w:szCs w:val="1"/>
                <w:color w:val="auto"/>
              </w:rPr>
            </w:pPr>
          </w:p>
        </w:tc>
      </w:tr>
      <w:tr>
        <w:trPr>
          <w:trHeight w:val="74"/>
        </w:trPr>
        <w:tc>
          <w:tcPr>
            <w:tcW w:w="2080" w:type="dxa"/>
            <w:vAlign w:val="bottom"/>
            <w:vMerge w:val="continue"/>
            <w:shd w:val="clear" w:color="auto" w:fill="F2F2F2"/>
          </w:tcPr>
          <w:p>
            <w:pPr>
              <w:spacing w:after="0"/>
              <w:rPr>
                <w:sz w:val="6"/>
                <w:szCs w:val="6"/>
                <w:color w:val="auto"/>
              </w:rPr>
            </w:pPr>
          </w:p>
        </w:tc>
        <w:tc>
          <w:tcPr>
            <w:tcW w:w="560" w:type="dxa"/>
            <w:vAlign w:val="bottom"/>
            <w:shd w:val="clear" w:color="auto" w:fill="F2F2F2"/>
          </w:tcPr>
          <w:p>
            <w:pPr>
              <w:spacing w:after="0"/>
              <w:rPr>
                <w:sz w:val="6"/>
                <w:szCs w:val="6"/>
                <w:color w:val="auto"/>
              </w:rPr>
            </w:pPr>
          </w:p>
        </w:tc>
        <w:tc>
          <w:tcPr>
            <w:tcW w:w="640" w:type="dxa"/>
            <w:vAlign w:val="bottom"/>
            <w:vMerge w:val="continue"/>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1240" w:type="dxa"/>
            <w:vAlign w:val="bottom"/>
            <w:vMerge w:val="continue"/>
            <w:shd w:val="clear" w:color="auto" w:fill="F2F2F2"/>
          </w:tcPr>
          <w:p>
            <w:pPr>
              <w:spacing w:after="0"/>
              <w:rPr>
                <w:sz w:val="6"/>
                <w:szCs w:val="6"/>
                <w:color w:val="auto"/>
              </w:rPr>
            </w:pPr>
          </w:p>
        </w:tc>
        <w:tc>
          <w:tcPr>
            <w:tcW w:w="1360" w:type="dxa"/>
            <w:vAlign w:val="bottom"/>
            <w:vMerge w:val="continue"/>
            <w:shd w:val="clear" w:color="auto" w:fill="F2F2F2"/>
          </w:tcPr>
          <w:p>
            <w:pPr>
              <w:spacing w:after="0"/>
              <w:rPr>
                <w:sz w:val="6"/>
                <w:szCs w:val="6"/>
                <w:color w:val="auto"/>
              </w:rPr>
            </w:pPr>
          </w:p>
        </w:tc>
        <w:tc>
          <w:tcPr>
            <w:tcW w:w="1020" w:type="dxa"/>
            <w:vAlign w:val="bottom"/>
            <w:vMerge w:val="continue"/>
            <w:shd w:val="clear" w:color="auto" w:fill="F2F2F2"/>
          </w:tcPr>
          <w:p>
            <w:pPr>
              <w:spacing w:after="0"/>
              <w:rPr>
                <w:sz w:val="6"/>
                <w:szCs w:val="6"/>
                <w:color w:val="auto"/>
              </w:rPr>
            </w:pPr>
          </w:p>
        </w:tc>
        <w:tc>
          <w:tcPr>
            <w:tcW w:w="1160" w:type="dxa"/>
            <w:vAlign w:val="bottom"/>
            <w:vMerge w:val="continue"/>
            <w:shd w:val="clear" w:color="auto" w:fill="F2F2F2"/>
          </w:tcPr>
          <w:p>
            <w:pPr>
              <w:spacing w:after="0"/>
              <w:rPr>
                <w:sz w:val="6"/>
                <w:szCs w:val="6"/>
                <w:color w:val="auto"/>
              </w:rPr>
            </w:pPr>
          </w:p>
        </w:tc>
        <w:tc>
          <w:tcPr>
            <w:tcW w:w="1600" w:type="dxa"/>
            <w:vAlign w:val="bottom"/>
            <w:vMerge w:val="continue"/>
            <w:shd w:val="clear" w:color="auto" w:fill="F2F2F2"/>
          </w:tcPr>
          <w:p>
            <w:pPr>
              <w:spacing w:after="0"/>
              <w:rPr>
                <w:sz w:val="6"/>
                <w:szCs w:val="6"/>
                <w:color w:val="auto"/>
              </w:rPr>
            </w:pPr>
          </w:p>
        </w:tc>
        <w:tc>
          <w:tcPr>
            <w:tcW w:w="142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80" w:type="dxa"/>
            <w:vAlign w:val="bottom"/>
            <w:shd w:val="clear" w:color="auto" w:fill="F2F2F2"/>
          </w:tcPr>
          <w:p>
            <w:pPr>
              <w:spacing w:after="0"/>
              <w:rPr>
                <w:sz w:val="9"/>
                <w:szCs w:val="9"/>
                <w:color w:val="auto"/>
              </w:rPr>
            </w:pPr>
          </w:p>
        </w:tc>
        <w:tc>
          <w:tcPr>
            <w:tcW w:w="560" w:type="dxa"/>
            <w:vAlign w:val="bottom"/>
            <w:shd w:val="clear" w:color="auto" w:fill="F2F2F2"/>
          </w:tcPr>
          <w:p>
            <w:pPr>
              <w:spacing w:after="0"/>
              <w:rPr>
                <w:sz w:val="9"/>
                <w:szCs w:val="9"/>
                <w:color w:val="auto"/>
              </w:rPr>
            </w:pPr>
          </w:p>
        </w:tc>
        <w:tc>
          <w:tcPr>
            <w:tcW w:w="64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360" w:type="dxa"/>
            <w:vAlign w:val="bottom"/>
            <w:shd w:val="clear" w:color="auto" w:fill="F2F2F2"/>
          </w:tcPr>
          <w:p>
            <w:pPr>
              <w:spacing w:after="0"/>
              <w:rPr>
                <w:sz w:val="9"/>
                <w:szCs w:val="9"/>
                <w:color w:val="auto"/>
              </w:rPr>
            </w:pPr>
          </w:p>
        </w:tc>
        <w:tc>
          <w:tcPr>
            <w:tcW w:w="1020" w:type="dxa"/>
            <w:vAlign w:val="bottom"/>
            <w:shd w:val="clear" w:color="auto" w:fill="F2F2F2"/>
          </w:tcPr>
          <w:p>
            <w:pPr>
              <w:spacing w:after="0"/>
              <w:rPr>
                <w:sz w:val="9"/>
                <w:szCs w:val="9"/>
                <w:color w:val="auto"/>
              </w:rPr>
            </w:pPr>
          </w:p>
        </w:tc>
        <w:tc>
          <w:tcPr>
            <w:tcW w:w="1160" w:type="dxa"/>
            <w:vAlign w:val="bottom"/>
            <w:shd w:val="clear" w:color="auto" w:fill="F2F2F2"/>
          </w:tcPr>
          <w:p>
            <w:pPr>
              <w:spacing w:after="0"/>
              <w:rPr>
                <w:sz w:val="9"/>
                <w:szCs w:val="9"/>
                <w:color w:val="auto"/>
              </w:rPr>
            </w:pPr>
          </w:p>
        </w:tc>
        <w:tc>
          <w:tcPr>
            <w:tcW w:w="1600" w:type="dxa"/>
            <w:vAlign w:val="bottom"/>
            <w:shd w:val="clear" w:color="auto" w:fill="F2F2F2"/>
          </w:tcPr>
          <w:p>
            <w:pPr>
              <w:spacing w:after="0"/>
              <w:rPr>
                <w:sz w:val="9"/>
                <w:szCs w:val="9"/>
                <w:color w:val="auto"/>
              </w:rPr>
            </w:pPr>
          </w:p>
        </w:tc>
        <w:tc>
          <w:tcPr>
            <w:tcW w:w="14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Ross Tennenbaum</w:t>
            </w:r>
          </w:p>
        </w:tc>
        <w:tc>
          <w:tcPr>
            <w:tcW w:w="560" w:type="dxa"/>
            <w:vAlign w:val="bottom"/>
          </w:tcPr>
          <w:p>
            <w:pPr>
              <w:spacing w:after="0"/>
              <w:rPr>
                <w:sz w:val="18"/>
                <w:szCs w:val="18"/>
                <w:color w:val="auto"/>
              </w:rPr>
            </w:pPr>
          </w:p>
        </w:tc>
        <w:tc>
          <w:tcPr>
            <w:tcW w:w="800" w:type="dxa"/>
            <w:vAlign w:val="bottom"/>
            <w:gridSpan w:val="2"/>
          </w:tcPr>
          <w:p>
            <w:pPr>
              <w:jc w:val="right"/>
              <w:ind w:right="547"/>
              <w:spacing w:after="0"/>
              <w:rPr>
                <w:sz w:val="20"/>
                <w:szCs w:val="20"/>
                <w:color w:val="auto"/>
              </w:rPr>
            </w:pPr>
            <w:r>
              <w:rPr>
                <w:rFonts w:ascii="Arial" w:cs="Arial" w:eastAsia="Arial" w:hAnsi="Arial"/>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shd w:val="clear" w:color="auto" w:fill="F2F2F2"/>
          </w:tcPr>
          <w:p>
            <w:pPr>
              <w:ind w:left="20"/>
              <w:spacing w:after="0"/>
              <w:rPr>
                <w:sz w:val="20"/>
                <w:szCs w:val="20"/>
                <w:color w:val="auto"/>
              </w:rPr>
            </w:pPr>
            <w:r>
              <w:rPr>
                <w:rFonts w:ascii="Arial" w:cs="Arial" w:eastAsia="Arial" w:hAnsi="Arial"/>
                <w:sz w:val="16"/>
                <w:szCs w:val="16"/>
                <w:color w:val="auto"/>
              </w:rPr>
              <w:t>Timothy Regan</w:t>
            </w: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4/1/2022</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182"/>
              <w:spacing w:after="0"/>
              <w:rPr>
                <w:sz w:val="20"/>
                <w:szCs w:val="20"/>
                <w:color w:val="auto"/>
              </w:rPr>
            </w:pPr>
            <w:r>
              <w:rPr>
                <w:rFonts w:ascii="Arial" w:cs="Arial" w:eastAsia="Arial" w:hAnsi="Arial"/>
                <w:sz w:val="16"/>
                <w:szCs w:val="16"/>
                <w:color w:val="auto"/>
              </w:rPr>
              <w:t>12,615</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350,697</w:t>
            </w:r>
          </w:p>
        </w:tc>
        <w:tc>
          <w:tcPr>
            <w:tcW w:w="0" w:type="dxa"/>
            <w:vAlign w:val="bottom"/>
          </w:tcPr>
          <w:p>
            <w:pPr>
              <w:spacing w:after="0"/>
              <w:rPr>
                <w:sz w:val="1"/>
                <w:szCs w:val="1"/>
                <w:color w:val="auto"/>
              </w:rPr>
            </w:pPr>
          </w:p>
        </w:tc>
      </w:tr>
      <w:tr>
        <w:trPr>
          <w:trHeight w:val="243"/>
        </w:trPr>
        <w:tc>
          <w:tcPr>
            <w:tcW w:w="2080" w:type="dxa"/>
            <w:vAlign w:val="bottom"/>
            <w:shd w:val="clear" w:color="auto" w:fill="F2F2F2"/>
          </w:tcPr>
          <w:p>
            <w:pPr>
              <w:spacing w:after="0"/>
              <w:rPr>
                <w:sz w:val="21"/>
                <w:szCs w:val="21"/>
                <w:color w:val="auto"/>
              </w:rPr>
            </w:pP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4/1/2023</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182"/>
              <w:spacing w:after="0"/>
              <w:rPr>
                <w:sz w:val="20"/>
                <w:szCs w:val="20"/>
                <w:color w:val="auto"/>
              </w:rPr>
            </w:pPr>
            <w:r>
              <w:rPr>
                <w:rFonts w:ascii="Arial" w:cs="Arial" w:eastAsia="Arial" w:hAnsi="Arial"/>
                <w:sz w:val="16"/>
                <w:szCs w:val="16"/>
                <w:color w:val="auto"/>
              </w:rPr>
              <w:t>68,819</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1,913,168</w:t>
            </w:r>
          </w:p>
        </w:tc>
        <w:tc>
          <w:tcPr>
            <w:tcW w:w="0" w:type="dxa"/>
            <w:vAlign w:val="bottom"/>
          </w:tcPr>
          <w:p>
            <w:pPr>
              <w:spacing w:after="0"/>
              <w:rPr>
                <w:sz w:val="1"/>
                <w:szCs w:val="1"/>
                <w:color w:val="auto"/>
              </w:rPr>
            </w:pPr>
          </w:p>
        </w:tc>
      </w:tr>
      <w:tr>
        <w:trPr>
          <w:trHeight w:val="243"/>
        </w:trPr>
        <w:tc>
          <w:tcPr>
            <w:tcW w:w="2080" w:type="dxa"/>
            <w:vAlign w:val="bottom"/>
            <w:shd w:val="clear" w:color="auto" w:fill="F2F2F2"/>
          </w:tcPr>
          <w:p>
            <w:pPr>
              <w:spacing w:after="0"/>
              <w:rPr>
                <w:sz w:val="21"/>
                <w:szCs w:val="21"/>
                <w:color w:val="auto"/>
              </w:rPr>
            </w:pP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4/1/2024</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182"/>
              <w:spacing w:after="0"/>
              <w:rPr>
                <w:sz w:val="20"/>
                <w:szCs w:val="20"/>
                <w:color w:val="auto"/>
              </w:rPr>
            </w:pPr>
            <w:r>
              <w:rPr>
                <w:rFonts w:ascii="Arial" w:cs="Arial" w:eastAsia="Arial" w:hAnsi="Arial"/>
                <w:sz w:val="16"/>
                <w:szCs w:val="16"/>
                <w:color w:val="auto"/>
              </w:rPr>
              <w:t>116,539</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3,239,784</w:t>
            </w:r>
          </w:p>
        </w:tc>
        <w:tc>
          <w:tcPr>
            <w:tcW w:w="0" w:type="dxa"/>
            <w:vAlign w:val="bottom"/>
          </w:tcPr>
          <w:p>
            <w:pPr>
              <w:spacing w:after="0"/>
              <w:rPr>
                <w:sz w:val="1"/>
                <w:szCs w:val="1"/>
                <w:color w:val="auto"/>
              </w:rPr>
            </w:pPr>
          </w:p>
        </w:tc>
      </w:tr>
      <w:tr>
        <w:trPr>
          <w:trHeight w:val="243"/>
        </w:trPr>
        <w:tc>
          <w:tcPr>
            <w:tcW w:w="2080" w:type="dxa"/>
            <w:vAlign w:val="bottom"/>
            <w:shd w:val="clear" w:color="auto" w:fill="F2F2F2"/>
          </w:tcPr>
          <w:p>
            <w:pPr>
              <w:spacing w:after="0"/>
              <w:rPr>
                <w:sz w:val="21"/>
                <w:szCs w:val="21"/>
                <w:color w:val="auto"/>
              </w:rPr>
            </w:pP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4/1/2025</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182"/>
              <w:spacing w:after="0"/>
              <w:rPr>
                <w:sz w:val="20"/>
                <w:szCs w:val="20"/>
                <w:color w:val="auto"/>
              </w:rPr>
            </w:pPr>
            <w:r>
              <w:rPr>
                <w:rFonts w:ascii="Arial" w:cs="Arial" w:eastAsia="Arial" w:hAnsi="Arial"/>
                <w:sz w:val="16"/>
                <w:szCs w:val="16"/>
                <w:color w:val="auto"/>
              </w:rPr>
              <w:t>170,444</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4,738,343</w:t>
            </w:r>
          </w:p>
        </w:tc>
        <w:tc>
          <w:tcPr>
            <w:tcW w:w="0" w:type="dxa"/>
            <w:vAlign w:val="bottom"/>
          </w:tcPr>
          <w:p>
            <w:pPr>
              <w:spacing w:after="0"/>
              <w:rPr>
                <w:sz w:val="1"/>
                <w:szCs w:val="1"/>
                <w:color w:val="auto"/>
              </w:rPr>
            </w:pPr>
          </w:p>
        </w:tc>
      </w:tr>
      <w:tr>
        <w:trPr>
          <w:trHeight w:val="242"/>
        </w:trPr>
        <w:tc>
          <w:tcPr>
            <w:tcW w:w="2080" w:type="dxa"/>
            <w:vAlign w:val="bottom"/>
          </w:tcPr>
          <w:p>
            <w:pPr>
              <w:ind w:left="20"/>
              <w:spacing w:after="0"/>
              <w:rPr>
                <w:sz w:val="20"/>
                <w:szCs w:val="20"/>
                <w:color w:val="auto"/>
              </w:rPr>
            </w:pPr>
            <w:r>
              <w:rPr>
                <w:rFonts w:ascii="Arial" w:cs="Arial" w:eastAsia="Arial" w:hAnsi="Arial"/>
                <w:sz w:val="16"/>
                <w:szCs w:val="16"/>
                <w:color w:val="auto"/>
              </w:rPr>
              <w:t>William Yoon</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4/1/2022</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182"/>
              <w:spacing w:after="0"/>
              <w:rPr>
                <w:sz w:val="20"/>
                <w:szCs w:val="20"/>
                <w:color w:val="auto"/>
              </w:rPr>
            </w:pPr>
            <w:r>
              <w:rPr>
                <w:rFonts w:ascii="Arial" w:cs="Arial" w:eastAsia="Arial" w:hAnsi="Arial"/>
                <w:sz w:val="16"/>
                <w:szCs w:val="16"/>
                <w:color w:val="auto"/>
              </w:rPr>
              <w:t>2,803</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77,923</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4/1/2023</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15,293</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425,145</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4/1/2024</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23,436</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651,521</w:t>
            </w:r>
          </w:p>
        </w:tc>
        <w:tc>
          <w:tcPr>
            <w:tcW w:w="0" w:type="dxa"/>
            <w:vAlign w:val="bottom"/>
          </w:tcPr>
          <w:p>
            <w:pPr>
              <w:spacing w:after="0"/>
              <w:rPr>
                <w:sz w:val="1"/>
                <w:szCs w:val="1"/>
                <w:color w:val="auto"/>
              </w:rPr>
            </w:pPr>
          </w:p>
        </w:tc>
      </w:tr>
      <w:tr>
        <w:trPr>
          <w:trHeight w:val="244"/>
        </w:trPr>
        <w:tc>
          <w:tcPr>
            <w:tcW w:w="20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4/1/2025</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154,949</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4,307,582</w:t>
            </w:r>
          </w:p>
        </w:tc>
        <w:tc>
          <w:tcPr>
            <w:tcW w:w="0" w:type="dxa"/>
            <w:vAlign w:val="bottom"/>
          </w:tcPr>
          <w:p>
            <w:pPr>
              <w:spacing w:after="0"/>
              <w:rPr>
                <w:sz w:val="1"/>
                <w:szCs w:val="1"/>
                <w:color w:val="auto"/>
              </w:rPr>
            </w:pPr>
          </w:p>
        </w:tc>
      </w:tr>
      <w:tr>
        <w:trPr>
          <w:trHeight w:val="243"/>
        </w:trPr>
        <w:tc>
          <w:tcPr>
            <w:tcW w:w="2080" w:type="dxa"/>
            <w:vAlign w:val="bottom"/>
            <w:shd w:val="clear" w:color="auto" w:fill="F2F2F2"/>
          </w:tcPr>
          <w:p>
            <w:pPr>
              <w:ind w:left="20"/>
              <w:spacing w:after="0"/>
              <w:rPr>
                <w:sz w:val="20"/>
                <w:szCs w:val="20"/>
                <w:color w:val="auto"/>
              </w:rPr>
            </w:pPr>
            <w:r>
              <w:rPr>
                <w:rFonts w:ascii="Arial" w:cs="Arial" w:eastAsia="Arial" w:hAnsi="Arial"/>
                <w:sz w:val="16"/>
                <w:szCs w:val="16"/>
                <w:color w:val="auto"/>
              </w:rPr>
              <w:t>Ali Dasdan</w:t>
            </w: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4/1/2025</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242"/>
              <w:spacing w:after="0"/>
              <w:rPr>
                <w:sz w:val="20"/>
                <w:szCs w:val="20"/>
                <w:color w:val="auto"/>
              </w:rPr>
            </w:pPr>
            <w:r>
              <w:rPr>
                <w:rFonts w:ascii="Arial" w:cs="Arial" w:eastAsia="Arial" w:hAnsi="Arial"/>
                <w:sz w:val="16"/>
                <w:szCs w:val="16"/>
                <w:color w:val="auto"/>
              </w:rPr>
              <w:t>495,836</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13,784,241</w:t>
            </w:r>
          </w:p>
        </w:tc>
        <w:tc>
          <w:tcPr>
            <w:tcW w:w="0" w:type="dxa"/>
            <w:vAlign w:val="bottom"/>
          </w:tcPr>
          <w:p>
            <w:pPr>
              <w:spacing w:after="0"/>
              <w:rPr>
                <w:sz w:val="1"/>
                <w:szCs w:val="1"/>
                <w:color w:val="auto"/>
              </w:rPr>
            </w:pPr>
          </w:p>
        </w:tc>
      </w:tr>
      <w:tr>
        <w:trPr>
          <w:trHeight w:val="285"/>
        </w:trPr>
        <w:tc>
          <w:tcPr>
            <w:tcW w:w="2080" w:type="dxa"/>
            <w:vAlign w:val="bottom"/>
          </w:tcPr>
          <w:p>
            <w:pPr>
              <w:ind w:left="20"/>
              <w:spacing w:after="0"/>
              <w:rPr>
                <w:sz w:val="20"/>
                <w:szCs w:val="20"/>
                <w:color w:val="auto"/>
              </w:rPr>
            </w:pPr>
            <w:r>
              <w:rPr>
                <w:rFonts w:ascii="Arial" w:cs="Arial" w:eastAsia="Arial" w:hAnsi="Arial"/>
                <w:sz w:val="16"/>
                <w:szCs w:val="16"/>
                <w:color w:val="auto"/>
              </w:rPr>
              <w:t>Ashraf Alkarmi</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1/1/2025</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403,452</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11,215,966</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The closing price of our Class A common stock on December 31, 2025, the last trading day of the year, was $27.80 per share.</w:t>
      </w:r>
    </w:p>
    <w:p>
      <w:pPr>
        <w:jc w:val="both"/>
        <w:ind w:left="340" w:right="200" w:hanging="332"/>
        <w:spacing w:after="0" w:line="221" w:lineRule="auto"/>
        <w:tabs>
          <w:tab w:leader="none" w:pos="333"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the section titled “</w:t>
      </w:r>
      <w:r>
        <w:rPr>
          <w:rFonts w:ascii="Arial" w:cs="Arial" w:eastAsia="Arial" w:hAnsi="Arial"/>
          <w:sz w:val="14"/>
          <w:szCs w:val="14"/>
          <w:i w:val="1"/>
          <w:iCs w:val="1"/>
          <w:color w:val="auto"/>
        </w:rPr>
        <w:t>Executive Compensation—Co-Founder Grant</w:t>
      </w:r>
      <w:r>
        <w:rPr>
          <w:rFonts w:ascii="Arial" w:cs="Arial" w:eastAsia="Arial" w:hAnsi="Arial"/>
          <w:sz w:val="14"/>
          <w:szCs w:val="14"/>
          <w:color w:val="auto"/>
        </w:rPr>
        <w:t>” below.</w:t>
      </w:r>
    </w:p>
    <w:p>
      <w:pPr>
        <w:spacing w:after="0" w:line="1" w:lineRule="exact"/>
        <w:rPr>
          <w:rFonts w:ascii="Arial" w:cs="Arial" w:eastAsia="Arial" w:hAnsi="Arial"/>
          <w:sz w:val="19"/>
          <w:szCs w:val="19"/>
          <w:color w:val="auto"/>
          <w:vertAlign w:val="superscript"/>
        </w:rPr>
      </w:pPr>
    </w:p>
    <w:p>
      <w:pPr>
        <w:ind w:left="340" w:right="360" w:hanging="332"/>
        <w:spacing w:after="0" w:line="213" w:lineRule="auto"/>
        <w:tabs>
          <w:tab w:leader="none" w:pos="333"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1/16th of the total number of shares of our Class A common stock underlying the RSUs vests in equal quarterly installments on the Quarterly Vesting Dates, subject to continued service through each such vesting date.</w:t>
      </w:r>
    </w:p>
    <w:p>
      <w:pPr>
        <w:spacing w:after="0" w:line="355" w:lineRule="exact"/>
        <w:rPr>
          <w:sz w:val="20"/>
          <w:szCs w:val="20"/>
          <w:color w:val="auto"/>
        </w:rPr>
      </w:pPr>
    </w:p>
    <w:p>
      <w:pPr>
        <w:spacing w:after="0"/>
        <w:rPr>
          <w:sz w:val="20"/>
          <w:szCs w:val="20"/>
          <w:color w:val="auto"/>
        </w:rPr>
      </w:pPr>
      <w:r>
        <w:rPr>
          <w:rFonts w:ascii="Arial" w:cs="Arial" w:eastAsia="Arial" w:hAnsi="Arial"/>
          <w:sz w:val="26"/>
          <w:szCs w:val="26"/>
          <w:color w:val="0063A6"/>
        </w:rPr>
        <w:t>Co-Founder Grant</w:t>
      </w:r>
    </w:p>
    <w:p>
      <w:pPr>
        <w:spacing w:after="0" w:line="233"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In December 2017, our board of directors approved the Co-Founder Grant. The Co-Founder Grant has service-based, market-based, and performance-based vesting conditions as described above in the section titled “</w:t>
      </w:r>
      <w:r>
        <w:rPr>
          <w:rFonts w:ascii="Arial" w:cs="Arial" w:eastAsia="Arial" w:hAnsi="Arial"/>
          <w:sz w:val="16"/>
          <w:szCs w:val="16"/>
          <w:i w:val="1"/>
          <w:iCs w:val="1"/>
          <w:color w:val="auto"/>
        </w:rPr>
        <w:t>Executive Compensation—“Performance Achievement of Mr. Houston’s Co-Founder</w:t>
      </w:r>
    </w:p>
    <w:p>
      <w:pPr>
        <w:spacing w:after="0"/>
        <w:rPr>
          <w:sz w:val="20"/>
          <w:szCs w:val="20"/>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Option Exercises and Stock Vested in 2025</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stock awards vested, and value realized upon vesting, by our named executive officers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140970</wp:posOffset>
            </wp:positionV>
            <wp:extent cx="4783455" cy="1551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83455" cy="155130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720" w:type="dxa"/>
            <w:vAlign w:val="bottom"/>
            <w:shd w:val="clear" w:color="auto" w:fill="0063A6"/>
          </w:tcPr>
          <w:p>
            <w:pPr>
              <w:spacing w:after="0"/>
              <w:rPr>
                <w:sz w:val="23"/>
                <w:szCs w:val="23"/>
                <w:color w:val="auto"/>
              </w:rPr>
            </w:pPr>
          </w:p>
        </w:tc>
        <w:tc>
          <w:tcPr>
            <w:tcW w:w="3880" w:type="dxa"/>
            <w:vAlign w:val="bottom"/>
            <w:gridSpan w:val="2"/>
            <w:shd w:val="clear" w:color="auto" w:fill="0063A6"/>
          </w:tcPr>
          <w:p>
            <w:pPr>
              <w:ind w:left="1420"/>
              <w:spacing w:after="0"/>
              <w:rPr>
                <w:sz w:val="20"/>
                <w:szCs w:val="20"/>
                <w:color w:val="auto"/>
              </w:rPr>
            </w:pPr>
            <w:r>
              <w:rPr>
                <w:rFonts w:ascii="Arial" w:cs="Arial" w:eastAsia="Arial" w:hAnsi="Arial"/>
                <w:sz w:val="14"/>
                <w:szCs w:val="14"/>
                <w:b w:val="1"/>
                <w:bCs w:val="1"/>
                <w:color w:val="FFFFFF"/>
              </w:rPr>
              <w:t>Option Awards</w:t>
            </w:r>
          </w:p>
        </w:tc>
        <w:tc>
          <w:tcPr>
            <w:tcW w:w="2300" w:type="dxa"/>
            <w:vAlign w:val="bottom"/>
            <w:shd w:val="clear" w:color="auto" w:fill="0063A6"/>
          </w:tcPr>
          <w:p>
            <w:pPr>
              <w:ind w:left="1340"/>
              <w:spacing w:after="0"/>
              <w:rPr>
                <w:sz w:val="20"/>
                <w:szCs w:val="20"/>
                <w:color w:val="auto"/>
              </w:rPr>
            </w:pPr>
            <w:r>
              <w:rPr>
                <w:rFonts w:ascii="Arial" w:cs="Arial" w:eastAsia="Arial" w:hAnsi="Arial"/>
                <w:sz w:val="14"/>
                <w:szCs w:val="14"/>
                <w:b w:val="1"/>
                <w:bCs w:val="1"/>
                <w:color w:val="FFFFFF"/>
              </w:rPr>
              <w:t>Stock Awards</w:t>
            </w:r>
          </w:p>
        </w:tc>
        <w:tc>
          <w:tcPr>
            <w:tcW w:w="1340" w:type="dxa"/>
            <w:vAlign w:val="bottom"/>
            <w:shd w:val="clear" w:color="auto" w:fill="0063A6"/>
          </w:tcPr>
          <w:p>
            <w:pPr>
              <w:spacing w:after="0"/>
              <w:rPr>
                <w:sz w:val="23"/>
                <w:szCs w:val="23"/>
                <w:color w:val="auto"/>
              </w:rPr>
            </w:pPr>
          </w:p>
        </w:tc>
      </w:tr>
      <w:tr>
        <w:trPr>
          <w:trHeight w:val="290"/>
        </w:trPr>
        <w:tc>
          <w:tcPr>
            <w:tcW w:w="3720" w:type="dxa"/>
            <w:vAlign w:val="bottom"/>
            <w:shd w:val="clear" w:color="auto" w:fill="0063A6"/>
          </w:tcPr>
          <w:p>
            <w:pPr>
              <w:spacing w:after="0"/>
              <w:rPr>
                <w:sz w:val="24"/>
                <w:szCs w:val="24"/>
                <w:color w:val="auto"/>
              </w:rPr>
            </w:pP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 Awards –</w:t>
            </w:r>
          </w:p>
        </w:tc>
        <w:tc>
          <w:tcPr>
            <w:tcW w:w="18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 Awards –</w:t>
            </w:r>
          </w:p>
        </w:tc>
        <w:tc>
          <w:tcPr>
            <w:tcW w:w="2300" w:type="dxa"/>
            <w:vAlign w:val="bottom"/>
            <w:shd w:val="clear" w:color="auto" w:fill="0063A6"/>
          </w:tcPr>
          <w:p>
            <w:pPr>
              <w:jc w:val="center"/>
              <w:ind w:right="423"/>
              <w:spacing w:after="0"/>
              <w:rPr>
                <w:sz w:val="20"/>
                <w:szCs w:val="20"/>
                <w:color w:val="auto"/>
              </w:rPr>
            </w:pPr>
            <w:r>
              <w:rPr>
                <w:rFonts w:ascii="Arial" w:cs="Arial" w:eastAsia="Arial" w:hAnsi="Arial"/>
                <w:sz w:val="14"/>
                <w:szCs w:val="14"/>
                <w:b w:val="1"/>
                <w:bCs w:val="1"/>
                <w:color w:val="FFFFFF"/>
              </w:rPr>
              <w:t>Number of Shares</w:t>
            </w:r>
          </w:p>
        </w:tc>
        <w:tc>
          <w:tcPr>
            <w:tcW w:w="1340" w:type="dxa"/>
            <w:vAlign w:val="bottom"/>
            <w:shd w:val="clear" w:color="auto" w:fill="0063A6"/>
          </w:tcPr>
          <w:p>
            <w:pPr>
              <w:jc w:val="center"/>
              <w:ind w:right="402"/>
              <w:spacing w:after="0"/>
              <w:rPr>
                <w:sz w:val="20"/>
                <w:szCs w:val="20"/>
                <w:color w:val="auto"/>
              </w:rPr>
            </w:pPr>
            <w:r>
              <w:rPr>
                <w:rFonts w:ascii="Arial" w:cs="Arial" w:eastAsia="Arial" w:hAnsi="Arial"/>
                <w:sz w:val="14"/>
                <w:szCs w:val="14"/>
                <w:b w:val="1"/>
                <w:bCs w:val="1"/>
                <w:color w:val="FFFFFF"/>
              </w:rPr>
              <w:t>Value</w:t>
            </w:r>
          </w:p>
        </w:tc>
      </w:tr>
      <w:tr>
        <w:trPr>
          <w:trHeight w:val="173"/>
        </w:trPr>
        <w:tc>
          <w:tcPr>
            <w:tcW w:w="3720" w:type="dxa"/>
            <w:vAlign w:val="bottom"/>
            <w:shd w:val="clear" w:color="auto" w:fill="0063A6"/>
          </w:tcPr>
          <w:p>
            <w:pPr>
              <w:spacing w:after="0"/>
              <w:rPr>
                <w:sz w:val="15"/>
                <w:szCs w:val="15"/>
                <w:color w:val="auto"/>
              </w:rPr>
            </w:pP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Acquired on</w:t>
            </w:r>
          </w:p>
        </w:tc>
        <w:tc>
          <w:tcPr>
            <w:tcW w:w="18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Realized on</w:t>
            </w:r>
          </w:p>
        </w:tc>
        <w:tc>
          <w:tcPr>
            <w:tcW w:w="2300" w:type="dxa"/>
            <w:vAlign w:val="bottom"/>
            <w:shd w:val="clear" w:color="auto" w:fill="0063A6"/>
          </w:tcPr>
          <w:p>
            <w:pPr>
              <w:jc w:val="center"/>
              <w:ind w:right="423"/>
              <w:spacing w:after="0"/>
              <w:rPr>
                <w:sz w:val="20"/>
                <w:szCs w:val="20"/>
                <w:color w:val="auto"/>
              </w:rPr>
            </w:pPr>
            <w:r>
              <w:rPr>
                <w:rFonts w:ascii="Arial" w:cs="Arial" w:eastAsia="Arial" w:hAnsi="Arial"/>
                <w:sz w:val="14"/>
                <w:szCs w:val="14"/>
                <w:b w:val="1"/>
                <w:bCs w:val="1"/>
                <w:color w:val="FFFFFF"/>
              </w:rPr>
              <w:t>Acquired on</w:t>
            </w:r>
          </w:p>
        </w:tc>
        <w:tc>
          <w:tcPr>
            <w:tcW w:w="1340" w:type="dxa"/>
            <w:vAlign w:val="bottom"/>
            <w:shd w:val="clear" w:color="auto" w:fill="0063A6"/>
          </w:tcPr>
          <w:p>
            <w:pPr>
              <w:jc w:val="center"/>
              <w:ind w:right="382"/>
              <w:spacing w:after="0"/>
              <w:rPr>
                <w:sz w:val="20"/>
                <w:szCs w:val="20"/>
                <w:color w:val="auto"/>
              </w:rPr>
            </w:pPr>
            <w:r>
              <w:rPr>
                <w:rFonts w:ascii="Arial" w:cs="Arial" w:eastAsia="Arial" w:hAnsi="Arial"/>
                <w:sz w:val="14"/>
                <w:szCs w:val="14"/>
                <w:b w:val="1"/>
                <w:bCs w:val="1"/>
                <w:color w:val="FFFFFF"/>
              </w:rPr>
              <w:t>Realized on</w:t>
            </w:r>
          </w:p>
        </w:tc>
      </w:tr>
      <w:tr>
        <w:trPr>
          <w:trHeight w:val="235"/>
        </w:trPr>
        <w:tc>
          <w:tcPr>
            <w:tcW w:w="37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2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w:t>
            </w:r>
          </w:p>
        </w:tc>
        <w:tc>
          <w:tcPr>
            <w:tcW w:w="18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w:t>
            </w:r>
          </w:p>
        </w:tc>
        <w:tc>
          <w:tcPr>
            <w:tcW w:w="2300" w:type="dxa"/>
            <w:vAlign w:val="bottom"/>
            <w:tcBorders>
              <w:bottom w:val="single" w:sz="8" w:color="0063A6"/>
            </w:tcBorders>
            <w:shd w:val="clear" w:color="auto" w:fill="0063A6"/>
          </w:tcPr>
          <w:p>
            <w:pPr>
              <w:jc w:val="center"/>
              <w:ind w:right="403"/>
              <w:spacing w:after="0"/>
              <w:rPr>
                <w:sz w:val="20"/>
                <w:szCs w:val="20"/>
                <w:color w:val="auto"/>
              </w:rPr>
            </w:pPr>
            <w:r>
              <w:rPr>
                <w:rFonts w:ascii="Arial" w:cs="Arial" w:eastAsia="Arial" w:hAnsi="Arial"/>
                <w:sz w:val="14"/>
                <w:szCs w:val="14"/>
                <w:b w:val="1"/>
                <w:bCs w:val="1"/>
                <w:color w:val="FFFFFF"/>
              </w:rPr>
              <w:t>Vesting (#)</w:t>
            </w:r>
          </w:p>
        </w:tc>
        <w:tc>
          <w:tcPr>
            <w:tcW w:w="1340" w:type="dxa"/>
            <w:vAlign w:val="bottom"/>
            <w:tcBorders>
              <w:bottom w:val="single" w:sz="8" w:color="0063A6"/>
            </w:tcBorders>
            <w:shd w:val="clear" w:color="auto" w:fill="0063A6"/>
          </w:tcPr>
          <w:p>
            <w:pPr>
              <w:jc w:val="center"/>
              <w:ind w:right="382"/>
              <w:spacing w:after="0" w:line="201" w:lineRule="exact"/>
              <w:rPr>
                <w:sz w:val="20"/>
                <w:szCs w:val="20"/>
                <w:color w:val="auto"/>
              </w:rPr>
            </w:pPr>
            <w:r>
              <w:rPr>
                <w:rFonts w:ascii="Arial" w:cs="Arial" w:eastAsia="Arial" w:hAnsi="Arial"/>
                <w:sz w:val="14"/>
                <w:szCs w:val="14"/>
                <w:b w:val="1"/>
                <w:bCs w:val="1"/>
                <w:color w:val="FFFFFF"/>
                <w:w w:val="97"/>
              </w:rPr>
              <w:t>Vesting ($)</w:t>
            </w:r>
            <w:r>
              <w:rPr>
                <w:rFonts w:ascii="Arial" w:cs="Arial" w:eastAsia="Arial" w:hAnsi="Arial"/>
                <w:sz w:val="18"/>
                <w:szCs w:val="18"/>
                <w:b w:val="1"/>
                <w:bCs w:val="1"/>
                <w:color w:val="FFFFFF"/>
                <w:w w:val="97"/>
                <w:vertAlign w:val="superscript"/>
              </w:rPr>
              <w:t>(1)</w:t>
            </w:r>
          </w:p>
        </w:tc>
      </w:tr>
      <w:tr>
        <w:trPr>
          <w:trHeight w:val="223"/>
        </w:trPr>
        <w:tc>
          <w:tcPr>
            <w:tcW w:w="37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F2F2F2"/>
            </w:tcBorders>
            <w:shd w:val="clear" w:color="auto" w:fill="F2F2F2"/>
          </w:tcPr>
          <w:p>
            <w:pPr>
              <w:jc w:val="center"/>
              <w:ind w:right="423"/>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F2F2F2"/>
            </w:tcBorders>
            <w:shd w:val="clear" w:color="auto" w:fill="F2F2F2"/>
          </w:tcPr>
          <w:p>
            <w:pPr>
              <w:jc w:val="center"/>
              <w:ind w:right="382"/>
              <w:spacing w:after="0"/>
              <w:rPr>
                <w:sz w:val="20"/>
                <w:szCs w:val="20"/>
                <w:color w:val="auto"/>
              </w:rPr>
            </w:pPr>
            <w:r>
              <w:rPr>
                <w:rFonts w:ascii="Arial" w:cs="Arial" w:eastAsia="Arial" w:hAnsi="Arial"/>
                <w:sz w:val="16"/>
                <w:szCs w:val="16"/>
                <w:color w:val="auto"/>
                <w:w w:val="99"/>
              </w:rPr>
              <w:t>—</w:t>
            </w:r>
          </w:p>
        </w:tc>
      </w:tr>
      <w:tr>
        <w:trPr>
          <w:trHeight w:val="215"/>
        </w:trPr>
        <w:tc>
          <w:tcPr>
            <w:tcW w:w="372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right="423"/>
              <w:spacing w:after="0"/>
              <w:rPr>
                <w:sz w:val="20"/>
                <w:szCs w:val="20"/>
                <w:color w:val="auto"/>
              </w:rPr>
            </w:pPr>
            <w:r>
              <w:rPr>
                <w:rFonts w:ascii="Arial" w:cs="Arial" w:eastAsia="Arial" w:hAnsi="Arial"/>
                <w:sz w:val="16"/>
                <w:szCs w:val="16"/>
                <w:color w:val="auto"/>
                <w:w w:val="99"/>
              </w:rPr>
              <w:t>—</w:t>
            </w:r>
          </w:p>
        </w:tc>
        <w:tc>
          <w:tcPr>
            <w:tcW w:w="1340" w:type="dxa"/>
            <w:vAlign w:val="bottom"/>
          </w:tcPr>
          <w:p>
            <w:pPr>
              <w:jc w:val="center"/>
              <w:ind w:right="422"/>
              <w:spacing w:after="0"/>
              <w:rPr>
                <w:sz w:val="20"/>
                <w:szCs w:val="20"/>
                <w:color w:val="auto"/>
              </w:rPr>
            </w:pPr>
            <w:r>
              <w:rPr>
                <w:rFonts w:ascii="Arial" w:cs="Arial" w:eastAsia="Arial" w:hAnsi="Arial"/>
                <w:sz w:val="16"/>
                <w:szCs w:val="16"/>
                <w:color w:val="auto"/>
                <w:w w:val="99"/>
              </w:rPr>
              <w:t>—</w:t>
            </w:r>
          </w:p>
        </w:tc>
      </w:tr>
      <w:tr>
        <w:trPr>
          <w:trHeight w:val="28"/>
        </w:trPr>
        <w:tc>
          <w:tcPr>
            <w:tcW w:w="3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37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F2F2F2"/>
            </w:tcBorders>
            <w:shd w:val="clear" w:color="auto" w:fill="F2F2F2"/>
          </w:tcPr>
          <w:p>
            <w:pPr>
              <w:jc w:val="center"/>
              <w:ind w:right="403"/>
              <w:spacing w:after="0"/>
              <w:rPr>
                <w:sz w:val="20"/>
                <w:szCs w:val="20"/>
                <w:color w:val="auto"/>
              </w:rPr>
            </w:pPr>
            <w:r>
              <w:rPr>
                <w:rFonts w:ascii="Arial" w:cs="Arial" w:eastAsia="Arial" w:hAnsi="Arial"/>
                <w:sz w:val="16"/>
                <w:szCs w:val="16"/>
                <w:color w:val="auto"/>
              </w:rPr>
              <w:t>207,593</w:t>
            </w:r>
          </w:p>
        </w:tc>
        <w:tc>
          <w:tcPr>
            <w:tcW w:w="1340" w:type="dxa"/>
            <w:vAlign w:val="bottom"/>
            <w:tcBorders>
              <w:bottom w:val="single" w:sz="8" w:color="F2F2F2"/>
            </w:tcBorders>
            <w:shd w:val="clear" w:color="auto" w:fill="F2F2F2"/>
          </w:tcPr>
          <w:p>
            <w:pPr>
              <w:jc w:val="center"/>
              <w:ind w:right="382"/>
              <w:spacing w:after="0"/>
              <w:rPr>
                <w:sz w:val="20"/>
                <w:szCs w:val="20"/>
                <w:color w:val="auto"/>
              </w:rPr>
            </w:pPr>
            <w:r>
              <w:rPr>
                <w:rFonts w:ascii="Arial" w:cs="Arial" w:eastAsia="Arial" w:hAnsi="Arial"/>
                <w:sz w:val="16"/>
                <w:szCs w:val="16"/>
                <w:color w:val="auto"/>
              </w:rPr>
              <w:t>6,246,955</w:t>
            </w:r>
          </w:p>
        </w:tc>
      </w:tr>
      <w:tr>
        <w:trPr>
          <w:trHeight w:val="215"/>
        </w:trPr>
        <w:tc>
          <w:tcPr>
            <w:tcW w:w="3720" w:type="dxa"/>
            <w:vAlign w:val="bottom"/>
          </w:tcPr>
          <w:p>
            <w:pPr>
              <w:ind w:left="60"/>
              <w:spacing w:after="0"/>
              <w:rPr>
                <w:sz w:val="20"/>
                <w:szCs w:val="20"/>
                <w:color w:val="auto"/>
              </w:rPr>
            </w:pPr>
            <w:r>
              <w:rPr>
                <w:rFonts w:ascii="Arial" w:cs="Arial" w:eastAsia="Arial" w:hAnsi="Arial"/>
                <w:sz w:val="16"/>
                <w:szCs w:val="16"/>
                <w:color w:val="auto"/>
              </w:rPr>
              <w:t>William Yoon</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right="403"/>
              <w:spacing w:after="0"/>
              <w:rPr>
                <w:sz w:val="20"/>
                <w:szCs w:val="20"/>
                <w:color w:val="auto"/>
              </w:rPr>
            </w:pPr>
            <w:r>
              <w:rPr>
                <w:rFonts w:ascii="Arial" w:cs="Arial" w:eastAsia="Arial" w:hAnsi="Arial"/>
                <w:sz w:val="16"/>
                <w:szCs w:val="16"/>
                <w:color w:val="auto"/>
              </w:rPr>
              <w:t>73,147</w:t>
            </w:r>
          </w:p>
        </w:tc>
        <w:tc>
          <w:tcPr>
            <w:tcW w:w="1340" w:type="dxa"/>
            <w:vAlign w:val="bottom"/>
          </w:tcPr>
          <w:p>
            <w:pPr>
              <w:jc w:val="center"/>
              <w:ind w:right="382"/>
              <w:spacing w:after="0"/>
              <w:rPr>
                <w:sz w:val="20"/>
                <w:szCs w:val="20"/>
                <w:color w:val="auto"/>
              </w:rPr>
            </w:pPr>
            <w:r>
              <w:rPr>
                <w:rFonts w:ascii="Arial" w:cs="Arial" w:eastAsia="Arial" w:hAnsi="Arial"/>
                <w:sz w:val="16"/>
                <w:szCs w:val="16"/>
                <w:color w:val="auto"/>
              </w:rPr>
              <w:t>2,173,500</w:t>
            </w:r>
          </w:p>
        </w:tc>
      </w:tr>
      <w:tr>
        <w:trPr>
          <w:trHeight w:val="28"/>
        </w:trPr>
        <w:tc>
          <w:tcPr>
            <w:tcW w:w="3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37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Ali Dasdan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F2F2F2"/>
            </w:tcBorders>
            <w:shd w:val="clear" w:color="auto" w:fill="F2F2F2"/>
          </w:tcPr>
          <w:p>
            <w:pPr>
              <w:jc w:val="center"/>
              <w:ind w:right="403"/>
              <w:spacing w:after="0"/>
              <w:rPr>
                <w:sz w:val="20"/>
                <w:szCs w:val="20"/>
                <w:color w:val="auto"/>
              </w:rPr>
            </w:pPr>
            <w:r>
              <w:rPr>
                <w:rFonts w:ascii="Arial" w:cs="Arial" w:eastAsia="Arial" w:hAnsi="Arial"/>
                <w:sz w:val="16"/>
                <w:szCs w:val="16"/>
                <w:color w:val="auto"/>
              </w:rPr>
              <w:t>114,424</w:t>
            </w:r>
          </w:p>
        </w:tc>
        <w:tc>
          <w:tcPr>
            <w:tcW w:w="1340" w:type="dxa"/>
            <w:vAlign w:val="bottom"/>
            <w:tcBorders>
              <w:bottom w:val="single" w:sz="8" w:color="F2F2F2"/>
            </w:tcBorders>
            <w:shd w:val="clear" w:color="auto" w:fill="F2F2F2"/>
          </w:tcPr>
          <w:p>
            <w:pPr>
              <w:jc w:val="center"/>
              <w:ind w:right="422"/>
              <w:spacing w:after="0"/>
              <w:rPr>
                <w:sz w:val="20"/>
                <w:szCs w:val="20"/>
                <w:color w:val="auto"/>
              </w:rPr>
            </w:pPr>
            <w:r>
              <w:rPr>
                <w:rFonts w:ascii="Arial" w:cs="Arial" w:eastAsia="Arial" w:hAnsi="Arial"/>
                <w:sz w:val="16"/>
                <w:szCs w:val="16"/>
                <w:color w:val="auto"/>
              </w:rPr>
              <w:t>3,344,993</w:t>
            </w:r>
          </w:p>
        </w:tc>
      </w:tr>
      <w:tr>
        <w:trPr>
          <w:trHeight w:val="215"/>
        </w:trPr>
        <w:tc>
          <w:tcPr>
            <w:tcW w:w="372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right="403"/>
              <w:spacing w:after="0"/>
              <w:rPr>
                <w:sz w:val="20"/>
                <w:szCs w:val="20"/>
                <w:color w:val="auto"/>
              </w:rPr>
            </w:pPr>
            <w:r>
              <w:rPr>
                <w:rFonts w:ascii="Arial" w:cs="Arial" w:eastAsia="Arial" w:hAnsi="Arial"/>
                <w:sz w:val="16"/>
                <w:szCs w:val="16"/>
                <w:color w:val="auto"/>
              </w:rPr>
              <w:t>134,484</w:t>
            </w:r>
          </w:p>
        </w:tc>
        <w:tc>
          <w:tcPr>
            <w:tcW w:w="1340" w:type="dxa"/>
            <w:vAlign w:val="bottom"/>
          </w:tcPr>
          <w:p>
            <w:pPr>
              <w:jc w:val="center"/>
              <w:ind w:right="422"/>
              <w:spacing w:after="0"/>
              <w:rPr>
                <w:sz w:val="20"/>
                <w:szCs w:val="20"/>
                <w:color w:val="auto"/>
              </w:rPr>
            </w:pPr>
            <w:r>
              <w:rPr>
                <w:rFonts w:ascii="Arial" w:cs="Arial" w:eastAsia="Arial" w:hAnsi="Arial"/>
                <w:sz w:val="16"/>
                <w:szCs w:val="16"/>
                <w:color w:val="auto"/>
              </w:rPr>
              <w:t>4,050,658</w:t>
            </w:r>
          </w:p>
        </w:tc>
      </w:tr>
    </w:tbl>
    <w:p>
      <w:pPr>
        <w:spacing w:after="0" w:line="114" w:lineRule="exact"/>
        <w:rPr>
          <w:sz w:val="20"/>
          <w:szCs w:val="20"/>
          <w:color w:val="auto"/>
        </w:rPr>
      </w:pPr>
    </w:p>
    <w:p>
      <w:pPr>
        <w:ind w:left="340" w:right="220" w:hanging="332"/>
        <w:spacing w:after="0" w:line="222" w:lineRule="auto"/>
        <w:tabs>
          <w:tab w:leader="none" w:pos="333"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The value realized upon vesting of RSAs or RSUs, as applicable, is calculated by multiplying the number of shares vested by the closing price for a share of our Class A common stock on the trading day immediately preceding the vesting date.</w:t>
      </w:r>
    </w:p>
    <w:p>
      <w:pPr>
        <w:spacing w:after="0" w:line="355" w:lineRule="exact"/>
        <w:rPr>
          <w:sz w:val="20"/>
          <w:szCs w:val="20"/>
          <w:color w:val="auto"/>
        </w:rPr>
      </w:pPr>
    </w:p>
    <w:p>
      <w:pPr>
        <w:spacing w:after="0"/>
        <w:rPr>
          <w:sz w:val="20"/>
          <w:szCs w:val="20"/>
          <w:color w:val="auto"/>
        </w:rPr>
      </w:pPr>
      <w:r>
        <w:rPr>
          <w:rFonts w:ascii="Arial" w:cs="Arial" w:eastAsia="Arial" w:hAnsi="Arial"/>
          <w:sz w:val="26"/>
          <w:szCs w:val="26"/>
          <w:color w:val="0063A6"/>
        </w:rPr>
        <w:t>Potential Payments on Termination or Change in Control</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Change in Control and Severance Agreements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order to recruit and maintain a stable and effective management team, the talent and compensation committee believes it is appropriate and necessary to provide assurance of certain severance and change in control benefits approved by the talent and compensation committee, in consultation with its compensation consultant. We entered into change in control and severance agreements with each of our named executive officers that provide for the severance and change in control payments and benefits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Basic Severance</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117" w:lineRule="exact"/>
        <w:rPr>
          <w:sz w:val="20"/>
          <w:szCs w:val="20"/>
          <w:color w:val="auto"/>
        </w:rPr>
      </w:pPr>
    </w:p>
    <w:p>
      <w:pPr>
        <w:ind w:left="340" w:right="20" w:hanging="332"/>
        <w:spacing w:after="0" w:line="268" w:lineRule="auto"/>
        <w:tabs>
          <w:tab w:leader="none" w:pos="329" w:val="left"/>
        </w:tabs>
        <w:numPr>
          <w:ilvl w:val="0"/>
          <w:numId w:val="75"/>
        </w:numPr>
        <w:rPr>
          <w:rFonts w:ascii="Arial" w:cs="Arial" w:eastAsia="Arial" w:hAnsi="Arial"/>
          <w:sz w:val="16"/>
          <w:szCs w:val="16"/>
          <w:color w:val="0063A6"/>
        </w:rPr>
      </w:pPr>
      <w:r>
        <w:rPr>
          <w:rFonts w:ascii="Arial" w:cs="Arial" w:eastAsia="Arial" w:hAnsi="Arial"/>
          <w:sz w:val="16"/>
          <w:szCs w:val="16"/>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115" w:lineRule="exact"/>
        <w:rPr>
          <w:rFonts w:ascii="Arial" w:cs="Arial" w:eastAsia="Arial" w:hAnsi="Arial"/>
          <w:sz w:val="16"/>
          <w:szCs w:val="16"/>
          <w:color w:val="0063A6"/>
        </w:rPr>
      </w:pPr>
    </w:p>
    <w:p>
      <w:pPr>
        <w:ind w:left="340" w:right="60" w:hanging="332"/>
        <w:spacing w:after="0" w:line="286" w:lineRule="auto"/>
        <w:tabs>
          <w:tab w:leader="none" w:pos="329" w:val="left"/>
        </w:tabs>
        <w:numPr>
          <w:ilvl w:val="0"/>
          <w:numId w:val="75"/>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 and</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75"/>
        </w:numPr>
        <w:rPr>
          <w:rFonts w:ascii="Arial" w:cs="Arial" w:eastAsia="Arial" w:hAnsi="Arial"/>
          <w:sz w:val="16"/>
          <w:szCs w:val="16"/>
          <w:color w:val="0063A6"/>
        </w:rPr>
      </w:pPr>
      <w:r>
        <w:rPr>
          <w:rFonts w:ascii="Arial" w:cs="Arial" w:eastAsia="Arial" w:hAnsi="Arial"/>
          <w:sz w:val="16"/>
          <w:szCs w:val="16"/>
          <w:color w:val="auto"/>
        </w:rPr>
        <w:t>in the case of Messrs. Alkarmi, Dasdan, and Yoon, 3 months' accelerated vesting of the unvested portion of outstanding time-based equity awards.</w:t>
      </w:r>
    </w:p>
    <w:p>
      <w:pPr>
        <w:spacing w:after="0" w:line="16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 Mr. Regan voluntarily terminated his employment and therefore was not eligible for accelerated vesting of his unvested awards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Change in Control Severance</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If, within the three-month period prior to a change in control or during the 12-month period following a change in control (such period, the “</w:t>
      </w:r>
      <w:r>
        <w:rPr>
          <w:rFonts w:ascii="Arial" w:cs="Arial" w:eastAsia="Arial" w:hAnsi="Arial"/>
          <w:sz w:val="16"/>
          <w:szCs w:val="16"/>
          <w:b w:val="1"/>
          <w:bCs w:val="1"/>
          <w:i w:val="1"/>
          <w:iCs w:val="1"/>
          <w:color w:val="auto"/>
        </w:rPr>
        <w:t>Change 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Control Period</w:t>
      </w:r>
      <w:r>
        <w:rPr>
          <w:rFonts w:ascii="Arial" w:cs="Arial" w:eastAsia="Arial" w:hAnsi="Arial"/>
          <w:sz w:val="16"/>
          <w:szCs w:val="16"/>
          <w:color w:val="auto"/>
        </w:rPr>
        <w:t>”), a named executive officer’s employment is terminated by us other than for cause, death, or disability or they resign for “good reason”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in their change in control and severance agreement), they will be entitled to the following benefits:</w:t>
      </w:r>
    </w:p>
    <w:p>
      <w:pPr>
        <w:spacing w:after="0" w:line="124" w:lineRule="exact"/>
        <w:rPr>
          <w:sz w:val="20"/>
          <w:szCs w:val="20"/>
          <w:color w:val="auto"/>
        </w:rPr>
      </w:pPr>
    </w:p>
    <w:p>
      <w:pPr>
        <w:jc w:val="both"/>
        <w:ind w:left="340" w:right="20" w:hanging="332"/>
        <w:spacing w:after="0" w:line="266" w:lineRule="auto"/>
        <w:tabs>
          <w:tab w:leader="none" w:pos="329" w:val="left"/>
        </w:tabs>
        <w:numPr>
          <w:ilvl w:val="0"/>
          <w:numId w:val="76"/>
        </w:numPr>
        <w:rPr>
          <w:rFonts w:ascii="Arial" w:cs="Arial" w:eastAsia="Arial" w:hAnsi="Arial"/>
          <w:sz w:val="16"/>
          <w:szCs w:val="16"/>
          <w:color w:val="0063A6"/>
        </w:rPr>
      </w:pPr>
      <w:r>
        <w:rPr>
          <w:rFonts w:ascii="Arial" w:cs="Arial" w:eastAsia="Arial" w:hAnsi="Arial"/>
          <w:sz w:val="16"/>
          <w:szCs w:val="16"/>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200" w:lineRule="exact"/>
        <w:rPr>
          <w:sz w:val="20"/>
          <w:szCs w:val="20"/>
          <w:color w:val="auto"/>
        </w:rPr>
      </w:pPr>
    </w:p>
    <w:p>
      <w:pPr>
        <w:spacing w:after="0" w:line="300" w:lineRule="exact"/>
        <w:rPr>
          <w:sz w:val="20"/>
          <w:szCs w:val="20"/>
          <w:color w:val="auto"/>
        </w:rPr>
      </w:pPr>
    </w:p>
    <w:p>
      <w:pPr>
        <w:ind w:left="580" w:hanging="554"/>
        <w:spacing w:after="0"/>
        <w:tabs>
          <w:tab w:leader="none" w:pos="58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a lump-sum payment equal to 100% of their target annual cash bonus opportunity (for the year of their termination);</w:t>
      </w:r>
    </w:p>
    <w:p>
      <w:pPr>
        <w:spacing w:after="0" w:line="167" w:lineRule="exact"/>
        <w:rPr>
          <w:rFonts w:ascii="Arial" w:cs="Arial" w:eastAsia="Arial" w:hAnsi="Arial"/>
          <w:sz w:val="16"/>
          <w:szCs w:val="16"/>
          <w:color w:val="0063A6"/>
        </w:rPr>
      </w:pPr>
    </w:p>
    <w:p>
      <w:pPr>
        <w:ind w:left="340" w:right="60" w:hanging="332"/>
        <w:spacing w:after="0" w:line="286" w:lineRule="auto"/>
        <w:tabs>
          <w:tab w:leader="none" w:pos="329"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88" w:lineRule="exact"/>
        <w:rPr>
          <w:rFonts w:ascii="Arial" w:cs="Arial" w:eastAsia="Arial" w:hAnsi="Arial"/>
          <w:sz w:val="16"/>
          <w:szCs w:val="16"/>
          <w:color w:val="0063A6"/>
        </w:rPr>
      </w:pPr>
    </w:p>
    <w:p>
      <w:pPr>
        <w:ind w:left="340" w:right="280" w:hanging="332"/>
        <w:spacing w:after="0" w:line="266" w:lineRule="auto"/>
        <w:tabs>
          <w:tab w:leader="none" w:pos="329"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Andrew Houston Co-Founder Grant</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the event of an acquisition of the company before the end of the Performance Period, Mr. Houston’s Co-Founder Grant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Co-Founder Grant</w:t>
      </w:r>
      <w:r>
        <w:rPr>
          <w:rFonts w:ascii="Arial" w:cs="Arial" w:eastAsia="Arial" w:hAnsi="Arial"/>
          <w:sz w:val="16"/>
          <w:szCs w:val="16"/>
          <w:color w:val="auto"/>
        </w:rPr>
        <w:t>” above.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Amount of Payments Upon Termination at 2025 Year-End</w:t>
      </w:r>
    </w:p>
    <w:p>
      <w:pPr>
        <w:spacing w:after="0" w:line="167"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following table describes the payments that would have been provided to each of our named executive officers in the event that they were involuntarily terminated by Dropbox without cause or resigned for good reason outside of a change in control context, assuming such termination occurred on December 31, 2025. Mr. Regan is not included in this table since he voluntarily terminated his employment with the company prior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100330</wp:posOffset>
            </wp:positionV>
            <wp:extent cx="5066030" cy="13716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66030" cy="137160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80" w:type="dxa"/>
            <w:vAlign w:val="bottom"/>
            <w:shd w:val="clear" w:color="auto" w:fill="0063A6"/>
          </w:tcPr>
          <w:p>
            <w:pPr>
              <w:spacing w:after="0"/>
              <w:rPr>
                <w:sz w:val="21"/>
                <w:szCs w:val="21"/>
                <w:color w:val="auto"/>
              </w:rPr>
            </w:pPr>
          </w:p>
        </w:tc>
        <w:tc>
          <w:tcPr>
            <w:tcW w:w="1580" w:type="dxa"/>
            <w:vAlign w:val="bottom"/>
            <w:vMerge w:val="restart"/>
            <w:shd w:val="clear" w:color="auto" w:fill="0063A6"/>
          </w:tcPr>
          <w:p>
            <w:pPr>
              <w:ind w:left="360"/>
              <w:spacing w:after="0"/>
              <w:rPr>
                <w:sz w:val="20"/>
                <w:szCs w:val="20"/>
                <w:color w:val="auto"/>
              </w:rPr>
            </w:pPr>
            <w:r>
              <w:rPr>
                <w:rFonts w:ascii="Arial" w:cs="Arial" w:eastAsia="Arial" w:hAnsi="Arial"/>
                <w:sz w:val="14"/>
                <w:szCs w:val="14"/>
                <w:b w:val="1"/>
                <w:bCs w:val="1"/>
                <w:color w:val="FFFFFF"/>
              </w:rPr>
              <w:t>Base Salary</w:t>
            </w:r>
          </w:p>
        </w:tc>
        <w:tc>
          <w:tcPr>
            <w:tcW w:w="1560" w:type="dxa"/>
            <w:vAlign w:val="bottom"/>
            <w:vMerge w:val="restart"/>
            <w:shd w:val="clear" w:color="auto" w:fill="0063A6"/>
          </w:tcPr>
          <w:p>
            <w:pPr>
              <w:ind w:left="360"/>
              <w:spacing w:after="0"/>
              <w:rPr>
                <w:sz w:val="20"/>
                <w:szCs w:val="20"/>
                <w:color w:val="auto"/>
              </w:rPr>
            </w:pPr>
            <w:r>
              <w:rPr>
                <w:rFonts w:ascii="Arial" w:cs="Arial" w:eastAsia="Arial" w:hAnsi="Arial"/>
                <w:sz w:val="14"/>
                <w:szCs w:val="14"/>
                <w:b w:val="1"/>
                <w:bCs w:val="1"/>
                <w:color w:val="FFFFFF"/>
              </w:rPr>
              <w:t>Cash Bonus</w:t>
            </w:r>
          </w:p>
        </w:tc>
        <w:tc>
          <w:tcPr>
            <w:tcW w:w="1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1480" w:type="dxa"/>
            <w:vAlign w:val="bottom"/>
            <w:vMerge w:val="restart"/>
            <w:shd w:val="clear" w:color="auto" w:fill="0063A6"/>
          </w:tcPr>
          <w:p>
            <w:pPr>
              <w:jc w:val="center"/>
              <w:ind w:right="62"/>
              <w:spacing w:after="0"/>
              <w:rPr>
                <w:sz w:val="20"/>
                <w:szCs w:val="20"/>
                <w:color w:val="auto"/>
              </w:rPr>
            </w:pPr>
            <w:r>
              <w:rPr>
                <w:rFonts w:ascii="Arial" w:cs="Arial" w:eastAsia="Arial" w:hAnsi="Arial"/>
                <w:sz w:val="14"/>
                <w:szCs w:val="14"/>
                <w:b w:val="1"/>
                <w:bCs w:val="1"/>
                <w:color w:val="FFFFFF"/>
                <w:w w:val="99"/>
              </w:rPr>
              <w:t>Value of</w:t>
            </w:r>
          </w:p>
        </w:tc>
        <w:tc>
          <w:tcPr>
            <w:tcW w:w="1600" w:type="dxa"/>
            <w:vAlign w:val="bottom"/>
            <w:shd w:val="clear" w:color="auto" w:fill="0063A6"/>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0063A6"/>
          </w:tcPr>
          <w:p>
            <w:pPr>
              <w:spacing w:after="0"/>
              <w:rPr>
                <w:sz w:val="14"/>
                <w:szCs w:val="14"/>
                <w:color w:val="auto"/>
              </w:rPr>
            </w:pPr>
          </w:p>
        </w:tc>
        <w:tc>
          <w:tcPr>
            <w:tcW w:w="1580" w:type="dxa"/>
            <w:vAlign w:val="bottom"/>
            <w:vMerge w:val="continue"/>
            <w:shd w:val="clear" w:color="auto" w:fill="0063A6"/>
          </w:tcPr>
          <w:p>
            <w:pPr>
              <w:spacing w:after="0"/>
              <w:rPr>
                <w:sz w:val="14"/>
                <w:szCs w:val="14"/>
                <w:color w:val="auto"/>
              </w:rPr>
            </w:pPr>
          </w:p>
        </w:tc>
        <w:tc>
          <w:tcPr>
            <w:tcW w:w="1560" w:type="dxa"/>
            <w:vAlign w:val="bottom"/>
            <w:vMerge w:val="continue"/>
            <w:shd w:val="clear" w:color="auto" w:fill="0063A6"/>
          </w:tcPr>
          <w:p>
            <w:pPr>
              <w:spacing w:after="0"/>
              <w:rPr>
                <w:sz w:val="14"/>
                <w:szCs w:val="14"/>
                <w:color w:val="auto"/>
              </w:rPr>
            </w:pPr>
          </w:p>
        </w:tc>
        <w:tc>
          <w:tcPr>
            <w:tcW w:w="1740" w:type="dxa"/>
            <w:vAlign w:val="bottom"/>
            <w:shd w:val="clear" w:color="auto" w:fill="0063A6"/>
          </w:tcPr>
          <w:p>
            <w:pPr>
              <w:jc w:val="center"/>
              <w:ind w:right="3"/>
              <w:spacing w:after="0"/>
              <w:rPr>
                <w:sz w:val="20"/>
                <w:szCs w:val="20"/>
                <w:color w:val="auto"/>
              </w:rPr>
            </w:pPr>
            <w:r>
              <w:rPr>
                <w:rFonts w:ascii="Arial" w:cs="Arial" w:eastAsia="Arial" w:hAnsi="Arial"/>
                <w:sz w:val="14"/>
                <w:szCs w:val="14"/>
                <w:b w:val="1"/>
                <w:bCs w:val="1"/>
                <w:color w:val="FFFFFF"/>
              </w:rPr>
              <w:t>Accelerated</w:t>
            </w:r>
          </w:p>
        </w:tc>
        <w:tc>
          <w:tcPr>
            <w:tcW w:w="1480" w:type="dxa"/>
            <w:vAlign w:val="bottom"/>
            <w:vMerge w:val="continue"/>
            <w:shd w:val="clear" w:color="auto" w:fill="0063A6"/>
          </w:tcPr>
          <w:p>
            <w:pPr>
              <w:spacing w:after="0"/>
              <w:rPr>
                <w:sz w:val="14"/>
                <w:szCs w:val="14"/>
                <w:color w:val="auto"/>
              </w:rPr>
            </w:pPr>
          </w:p>
        </w:tc>
        <w:tc>
          <w:tcPr>
            <w:tcW w:w="16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0063A6"/>
          </w:tcPr>
          <w:p>
            <w:pPr>
              <w:spacing w:after="0"/>
              <w:rPr>
                <w:sz w:val="13"/>
                <w:szCs w:val="13"/>
                <w:color w:val="auto"/>
              </w:rPr>
            </w:pPr>
          </w:p>
        </w:tc>
        <w:tc>
          <w:tcPr>
            <w:tcW w:w="1580" w:type="dxa"/>
            <w:vAlign w:val="bottom"/>
            <w:shd w:val="clear" w:color="auto" w:fill="0063A6"/>
          </w:tcPr>
          <w:p>
            <w:pPr>
              <w:ind w:left="380"/>
              <w:spacing w:after="0" w:line="159" w:lineRule="exact"/>
              <w:rPr>
                <w:sz w:val="20"/>
                <w:szCs w:val="20"/>
                <w:color w:val="auto"/>
              </w:rPr>
            </w:pPr>
            <w:r>
              <w:rPr>
                <w:rFonts w:ascii="Arial" w:cs="Arial" w:eastAsia="Arial" w:hAnsi="Arial"/>
                <w:sz w:val="14"/>
                <w:szCs w:val="14"/>
                <w:b w:val="1"/>
                <w:bCs w:val="1"/>
                <w:color w:val="FFFFFF"/>
              </w:rPr>
              <w:t>Component</w:t>
            </w:r>
          </w:p>
        </w:tc>
        <w:tc>
          <w:tcPr>
            <w:tcW w:w="1560" w:type="dxa"/>
            <w:vAlign w:val="bottom"/>
            <w:shd w:val="clear" w:color="auto" w:fill="0063A6"/>
          </w:tcPr>
          <w:p>
            <w:pPr>
              <w:ind w:left="380"/>
              <w:spacing w:after="0" w:line="159" w:lineRule="exact"/>
              <w:rPr>
                <w:sz w:val="20"/>
                <w:szCs w:val="20"/>
                <w:color w:val="auto"/>
              </w:rPr>
            </w:pPr>
            <w:r>
              <w:rPr>
                <w:rFonts w:ascii="Arial" w:cs="Arial" w:eastAsia="Arial" w:hAnsi="Arial"/>
                <w:sz w:val="14"/>
                <w:szCs w:val="14"/>
                <w:b w:val="1"/>
                <w:bCs w:val="1"/>
                <w:color w:val="FFFFFF"/>
              </w:rPr>
              <w:t>Component</w:t>
            </w:r>
          </w:p>
        </w:tc>
        <w:tc>
          <w:tcPr>
            <w:tcW w:w="174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Equity Awards</w:t>
            </w:r>
          </w:p>
        </w:tc>
        <w:tc>
          <w:tcPr>
            <w:tcW w:w="1480" w:type="dxa"/>
            <w:vAlign w:val="bottom"/>
            <w:shd w:val="clear" w:color="auto" w:fill="0063A6"/>
          </w:tcPr>
          <w:p>
            <w:pPr>
              <w:jc w:val="center"/>
              <w:ind w:right="62"/>
              <w:spacing w:after="0" w:line="159" w:lineRule="exact"/>
              <w:rPr>
                <w:sz w:val="20"/>
                <w:szCs w:val="20"/>
                <w:color w:val="auto"/>
              </w:rPr>
            </w:pPr>
            <w:r>
              <w:rPr>
                <w:rFonts w:ascii="Arial" w:cs="Arial" w:eastAsia="Arial" w:hAnsi="Arial"/>
                <w:sz w:val="14"/>
                <w:szCs w:val="14"/>
                <w:b w:val="1"/>
                <w:bCs w:val="1"/>
                <w:color w:val="FFFFFF"/>
              </w:rPr>
              <w:t>Benefits</w:t>
            </w:r>
          </w:p>
        </w:tc>
        <w:tc>
          <w:tcPr>
            <w:tcW w:w="160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28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Name</w:t>
            </w:r>
          </w:p>
        </w:tc>
        <w:tc>
          <w:tcPr>
            <w:tcW w:w="15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bottom w:val="single" w:sz="8" w:color="0063A6"/>
            </w:tcBorders>
            <w:shd w:val="clear" w:color="auto" w:fill="0063A6"/>
          </w:tcPr>
          <w:p>
            <w:pPr>
              <w:ind w:left="720"/>
              <w:spacing w:after="0"/>
              <w:rPr>
                <w:sz w:val="20"/>
                <w:szCs w:val="20"/>
                <w:color w:val="auto"/>
              </w:rPr>
            </w:pPr>
            <w:r>
              <w:rPr>
                <w:rFonts w:ascii="Arial" w:cs="Arial" w:eastAsia="Arial" w:hAnsi="Arial"/>
                <w:sz w:val="14"/>
                <w:szCs w:val="14"/>
                <w:b w:val="1"/>
                <w:bCs w:val="1"/>
                <w:color w:val="FFFFFF"/>
              </w:rPr>
              <w:t>($)</w:t>
            </w:r>
          </w:p>
        </w:tc>
        <w:tc>
          <w:tcPr>
            <w:tcW w:w="1740" w:type="dxa"/>
            <w:vAlign w:val="bottom"/>
            <w:tcBorders>
              <w:bottom w:val="single" w:sz="8" w:color="0063A6"/>
            </w:tcBorders>
            <w:shd w:val="clear" w:color="auto" w:fill="0063A6"/>
          </w:tcPr>
          <w:p>
            <w:pPr>
              <w:jc w:val="center"/>
              <w:spacing w:after="0" w:line="201"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(1)</w:t>
            </w:r>
          </w:p>
        </w:tc>
        <w:tc>
          <w:tcPr>
            <w:tcW w:w="1480" w:type="dxa"/>
            <w:vAlign w:val="bottom"/>
            <w:tcBorders>
              <w:bottom w:val="single" w:sz="8" w:color="0063A6"/>
            </w:tcBorders>
            <w:shd w:val="clear" w:color="auto" w:fill="0063A6"/>
          </w:tcPr>
          <w:p>
            <w:pPr>
              <w:jc w:val="center"/>
              <w:ind w:right="22"/>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bottom w:val="single" w:sz="8" w:color="0063A6"/>
            </w:tcBorders>
            <w:shd w:val="clear" w:color="auto" w:fill="0063A6"/>
          </w:tcPr>
          <w:p>
            <w:pPr>
              <w:jc w:val="right"/>
              <w:ind w:right="44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400,000</w:t>
            </w:r>
          </w:p>
        </w:tc>
        <w:tc>
          <w:tcPr>
            <w:tcW w:w="1560" w:type="dxa"/>
            <w:vAlign w:val="bottom"/>
            <w:tcBorders>
              <w:bottom w:val="single" w:sz="8" w:color="F2F2F2"/>
            </w:tcBorders>
            <w:shd w:val="clear" w:color="auto" w:fill="F2F2F2"/>
          </w:tcPr>
          <w:p>
            <w:pPr>
              <w:ind w:left="7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F2F2F2"/>
            </w:tcBorders>
            <w:shd w:val="clear" w:color="auto" w:fill="F2F2F2"/>
          </w:tcPr>
          <w:p>
            <w:pPr>
              <w:jc w:val="right"/>
              <w:ind w:right="462"/>
              <w:spacing w:after="0"/>
              <w:rPr>
                <w:sz w:val="20"/>
                <w:szCs w:val="20"/>
                <w:color w:val="auto"/>
              </w:rPr>
            </w:pPr>
            <w:r>
              <w:rPr>
                <w:rFonts w:ascii="Arial" w:cs="Arial" w:eastAsia="Arial" w:hAnsi="Arial"/>
                <w:sz w:val="16"/>
                <w:szCs w:val="16"/>
                <w:color w:val="auto"/>
              </w:rPr>
              <w:t>17,511</w:t>
            </w:r>
          </w:p>
        </w:tc>
        <w:tc>
          <w:tcPr>
            <w:tcW w:w="1600" w:type="dxa"/>
            <w:vAlign w:val="bottom"/>
            <w:tcBorders>
              <w:bottom w:val="single" w:sz="8" w:color="F2F2F2"/>
            </w:tcBorders>
            <w:shd w:val="clear" w:color="auto" w:fill="F2F2F2"/>
          </w:tcPr>
          <w:p>
            <w:pPr>
              <w:jc w:val="right"/>
              <w:ind w:right="1"/>
              <w:spacing w:after="0"/>
              <w:rPr>
                <w:sz w:val="20"/>
                <w:szCs w:val="20"/>
                <w:color w:val="auto"/>
              </w:rPr>
            </w:pPr>
            <w:r>
              <w:rPr>
                <w:rFonts w:ascii="Arial" w:cs="Arial" w:eastAsia="Arial" w:hAnsi="Arial"/>
                <w:sz w:val="16"/>
                <w:szCs w:val="16"/>
                <w:color w:val="auto"/>
              </w:rPr>
              <w:t>417,511</w:t>
            </w:r>
          </w:p>
        </w:tc>
        <w:tc>
          <w:tcPr>
            <w:tcW w:w="0" w:type="dxa"/>
            <w:vAlign w:val="bottom"/>
          </w:tcPr>
          <w:p>
            <w:pPr>
              <w:spacing w:after="0"/>
              <w:rPr>
                <w:sz w:val="1"/>
                <w:szCs w:val="1"/>
                <w:color w:val="auto"/>
              </w:rPr>
            </w:pPr>
          </w:p>
        </w:tc>
      </w:tr>
      <w:tr>
        <w:trPr>
          <w:trHeight w:val="228"/>
        </w:trPr>
        <w:tc>
          <w:tcPr>
            <w:tcW w:w="328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1580" w:type="dxa"/>
            <w:vAlign w:val="bottom"/>
          </w:tcPr>
          <w:p>
            <w:pPr>
              <w:jc w:val="center"/>
              <w:spacing w:after="0"/>
              <w:rPr>
                <w:sz w:val="20"/>
                <w:szCs w:val="20"/>
                <w:color w:val="auto"/>
              </w:rPr>
            </w:pPr>
            <w:r>
              <w:rPr>
                <w:rFonts w:ascii="Arial" w:cs="Arial" w:eastAsia="Arial" w:hAnsi="Arial"/>
                <w:sz w:val="16"/>
                <w:szCs w:val="16"/>
                <w:color w:val="auto"/>
              </w:rPr>
              <w:t>275,000</w:t>
            </w:r>
          </w:p>
        </w:tc>
        <w:tc>
          <w:tcPr>
            <w:tcW w:w="1560" w:type="dxa"/>
            <w:vAlign w:val="bottom"/>
          </w:tcPr>
          <w:p>
            <w:pPr>
              <w:ind w:left="720"/>
              <w:spacing w:after="0"/>
              <w:rPr>
                <w:sz w:val="20"/>
                <w:szCs w:val="20"/>
                <w:color w:val="auto"/>
              </w:rPr>
            </w:pPr>
            <w:r>
              <w:rPr>
                <w:rFonts w:ascii="Arial" w:cs="Arial" w:eastAsia="Arial" w:hAnsi="Arial"/>
                <w:sz w:val="16"/>
                <w:szCs w:val="16"/>
                <w:color w:val="auto"/>
              </w:rPr>
              <w: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right"/>
              <w:ind w:right="462"/>
              <w:spacing w:after="0"/>
              <w:rPr>
                <w:sz w:val="20"/>
                <w:szCs w:val="20"/>
                <w:color w:val="auto"/>
              </w:rPr>
            </w:pPr>
            <w:r>
              <w:rPr>
                <w:rFonts w:ascii="Arial" w:cs="Arial" w:eastAsia="Arial" w:hAnsi="Arial"/>
                <w:sz w:val="16"/>
                <w:szCs w:val="16"/>
                <w:color w:val="auto"/>
              </w:rPr>
              <w:t>14,129</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289,129</w:t>
            </w:r>
          </w:p>
        </w:tc>
        <w:tc>
          <w:tcPr>
            <w:tcW w:w="0" w:type="dxa"/>
            <w:vAlign w:val="bottom"/>
          </w:tcPr>
          <w:p>
            <w:pPr>
              <w:spacing w:after="0"/>
              <w:rPr>
                <w:sz w:val="1"/>
                <w:szCs w:val="1"/>
                <w:color w:val="auto"/>
              </w:rPr>
            </w:pPr>
          </w:p>
        </w:tc>
      </w:tr>
      <w:tr>
        <w:trPr>
          <w:trHeight w:val="43"/>
        </w:trPr>
        <w:tc>
          <w:tcPr>
            <w:tcW w:w="3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William Yoon</w:t>
            </w:r>
          </w:p>
        </w:tc>
        <w:tc>
          <w:tcPr>
            <w:tcW w:w="1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237,500</w:t>
            </w:r>
          </w:p>
        </w:tc>
        <w:tc>
          <w:tcPr>
            <w:tcW w:w="1560" w:type="dxa"/>
            <w:vAlign w:val="bottom"/>
            <w:tcBorders>
              <w:bottom w:val="single" w:sz="8" w:color="F2F2F2"/>
            </w:tcBorders>
            <w:shd w:val="clear" w:color="auto" w:fill="F2F2F2"/>
          </w:tcPr>
          <w:p>
            <w:pPr>
              <w:ind w:left="7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566,731</w:t>
            </w:r>
          </w:p>
        </w:tc>
        <w:tc>
          <w:tcPr>
            <w:tcW w:w="1480" w:type="dxa"/>
            <w:vAlign w:val="bottom"/>
            <w:tcBorders>
              <w:bottom w:val="single" w:sz="8" w:color="F2F2F2"/>
            </w:tcBorders>
            <w:shd w:val="clear" w:color="auto" w:fill="F2F2F2"/>
          </w:tcPr>
          <w:p>
            <w:pPr>
              <w:jc w:val="right"/>
              <w:ind w:right="462"/>
              <w:spacing w:after="0"/>
              <w:rPr>
                <w:sz w:val="20"/>
                <w:szCs w:val="20"/>
                <w:color w:val="auto"/>
              </w:rPr>
            </w:pPr>
            <w:r>
              <w:rPr>
                <w:rFonts w:ascii="Arial" w:cs="Arial" w:eastAsia="Arial" w:hAnsi="Arial"/>
                <w:sz w:val="16"/>
                <w:szCs w:val="16"/>
                <w:color w:val="auto"/>
              </w:rPr>
              <w:t>17,578</w:t>
            </w:r>
          </w:p>
        </w:tc>
        <w:tc>
          <w:tcPr>
            <w:tcW w:w="1600" w:type="dxa"/>
            <w:vAlign w:val="bottom"/>
            <w:tcBorders>
              <w:bottom w:val="single" w:sz="8" w:color="F2F2F2"/>
            </w:tcBorders>
            <w:shd w:val="clear" w:color="auto" w:fill="F2F2F2"/>
          </w:tcPr>
          <w:p>
            <w:pPr>
              <w:jc w:val="right"/>
              <w:ind w:right="1"/>
              <w:spacing w:after="0"/>
              <w:rPr>
                <w:sz w:val="20"/>
                <w:szCs w:val="20"/>
                <w:color w:val="auto"/>
              </w:rPr>
            </w:pPr>
            <w:r>
              <w:rPr>
                <w:rFonts w:ascii="Arial" w:cs="Arial" w:eastAsia="Arial" w:hAnsi="Arial"/>
                <w:sz w:val="16"/>
                <w:szCs w:val="16"/>
                <w:color w:val="auto"/>
              </w:rPr>
              <w:t>821,809</w:t>
            </w:r>
          </w:p>
        </w:tc>
        <w:tc>
          <w:tcPr>
            <w:tcW w:w="0" w:type="dxa"/>
            <w:vAlign w:val="bottom"/>
          </w:tcPr>
          <w:p>
            <w:pPr>
              <w:spacing w:after="0"/>
              <w:rPr>
                <w:sz w:val="1"/>
                <w:szCs w:val="1"/>
                <w:color w:val="auto"/>
              </w:rPr>
            </w:pPr>
          </w:p>
        </w:tc>
      </w:tr>
      <w:tr>
        <w:trPr>
          <w:trHeight w:val="228"/>
        </w:trPr>
        <w:tc>
          <w:tcPr>
            <w:tcW w:w="3280" w:type="dxa"/>
            <w:vAlign w:val="bottom"/>
          </w:tcPr>
          <w:p>
            <w:pPr>
              <w:ind w:left="60"/>
              <w:spacing w:after="0"/>
              <w:rPr>
                <w:sz w:val="20"/>
                <w:szCs w:val="20"/>
                <w:color w:val="auto"/>
              </w:rPr>
            </w:pPr>
            <w:r>
              <w:rPr>
                <w:rFonts w:ascii="Arial" w:cs="Arial" w:eastAsia="Arial" w:hAnsi="Arial"/>
                <w:sz w:val="16"/>
                <w:szCs w:val="16"/>
                <w:color w:val="auto"/>
              </w:rPr>
              <w:t>Ali Dasdan</w:t>
            </w:r>
          </w:p>
        </w:tc>
        <w:tc>
          <w:tcPr>
            <w:tcW w:w="1580" w:type="dxa"/>
            <w:vAlign w:val="bottom"/>
          </w:tcPr>
          <w:p>
            <w:pPr>
              <w:jc w:val="center"/>
              <w:spacing w:after="0"/>
              <w:rPr>
                <w:sz w:val="20"/>
                <w:szCs w:val="20"/>
                <w:color w:val="auto"/>
              </w:rPr>
            </w:pPr>
            <w:r>
              <w:rPr>
                <w:rFonts w:ascii="Arial" w:cs="Arial" w:eastAsia="Arial" w:hAnsi="Arial"/>
                <w:sz w:val="16"/>
                <w:szCs w:val="16"/>
                <w:color w:val="auto"/>
              </w:rPr>
              <w:t>250,000</w:t>
            </w:r>
          </w:p>
        </w:tc>
        <w:tc>
          <w:tcPr>
            <w:tcW w:w="1560" w:type="dxa"/>
            <w:vAlign w:val="bottom"/>
          </w:tcPr>
          <w:p>
            <w:pPr>
              <w:ind w:left="720"/>
              <w:spacing w:after="0"/>
              <w:rPr>
                <w:sz w:val="20"/>
                <w:szCs w:val="20"/>
                <w:color w:val="auto"/>
              </w:rPr>
            </w:pPr>
            <w:r>
              <w:rPr>
                <w:rFonts w:ascii="Arial" w:cs="Arial" w:eastAsia="Arial" w:hAnsi="Arial"/>
                <w:sz w:val="16"/>
                <w:szCs w:val="16"/>
                <w:color w:val="auto"/>
              </w:rPr>
              <w:t>—</w:t>
            </w:r>
          </w:p>
        </w:tc>
        <w:tc>
          <w:tcPr>
            <w:tcW w:w="1740" w:type="dxa"/>
            <w:vAlign w:val="bottom"/>
          </w:tcPr>
          <w:p>
            <w:pPr>
              <w:jc w:val="center"/>
              <w:spacing w:after="0"/>
              <w:rPr>
                <w:sz w:val="20"/>
                <w:szCs w:val="20"/>
                <w:color w:val="auto"/>
              </w:rPr>
            </w:pPr>
            <w:r>
              <w:rPr>
                <w:rFonts w:ascii="Arial" w:cs="Arial" w:eastAsia="Arial" w:hAnsi="Arial"/>
                <w:sz w:val="16"/>
                <w:szCs w:val="16"/>
                <w:color w:val="auto"/>
              </w:rPr>
              <w:t>1,060,320</w:t>
            </w:r>
          </w:p>
        </w:tc>
        <w:tc>
          <w:tcPr>
            <w:tcW w:w="1480" w:type="dxa"/>
            <w:vAlign w:val="bottom"/>
          </w:tcPr>
          <w:p>
            <w:pPr>
              <w:jc w:val="right"/>
              <w:ind w:right="462"/>
              <w:spacing w:after="0"/>
              <w:rPr>
                <w:sz w:val="20"/>
                <w:szCs w:val="20"/>
                <w:color w:val="auto"/>
              </w:rPr>
            </w:pPr>
            <w:r>
              <w:rPr>
                <w:rFonts w:ascii="Arial" w:cs="Arial" w:eastAsia="Arial" w:hAnsi="Arial"/>
                <w:sz w:val="16"/>
                <w:szCs w:val="16"/>
                <w:color w:val="auto"/>
              </w:rPr>
              <w:t>17,578</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1,327,898</w:t>
            </w:r>
          </w:p>
        </w:tc>
        <w:tc>
          <w:tcPr>
            <w:tcW w:w="0" w:type="dxa"/>
            <w:vAlign w:val="bottom"/>
          </w:tcPr>
          <w:p>
            <w:pPr>
              <w:spacing w:after="0"/>
              <w:rPr>
                <w:sz w:val="1"/>
                <w:szCs w:val="1"/>
                <w:color w:val="auto"/>
              </w:rPr>
            </w:pPr>
          </w:p>
        </w:tc>
      </w:tr>
      <w:tr>
        <w:trPr>
          <w:trHeight w:val="43"/>
        </w:trPr>
        <w:tc>
          <w:tcPr>
            <w:tcW w:w="3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2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Ashraf Alkarmi</w:t>
            </w:r>
          </w:p>
        </w:tc>
        <w:tc>
          <w:tcPr>
            <w:tcW w:w="15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250,000</w:t>
            </w:r>
          </w:p>
        </w:tc>
        <w:tc>
          <w:tcPr>
            <w:tcW w:w="1560" w:type="dxa"/>
            <w:vAlign w:val="bottom"/>
            <w:shd w:val="clear" w:color="auto" w:fill="F2F2F2"/>
          </w:tcPr>
          <w:p>
            <w:pPr>
              <w:ind w:left="7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934,664</w:t>
            </w:r>
          </w:p>
        </w:tc>
        <w:tc>
          <w:tcPr>
            <w:tcW w:w="1480" w:type="dxa"/>
            <w:vAlign w:val="bottom"/>
            <w:shd w:val="clear" w:color="auto" w:fill="F2F2F2"/>
          </w:tcPr>
          <w:p>
            <w:pPr>
              <w:jc w:val="right"/>
              <w:ind w:right="462"/>
              <w:spacing w:after="0"/>
              <w:rPr>
                <w:sz w:val="20"/>
                <w:szCs w:val="20"/>
                <w:color w:val="auto"/>
              </w:rPr>
            </w:pPr>
            <w:r>
              <w:rPr>
                <w:rFonts w:ascii="Arial" w:cs="Arial" w:eastAsia="Arial" w:hAnsi="Arial"/>
                <w:sz w:val="16"/>
                <w:szCs w:val="16"/>
                <w:color w:val="auto"/>
              </w:rPr>
              <w:t>17,578</w:t>
            </w:r>
          </w:p>
        </w:tc>
        <w:tc>
          <w:tcPr>
            <w:tcW w:w="160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1,202,242</w:t>
            </w:r>
          </w:p>
        </w:tc>
        <w:tc>
          <w:tcPr>
            <w:tcW w:w="0" w:type="dxa"/>
            <w:vAlign w:val="bottom"/>
          </w:tcPr>
          <w:p>
            <w:pPr>
              <w:spacing w:after="0"/>
              <w:rPr>
                <w:sz w:val="1"/>
                <w:szCs w:val="1"/>
                <w:color w:val="auto"/>
              </w:rPr>
            </w:pPr>
          </w:p>
        </w:tc>
      </w:tr>
      <w:tr>
        <w:trPr>
          <w:trHeight w:val="29"/>
        </w:trPr>
        <w:tc>
          <w:tcPr>
            <w:tcW w:w="3280" w:type="dxa"/>
            <w:vAlign w:val="bottom"/>
            <w:shd w:val="clear" w:color="auto" w:fill="F2F2F2"/>
          </w:tcPr>
          <w:p>
            <w:pPr>
              <w:spacing w:after="0"/>
              <w:rPr>
                <w:sz w:val="2"/>
                <w:szCs w:val="2"/>
                <w:color w:val="auto"/>
              </w:rPr>
            </w:pPr>
          </w:p>
        </w:tc>
        <w:tc>
          <w:tcPr>
            <w:tcW w:w="1580" w:type="dxa"/>
            <w:vAlign w:val="bottom"/>
            <w:shd w:val="clear" w:color="auto" w:fill="F2F2F2"/>
          </w:tcPr>
          <w:p>
            <w:pPr>
              <w:spacing w:after="0"/>
              <w:rPr>
                <w:sz w:val="2"/>
                <w:szCs w:val="2"/>
                <w:color w:val="auto"/>
              </w:rPr>
            </w:pPr>
          </w:p>
        </w:tc>
        <w:tc>
          <w:tcPr>
            <w:tcW w:w="1560" w:type="dxa"/>
            <w:vAlign w:val="bottom"/>
            <w:shd w:val="clear" w:color="auto" w:fill="F2F2F2"/>
          </w:tcPr>
          <w:p>
            <w:pPr>
              <w:spacing w:after="0"/>
              <w:rPr>
                <w:sz w:val="2"/>
                <w:szCs w:val="2"/>
                <w:color w:val="auto"/>
              </w:rPr>
            </w:pPr>
          </w:p>
        </w:tc>
        <w:tc>
          <w:tcPr>
            <w:tcW w:w="174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160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80" w:hanging="332"/>
        <w:spacing w:after="0" w:line="285" w:lineRule="auto"/>
        <w:tabs>
          <w:tab w:leader="none" w:pos="346" w:val="left"/>
        </w:tabs>
        <w:numPr>
          <w:ilvl w:val="0"/>
          <w:numId w:val="79"/>
        </w:numPr>
        <w:rPr>
          <w:rFonts w:ascii="Arial" w:cs="Arial" w:eastAsia="Arial" w:hAnsi="Arial"/>
          <w:sz w:val="9"/>
          <w:szCs w:val="9"/>
          <w:color w:val="auto"/>
        </w:rPr>
      </w:pPr>
      <w:r>
        <w:rPr>
          <w:rFonts w:ascii="Arial" w:cs="Arial" w:eastAsia="Arial" w:hAnsi="Arial"/>
          <w:sz w:val="14"/>
          <w:szCs w:val="14"/>
          <w:color w:val="auto"/>
        </w:rPr>
        <w:t>Value based on a per share price of $27.80, which was the closing price for a share of our Class A common stock, as reported on December 31, 2025, the last trading day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following table describes the payments that would have been provided to each of our named executive officers that remained employed by the company as of December 31, 2025, upon termination of employment in connection with a change in control of Dropbox as described above, assuming such termination had occurred on December 31, 2025. Mr. Regan is not included in this table since he resigned as our Chief Financial Officer prior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3201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shd w:val="clear" w:color="auto" w:fill="0063A6"/>
          </w:tcPr>
          <w:p>
            <w:pPr>
              <w:spacing w:after="0"/>
              <w:rPr>
                <w:sz w:val="20"/>
                <w:szCs w:val="20"/>
                <w:color w:val="auto"/>
              </w:rPr>
            </w:pPr>
          </w:p>
        </w:tc>
        <w:tc>
          <w:tcPr>
            <w:tcW w:w="1480" w:type="dxa"/>
            <w:vAlign w:val="bottom"/>
            <w:shd w:val="clear" w:color="auto" w:fill="0063A6"/>
          </w:tcPr>
          <w:p>
            <w:pPr>
              <w:spacing w:after="0"/>
              <w:rPr>
                <w:sz w:val="20"/>
                <w:szCs w:val="20"/>
                <w:color w:val="auto"/>
              </w:rPr>
            </w:pPr>
          </w:p>
        </w:tc>
        <w:tc>
          <w:tcPr>
            <w:tcW w:w="1480" w:type="dxa"/>
            <w:vAlign w:val="bottom"/>
            <w:shd w:val="clear" w:color="auto" w:fill="0063A6"/>
          </w:tcPr>
          <w:p>
            <w:pPr>
              <w:spacing w:after="0"/>
              <w:rPr>
                <w:sz w:val="20"/>
                <w:szCs w:val="20"/>
                <w:color w:val="auto"/>
              </w:rPr>
            </w:pPr>
          </w:p>
        </w:tc>
        <w:tc>
          <w:tcPr>
            <w:tcW w:w="1480" w:type="dxa"/>
            <w:vAlign w:val="bottom"/>
            <w:shd w:val="clear" w:color="auto" w:fill="0063A6"/>
          </w:tcPr>
          <w:p>
            <w:pPr>
              <w:jc w:val="center"/>
              <w:ind w:left="243"/>
              <w:spacing w:after="0"/>
              <w:rPr>
                <w:sz w:val="20"/>
                <w:szCs w:val="20"/>
                <w:color w:val="auto"/>
              </w:rPr>
            </w:pPr>
            <w:r>
              <w:rPr>
                <w:rFonts w:ascii="Arial" w:cs="Arial" w:eastAsia="Arial" w:hAnsi="Arial"/>
                <w:sz w:val="14"/>
                <w:szCs w:val="14"/>
                <w:b w:val="1"/>
                <w:bCs w:val="1"/>
                <w:color w:val="FFFFFF"/>
              </w:rPr>
              <w:t>Value of</w:t>
            </w:r>
          </w:p>
        </w:tc>
        <w:tc>
          <w:tcPr>
            <w:tcW w:w="440" w:type="dxa"/>
            <w:vAlign w:val="bottom"/>
            <w:shd w:val="clear" w:color="auto" w:fill="0063A6"/>
          </w:tcPr>
          <w:p>
            <w:pPr>
              <w:spacing w:after="0"/>
              <w:rPr>
                <w:sz w:val="20"/>
                <w:szCs w:val="20"/>
                <w:color w:val="auto"/>
              </w:rPr>
            </w:pPr>
          </w:p>
        </w:tc>
        <w:tc>
          <w:tcPr>
            <w:tcW w:w="1220" w:type="dxa"/>
            <w:vAlign w:val="bottom"/>
            <w:shd w:val="clear" w:color="auto" w:fill="0063A6"/>
          </w:tcPr>
          <w:p>
            <w:pPr>
              <w:spacing w:after="0"/>
              <w:rPr>
                <w:sz w:val="20"/>
                <w:szCs w:val="20"/>
                <w:color w:val="auto"/>
              </w:rPr>
            </w:pPr>
          </w:p>
        </w:tc>
        <w:tc>
          <w:tcPr>
            <w:tcW w:w="1400" w:type="dxa"/>
            <w:vAlign w:val="bottom"/>
            <w:shd w:val="clear" w:color="auto" w:fill="0063A6"/>
          </w:tcPr>
          <w:p>
            <w:pPr>
              <w:spacing w:after="0"/>
              <w:rPr>
                <w:sz w:val="20"/>
                <w:szCs w:val="20"/>
                <w:color w:val="auto"/>
              </w:rPr>
            </w:pPr>
          </w:p>
        </w:tc>
        <w:tc>
          <w:tcPr>
            <w:tcW w:w="1460" w:type="dxa"/>
            <w:vAlign w:val="bottom"/>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0063A6"/>
          </w:tcPr>
          <w:p>
            <w:pPr>
              <w:spacing w:after="0"/>
              <w:rPr>
                <w:sz w:val="14"/>
                <w:szCs w:val="14"/>
                <w:color w:val="auto"/>
              </w:rPr>
            </w:pPr>
          </w:p>
        </w:tc>
        <w:tc>
          <w:tcPr>
            <w:tcW w:w="148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Base Salary</w:t>
            </w:r>
          </w:p>
        </w:tc>
        <w:tc>
          <w:tcPr>
            <w:tcW w:w="1480" w:type="dxa"/>
            <w:vAlign w:val="bottom"/>
            <w:shd w:val="clear" w:color="auto" w:fill="0063A6"/>
          </w:tcPr>
          <w:p>
            <w:pPr>
              <w:ind w:left="300"/>
              <w:spacing w:after="0"/>
              <w:rPr>
                <w:sz w:val="20"/>
                <w:szCs w:val="20"/>
                <w:color w:val="auto"/>
              </w:rPr>
            </w:pPr>
            <w:r>
              <w:rPr>
                <w:rFonts w:ascii="Arial" w:cs="Arial" w:eastAsia="Arial" w:hAnsi="Arial"/>
                <w:sz w:val="14"/>
                <w:szCs w:val="14"/>
                <w:b w:val="1"/>
                <w:bCs w:val="1"/>
                <w:color w:val="FFFFFF"/>
              </w:rPr>
              <w:t>Cash Bonus</w:t>
            </w:r>
          </w:p>
        </w:tc>
        <w:tc>
          <w:tcPr>
            <w:tcW w:w="1480" w:type="dxa"/>
            <w:vAlign w:val="bottom"/>
            <w:shd w:val="clear" w:color="auto" w:fill="0063A6"/>
          </w:tcPr>
          <w:p>
            <w:pPr>
              <w:jc w:val="center"/>
              <w:ind w:left="223"/>
              <w:spacing w:after="0"/>
              <w:rPr>
                <w:sz w:val="20"/>
                <w:szCs w:val="20"/>
                <w:color w:val="auto"/>
              </w:rPr>
            </w:pPr>
            <w:r>
              <w:rPr>
                <w:rFonts w:ascii="Arial" w:cs="Arial" w:eastAsia="Arial" w:hAnsi="Arial"/>
                <w:sz w:val="14"/>
                <w:szCs w:val="14"/>
                <w:b w:val="1"/>
                <w:bCs w:val="1"/>
                <w:color w:val="FFFFFF"/>
              </w:rPr>
              <w:t>Accelerated</w:t>
            </w:r>
          </w:p>
        </w:tc>
        <w:tc>
          <w:tcPr>
            <w:tcW w:w="440" w:type="dxa"/>
            <w:vAlign w:val="bottom"/>
            <w:shd w:val="clear" w:color="auto" w:fill="0063A6"/>
          </w:tcPr>
          <w:p>
            <w:pPr>
              <w:spacing w:after="0"/>
              <w:rPr>
                <w:sz w:val="14"/>
                <w:szCs w:val="14"/>
                <w:color w:val="auto"/>
              </w:rPr>
            </w:pPr>
          </w:p>
        </w:tc>
        <w:tc>
          <w:tcPr>
            <w:tcW w:w="1220" w:type="dxa"/>
            <w:vAlign w:val="bottom"/>
            <w:shd w:val="clear" w:color="auto" w:fill="0063A6"/>
          </w:tcPr>
          <w:p>
            <w:pPr>
              <w:jc w:val="right"/>
              <w:ind w:right="442"/>
              <w:spacing w:after="0"/>
              <w:rPr>
                <w:sz w:val="20"/>
                <w:szCs w:val="20"/>
                <w:color w:val="auto"/>
              </w:rPr>
            </w:pPr>
            <w:r>
              <w:rPr>
                <w:rFonts w:ascii="Arial" w:cs="Arial" w:eastAsia="Arial" w:hAnsi="Arial"/>
                <w:sz w:val="14"/>
                <w:szCs w:val="14"/>
                <w:b w:val="1"/>
                <w:bCs w:val="1"/>
                <w:color w:val="FFFFFF"/>
              </w:rPr>
              <w:t>280G</w:t>
            </w:r>
          </w:p>
        </w:tc>
        <w:tc>
          <w:tcPr>
            <w:tcW w:w="1400" w:type="dxa"/>
            <w:vAlign w:val="bottom"/>
            <w:shd w:val="clear" w:color="auto" w:fill="0063A6"/>
          </w:tcPr>
          <w:p>
            <w:pPr>
              <w:ind w:left="400"/>
              <w:spacing w:after="0"/>
              <w:rPr>
                <w:sz w:val="20"/>
                <w:szCs w:val="20"/>
                <w:color w:val="auto"/>
              </w:rPr>
            </w:pPr>
            <w:r>
              <w:rPr>
                <w:rFonts w:ascii="Arial" w:cs="Arial" w:eastAsia="Arial" w:hAnsi="Arial"/>
                <w:sz w:val="14"/>
                <w:szCs w:val="14"/>
                <w:b w:val="1"/>
                <w:bCs w:val="1"/>
                <w:color w:val="FFFFFF"/>
              </w:rPr>
              <w:t>Value of</w:t>
            </w:r>
          </w:p>
        </w:tc>
        <w:tc>
          <w:tcPr>
            <w:tcW w:w="14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0063A6"/>
          </w:tcPr>
          <w:p>
            <w:pPr>
              <w:ind w:left="60"/>
              <w:spacing w:after="0" w:line="181" w:lineRule="exact"/>
              <w:rPr>
                <w:sz w:val="20"/>
                <w:szCs w:val="20"/>
                <w:color w:val="auto"/>
              </w:rPr>
            </w:pPr>
            <w:r>
              <w:rPr>
                <w:rFonts w:ascii="Arial" w:cs="Arial" w:eastAsia="Arial" w:hAnsi="Arial"/>
                <w:sz w:val="14"/>
                <w:szCs w:val="14"/>
                <w:b w:val="1"/>
                <w:bCs w:val="1"/>
                <w:color w:val="FFFFFF"/>
              </w:rPr>
              <w:t>Name</w:t>
            </w:r>
            <w:r>
              <w:rPr>
                <w:rFonts w:ascii="Arial" w:cs="Arial" w:eastAsia="Arial" w:hAnsi="Arial"/>
                <w:sz w:val="18"/>
                <w:szCs w:val="18"/>
                <w:b w:val="1"/>
                <w:bCs w:val="1"/>
                <w:color w:val="FFFFFF"/>
                <w:vertAlign w:val="superscript"/>
              </w:rPr>
              <w:t>(1)</w:t>
            </w:r>
          </w:p>
        </w:tc>
        <w:tc>
          <w:tcPr>
            <w:tcW w:w="148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Component</w:t>
            </w:r>
          </w:p>
        </w:tc>
        <w:tc>
          <w:tcPr>
            <w:tcW w:w="148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Component</w:t>
            </w:r>
          </w:p>
        </w:tc>
        <w:tc>
          <w:tcPr>
            <w:tcW w:w="1480" w:type="dxa"/>
            <w:vAlign w:val="bottom"/>
            <w:shd w:val="clear" w:color="auto" w:fill="0063A6"/>
          </w:tcPr>
          <w:p>
            <w:pPr>
              <w:jc w:val="center"/>
              <w:ind w:left="243"/>
              <w:spacing w:after="0"/>
              <w:rPr>
                <w:sz w:val="20"/>
                <w:szCs w:val="20"/>
                <w:color w:val="auto"/>
              </w:rPr>
            </w:pPr>
            <w:r>
              <w:rPr>
                <w:rFonts w:ascii="Arial" w:cs="Arial" w:eastAsia="Arial" w:hAnsi="Arial"/>
                <w:sz w:val="14"/>
                <w:szCs w:val="14"/>
                <w:b w:val="1"/>
                <w:bCs w:val="1"/>
                <w:color w:val="FFFFFF"/>
              </w:rPr>
              <w:t>Equity Awards</w:t>
            </w:r>
          </w:p>
        </w:tc>
        <w:tc>
          <w:tcPr>
            <w:tcW w:w="440" w:type="dxa"/>
            <w:vAlign w:val="bottom"/>
            <w:shd w:val="clear" w:color="auto" w:fill="0063A6"/>
          </w:tcPr>
          <w:p>
            <w:pPr>
              <w:spacing w:after="0"/>
              <w:rPr>
                <w:sz w:val="15"/>
                <w:szCs w:val="15"/>
                <w:color w:val="auto"/>
              </w:rPr>
            </w:pPr>
          </w:p>
        </w:tc>
        <w:tc>
          <w:tcPr>
            <w:tcW w:w="1220" w:type="dxa"/>
            <w:vAlign w:val="bottom"/>
            <w:shd w:val="clear" w:color="auto" w:fill="0063A6"/>
          </w:tcPr>
          <w:p>
            <w:pPr>
              <w:jc w:val="right"/>
              <w:ind w:right="302"/>
              <w:spacing w:after="0"/>
              <w:rPr>
                <w:sz w:val="20"/>
                <w:szCs w:val="20"/>
                <w:color w:val="auto"/>
              </w:rPr>
            </w:pPr>
            <w:r>
              <w:rPr>
                <w:rFonts w:ascii="Arial" w:cs="Arial" w:eastAsia="Arial" w:hAnsi="Arial"/>
                <w:sz w:val="14"/>
                <w:szCs w:val="14"/>
                <w:b w:val="1"/>
                <w:bCs w:val="1"/>
                <w:color w:val="FFFFFF"/>
              </w:rPr>
              <w:t>Gross-up</w:t>
            </w:r>
          </w:p>
        </w:tc>
        <w:tc>
          <w:tcPr>
            <w:tcW w:w="1400" w:type="dxa"/>
            <w:vAlign w:val="bottom"/>
            <w:shd w:val="clear" w:color="auto" w:fill="0063A6"/>
          </w:tcPr>
          <w:p>
            <w:pPr>
              <w:ind w:left="380"/>
              <w:spacing w:after="0"/>
              <w:rPr>
                <w:sz w:val="20"/>
                <w:szCs w:val="20"/>
                <w:color w:val="auto"/>
              </w:rPr>
            </w:pPr>
            <w:r>
              <w:rPr>
                <w:rFonts w:ascii="Arial" w:cs="Arial" w:eastAsia="Arial" w:hAnsi="Arial"/>
                <w:sz w:val="14"/>
                <w:szCs w:val="14"/>
                <w:b w:val="1"/>
                <w:bCs w:val="1"/>
                <w:color w:val="FFFFFF"/>
              </w:rPr>
              <w:t>Benefits</w:t>
            </w:r>
          </w:p>
        </w:tc>
        <w:tc>
          <w:tcPr>
            <w:tcW w:w="1460" w:type="dxa"/>
            <w:vAlign w:val="bottom"/>
            <w:vMerge w:val="restart"/>
            <w:shd w:val="clear" w:color="auto" w:fill="0063A6"/>
          </w:tcPr>
          <w:p>
            <w:pPr>
              <w:jc w:val="right"/>
              <w:ind w:right="38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27"/>
        </w:trPr>
        <w:tc>
          <w:tcPr>
            <w:tcW w:w="2280" w:type="dxa"/>
            <w:vAlign w:val="bottom"/>
            <w:tcBorders>
              <w:bottom w:val="single" w:sz="8" w:color="0063A6"/>
            </w:tcBorders>
            <w:shd w:val="clear" w:color="auto" w:fill="0063A6"/>
          </w:tcPr>
          <w:p>
            <w:pPr>
              <w:spacing w:after="0"/>
              <w:rPr>
                <w:sz w:val="19"/>
                <w:szCs w:val="19"/>
                <w:color w:val="auto"/>
              </w:rPr>
            </w:pP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tcBorders>
              <w:bottom w:val="single" w:sz="8" w:color="0063A6"/>
            </w:tcBorders>
            <w:shd w:val="clear" w:color="auto" w:fill="0063A6"/>
          </w:tcPr>
          <w:p>
            <w:pPr>
              <w:jc w:val="center"/>
              <w:ind w:left="243"/>
              <w:spacing w:after="0" w:line="193"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(2)</w:t>
            </w:r>
          </w:p>
        </w:tc>
        <w:tc>
          <w:tcPr>
            <w:tcW w:w="440" w:type="dxa"/>
            <w:vAlign w:val="bottom"/>
            <w:tcBorders>
              <w:bottom w:val="single" w:sz="8" w:color="0063A6"/>
            </w:tcBorders>
            <w:shd w:val="clear" w:color="auto" w:fill="0063A6"/>
          </w:tcPr>
          <w:p>
            <w:pPr>
              <w:spacing w:after="0"/>
              <w:rPr>
                <w:sz w:val="19"/>
                <w:szCs w:val="19"/>
                <w:color w:val="auto"/>
              </w:rPr>
            </w:pPr>
          </w:p>
        </w:tc>
        <w:tc>
          <w:tcPr>
            <w:tcW w:w="1220" w:type="dxa"/>
            <w:vAlign w:val="bottom"/>
            <w:tcBorders>
              <w:bottom w:val="single" w:sz="8" w:color="0063A6"/>
            </w:tcBorders>
            <w:shd w:val="clear" w:color="auto" w:fill="0063A6"/>
          </w:tcPr>
          <w:p>
            <w:pPr>
              <w:jc w:val="right"/>
              <w:ind w:right="502"/>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460" w:type="dxa"/>
            <w:vAlign w:val="bottom"/>
            <w:tcBorders>
              <w:bottom w:val="single" w:sz="8" w:color="0063A6"/>
            </w:tcBorders>
            <w:vMerge w:val="continue"/>
            <w:shd w:val="clear" w:color="auto" w:fill="0063A6"/>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280" w:type="dxa"/>
            <w:vAlign w:val="bottom"/>
            <w:vMerge w:val="restart"/>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4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14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14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rPr>
              <w:t>(3)</w:t>
            </w:r>
          </w:p>
        </w:tc>
        <w:tc>
          <w:tcPr>
            <w:tcW w:w="1220" w:type="dxa"/>
            <w:vAlign w:val="bottom"/>
            <w:vMerge w:val="restart"/>
            <w:shd w:val="clear" w:color="auto" w:fill="F2F2F2"/>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35,021</w:t>
            </w:r>
          </w:p>
        </w:tc>
        <w:tc>
          <w:tcPr>
            <w:tcW w:w="1460" w:type="dxa"/>
            <w:vAlign w:val="bottom"/>
            <w:vMerge w:val="restart"/>
            <w:shd w:val="clear" w:color="auto" w:fill="F2F2F2"/>
          </w:tcPr>
          <w:p>
            <w:pPr>
              <w:jc w:val="right"/>
              <w:ind w:right="1"/>
              <w:spacing w:after="0"/>
              <w:rPr>
                <w:sz w:val="20"/>
                <w:szCs w:val="20"/>
                <w:color w:val="auto"/>
              </w:rPr>
            </w:pPr>
            <w:r>
              <w:rPr>
                <w:rFonts w:ascii="Arial" w:cs="Arial" w:eastAsia="Arial" w:hAnsi="Arial"/>
                <w:sz w:val="16"/>
                <w:szCs w:val="16"/>
                <w:color w:val="auto"/>
              </w:rPr>
              <w:t>1,635,021</w:t>
            </w:r>
          </w:p>
        </w:tc>
        <w:tc>
          <w:tcPr>
            <w:tcW w:w="0" w:type="dxa"/>
            <w:vAlign w:val="bottom"/>
          </w:tcPr>
          <w:p>
            <w:pPr>
              <w:spacing w:after="0"/>
              <w:rPr>
                <w:sz w:val="1"/>
                <w:szCs w:val="1"/>
                <w:color w:val="auto"/>
              </w:rPr>
            </w:pPr>
          </w:p>
        </w:tc>
      </w:tr>
      <w:tr>
        <w:trPr>
          <w:trHeight w:val="112"/>
        </w:trPr>
        <w:tc>
          <w:tcPr>
            <w:tcW w:w="2280" w:type="dxa"/>
            <w:vAlign w:val="bottom"/>
            <w:tcBorders>
              <w:bottom w:val="single" w:sz="8" w:color="F2F2F2"/>
            </w:tcBorders>
            <w:vMerge w:val="continue"/>
            <w:shd w:val="clear" w:color="auto" w:fill="F2F2F2"/>
          </w:tcPr>
          <w:p>
            <w:pPr>
              <w:spacing w:after="0"/>
              <w:rPr>
                <w:sz w:val="9"/>
                <w:szCs w:val="9"/>
                <w:color w:val="auto"/>
              </w:rPr>
            </w:pPr>
          </w:p>
        </w:tc>
        <w:tc>
          <w:tcPr>
            <w:tcW w:w="1480" w:type="dxa"/>
            <w:vAlign w:val="bottom"/>
            <w:tcBorders>
              <w:bottom w:val="single" w:sz="8" w:color="F2F2F2"/>
            </w:tcBorders>
            <w:vMerge w:val="continue"/>
            <w:shd w:val="clear" w:color="auto" w:fill="F2F2F2"/>
          </w:tcPr>
          <w:p>
            <w:pPr>
              <w:spacing w:after="0"/>
              <w:rPr>
                <w:sz w:val="9"/>
                <w:szCs w:val="9"/>
                <w:color w:val="auto"/>
              </w:rPr>
            </w:pPr>
          </w:p>
        </w:tc>
        <w:tc>
          <w:tcPr>
            <w:tcW w:w="1480" w:type="dxa"/>
            <w:vAlign w:val="bottom"/>
            <w:tcBorders>
              <w:bottom w:val="single" w:sz="8" w:color="F2F2F2"/>
            </w:tcBorders>
            <w:vMerge w:val="continue"/>
            <w:shd w:val="clear" w:color="auto" w:fill="F2F2F2"/>
          </w:tcPr>
          <w:p>
            <w:pPr>
              <w:spacing w:after="0"/>
              <w:rPr>
                <w:sz w:val="9"/>
                <w:szCs w:val="9"/>
                <w:color w:val="auto"/>
              </w:rPr>
            </w:pPr>
          </w:p>
        </w:tc>
        <w:tc>
          <w:tcPr>
            <w:tcW w:w="1480" w:type="dxa"/>
            <w:vAlign w:val="bottom"/>
            <w:tcBorders>
              <w:bottom w:val="single" w:sz="8" w:color="F2F2F2"/>
            </w:tcBorders>
            <w:vMerge w:val="continue"/>
            <w:shd w:val="clear" w:color="auto" w:fill="F2F2F2"/>
          </w:tcPr>
          <w:p>
            <w:pPr>
              <w:spacing w:after="0"/>
              <w:rPr>
                <w:sz w:val="9"/>
                <w:szCs w:val="9"/>
                <w:color w:val="auto"/>
              </w:rPr>
            </w:pPr>
          </w:p>
        </w:tc>
        <w:tc>
          <w:tcPr>
            <w:tcW w:w="440" w:type="dxa"/>
            <w:vAlign w:val="bottom"/>
            <w:tcBorders>
              <w:bottom w:val="single" w:sz="8" w:color="F2F2F2"/>
            </w:tcBorders>
            <w:shd w:val="clear" w:color="auto" w:fill="F2F2F2"/>
          </w:tcPr>
          <w:p>
            <w:pPr>
              <w:spacing w:after="0"/>
              <w:rPr>
                <w:sz w:val="9"/>
                <w:szCs w:val="9"/>
                <w:color w:val="auto"/>
              </w:rPr>
            </w:pPr>
          </w:p>
        </w:tc>
        <w:tc>
          <w:tcPr>
            <w:tcW w:w="1220" w:type="dxa"/>
            <w:vAlign w:val="bottom"/>
            <w:tcBorders>
              <w:bottom w:val="single" w:sz="8" w:color="F2F2F2"/>
            </w:tcBorders>
            <w:vMerge w:val="continue"/>
            <w:shd w:val="clear" w:color="auto" w:fill="F2F2F2"/>
          </w:tcPr>
          <w:p>
            <w:pPr>
              <w:spacing w:after="0"/>
              <w:rPr>
                <w:sz w:val="9"/>
                <w:szCs w:val="9"/>
                <w:color w:val="auto"/>
              </w:rPr>
            </w:pPr>
          </w:p>
        </w:tc>
        <w:tc>
          <w:tcPr>
            <w:tcW w:w="1400" w:type="dxa"/>
            <w:vAlign w:val="bottom"/>
            <w:tcBorders>
              <w:bottom w:val="single" w:sz="8" w:color="F2F2F2"/>
            </w:tcBorders>
            <w:vMerge w:val="continue"/>
            <w:shd w:val="clear" w:color="auto" w:fill="F2F2F2"/>
          </w:tcPr>
          <w:p>
            <w:pPr>
              <w:spacing w:after="0"/>
              <w:rPr>
                <w:sz w:val="9"/>
                <w:szCs w:val="9"/>
                <w:color w:val="auto"/>
              </w:rPr>
            </w:pPr>
          </w:p>
        </w:tc>
        <w:tc>
          <w:tcPr>
            <w:tcW w:w="1460" w:type="dxa"/>
            <w:vAlign w:val="bottom"/>
            <w:tcBorders>
              <w:bottom w:val="single" w:sz="8" w:color="F2F2F2"/>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1480" w:type="dxa"/>
            <w:vAlign w:val="bottom"/>
          </w:tcPr>
          <w:p>
            <w:pPr>
              <w:jc w:val="center"/>
              <w:spacing w:after="0"/>
              <w:rPr>
                <w:sz w:val="20"/>
                <w:szCs w:val="20"/>
                <w:color w:val="auto"/>
              </w:rPr>
            </w:pPr>
            <w:r>
              <w:rPr>
                <w:rFonts w:ascii="Arial" w:cs="Arial" w:eastAsia="Arial" w:hAnsi="Arial"/>
                <w:sz w:val="16"/>
                <w:szCs w:val="16"/>
                <w:color w:val="auto"/>
              </w:rPr>
              <w:t>550,000</w:t>
            </w:r>
          </w:p>
        </w:tc>
        <w:tc>
          <w:tcPr>
            <w:tcW w:w="1480" w:type="dxa"/>
            <w:vAlign w:val="bottom"/>
          </w:tcPr>
          <w:p>
            <w:pPr>
              <w:jc w:val="center"/>
              <w:spacing w:after="0"/>
              <w:rPr>
                <w:sz w:val="20"/>
                <w:szCs w:val="20"/>
                <w:color w:val="auto"/>
              </w:rPr>
            </w:pPr>
            <w:r>
              <w:rPr>
                <w:rFonts w:ascii="Arial" w:cs="Arial" w:eastAsia="Arial" w:hAnsi="Arial"/>
                <w:sz w:val="16"/>
                <w:szCs w:val="16"/>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18"/>
                <w:szCs w:val="18"/>
                <w:color w:val="auto"/>
              </w:rPr>
            </w:pPr>
          </w:p>
        </w:tc>
        <w:tc>
          <w:tcPr>
            <w:tcW w:w="122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28,259</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578,259</w:t>
            </w: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William Yoon</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475,000</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320,188</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5,462,172</w:t>
            </w:r>
          </w:p>
        </w:tc>
        <w:tc>
          <w:tcPr>
            <w:tcW w:w="440" w:type="dxa"/>
            <w:vAlign w:val="bottom"/>
            <w:tcBorders>
              <w:bottom w:val="single" w:sz="8" w:color="F2F2F2"/>
            </w:tcBorders>
            <w:shd w:val="clear" w:color="auto" w:fill="F2F2F2"/>
          </w:tcPr>
          <w:p>
            <w:pPr>
              <w:spacing w:after="0"/>
              <w:rPr>
                <w:sz w:val="20"/>
                <w:szCs w:val="20"/>
                <w:color w:val="auto"/>
              </w:rPr>
            </w:pPr>
          </w:p>
        </w:tc>
        <w:tc>
          <w:tcPr>
            <w:tcW w:w="1220" w:type="dxa"/>
            <w:vAlign w:val="bottom"/>
            <w:tcBorders>
              <w:bottom w:val="single" w:sz="8" w:color="F2F2F2"/>
            </w:tcBorders>
            <w:shd w:val="clear" w:color="auto" w:fill="F2F2F2"/>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35,156</w:t>
            </w:r>
          </w:p>
        </w:tc>
        <w:tc>
          <w:tcPr>
            <w:tcW w:w="1460" w:type="dxa"/>
            <w:vAlign w:val="bottom"/>
            <w:tcBorders>
              <w:bottom w:val="single" w:sz="8" w:color="F2F2F2"/>
            </w:tcBorders>
            <w:shd w:val="clear" w:color="auto" w:fill="F2F2F2"/>
          </w:tcPr>
          <w:p>
            <w:pPr>
              <w:jc w:val="right"/>
              <w:ind w:right="1"/>
              <w:spacing w:after="0"/>
              <w:rPr>
                <w:sz w:val="20"/>
                <w:szCs w:val="20"/>
                <w:color w:val="auto"/>
              </w:rPr>
            </w:pPr>
            <w:r>
              <w:rPr>
                <w:rFonts w:ascii="Arial" w:cs="Arial" w:eastAsia="Arial" w:hAnsi="Arial"/>
                <w:sz w:val="16"/>
                <w:szCs w:val="16"/>
                <w:color w:val="auto"/>
              </w:rPr>
              <w:t>6,292,516</w:t>
            </w:r>
          </w:p>
        </w:tc>
        <w:tc>
          <w:tcPr>
            <w:tcW w:w="0" w:type="dxa"/>
            <w:vAlign w:val="bottom"/>
          </w:tcPr>
          <w:p>
            <w:pPr>
              <w:spacing w:after="0"/>
              <w:rPr>
                <w:sz w:val="1"/>
                <w:szCs w:val="1"/>
                <w:color w:val="auto"/>
              </w:rPr>
            </w:pPr>
          </w:p>
        </w:tc>
      </w:tr>
      <w:tr>
        <w:trPr>
          <w:trHeight w:val="227"/>
        </w:trPr>
        <w:tc>
          <w:tcPr>
            <w:tcW w:w="2280" w:type="dxa"/>
            <w:vAlign w:val="bottom"/>
          </w:tcPr>
          <w:p>
            <w:pPr>
              <w:ind w:left="60"/>
              <w:spacing w:after="0"/>
              <w:rPr>
                <w:sz w:val="20"/>
                <w:szCs w:val="20"/>
                <w:color w:val="auto"/>
              </w:rPr>
            </w:pPr>
            <w:r>
              <w:rPr>
                <w:rFonts w:ascii="Arial" w:cs="Arial" w:eastAsia="Arial" w:hAnsi="Arial"/>
                <w:sz w:val="16"/>
                <w:szCs w:val="16"/>
                <w:color w:val="auto"/>
              </w:rPr>
              <w:t>Ali Dasdan</w:t>
            </w:r>
          </w:p>
        </w:tc>
        <w:tc>
          <w:tcPr>
            <w:tcW w:w="1480" w:type="dxa"/>
            <w:vAlign w:val="bottom"/>
          </w:tcPr>
          <w:p>
            <w:pPr>
              <w:jc w:val="center"/>
              <w:spacing w:after="0"/>
              <w:rPr>
                <w:sz w:val="20"/>
                <w:szCs w:val="20"/>
                <w:color w:val="auto"/>
              </w:rPr>
            </w:pPr>
            <w:r>
              <w:rPr>
                <w:rFonts w:ascii="Arial" w:cs="Arial" w:eastAsia="Arial" w:hAnsi="Arial"/>
                <w:sz w:val="16"/>
                <w:szCs w:val="16"/>
                <w:color w:val="auto"/>
              </w:rPr>
              <w:t>500,000</w:t>
            </w:r>
          </w:p>
        </w:tc>
        <w:tc>
          <w:tcPr>
            <w:tcW w:w="1480" w:type="dxa"/>
            <w:vAlign w:val="bottom"/>
          </w:tcPr>
          <w:p>
            <w:pPr>
              <w:jc w:val="center"/>
              <w:spacing w:after="0"/>
              <w:rPr>
                <w:sz w:val="20"/>
                <w:szCs w:val="20"/>
                <w:color w:val="auto"/>
              </w:rPr>
            </w:pPr>
            <w:r>
              <w:rPr>
                <w:rFonts w:ascii="Arial" w:cs="Arial" w:eastAsia="Arial" w:hAnsi="Arial"/>
                <w:sz w:val="16"/>
                <w:szCs w:val="16"/>
                <w:color w:val="auto"/>
              </w:rPr>
              <w:t>416,438</w:t>
            </w:r>
          </w:p>
        </w:tc>
        <w:tc>
          <w:tcPr>
            <w:tcW w:w="1480" w:type="dxa"/>
            <w:vAlign w:val="bottom"/>
          </w:tcPr>
          <w:p>
            <w:pPr>
              <w:jc w:val="center"/>
              <w:spacing w:after="0"/>
              <w:rPr>
                <w:sz w:val="20"/>
                <w:szCs w:val="20"/>
                <w:color w:val="auto"/>
              </w:rPr>
            </w:pPr>
            <w:r>
              <w:rPr>
                <w:rFonts w:ascii="Arial" w:cs="Arial" w:eastAsia="Arial" w:hAnsi="Arial"/>
                <w:sz w:val="16"/>
                <w:szCs w:val="16"/>
                <w:color w:val="auto"/>
              </w:rPr>
              <w:t>13,784,241</w:t>
            </w:r>
          </w:p>
        </w:tc>
        <w:tc>
          <w:tcPr>
            <w:tcW w:w="440" w:type="dxa"/>
            <w:vAlign w:val="bottom"/>
          </w:tcPr>
          <w:p>
            <w:pPr>
              <w:spacing w:after="0"/>
              <w:rPr>
                <w:sz w:val="19"/>
                <w:szCs w:val="19"/>
                <w:color w:val="auto"/>
              </w:rPr>
            </w:pPr>
          </w:p>
        </w:tc>
        <w:tc>
          <w:tcPr>
            <w:tcW w:w="122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35,156</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14,735,835</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280" w:type="dxa"/>
            <w:vAlign w:val="bottom"/>
            <w:shd w:val="clear" w:color="auto" w:fill="F2F2F2"/>
          </w:tcPr>
          <w:p>
            <w:pPr>
              <w:ind w:left="20"/>
              <w:spacing w:after="0"/>
              <w:rPr>
                <w:sz w:val="20"/>
                <w:szCs w:val="20"/>
                <w:color w:val="auto"/>
              </w:rPr>
            </w:pPr>
            <w:r>
              <w:rPr>
                <w:rFonts w:ascii="Arial" w:cs="Arial" w:eastAsia="Arial" w:hAnsi="Arial"/>
                <w:sz w:val="16"/>
                <w:szCs w:val="16"/>
                <w:color w:val="auto"/>
              </w:rPr>
              <w:t>Ashraf Alkarmi</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500,000</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500,000</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11,215,966</w:t>
            </w:r>
          </w:p>
        </w:tc>
        <w:tc>
          <w:tcPr>
            <w:tcW w:w="440" w:type="dxa"/>
            <w:vAlign w:val="bottom"/>
            <w:shd w:val="clear" w:color="auto" w:fill="F2F2F2"/>
          </w:tcPr>
          <w:p>
            <w:pPr>
              <w:spacing w:after="0"/>
              <w:rPr>
                <w:sz w:val="18"/>
                <w:szCs w:val="18"/>
                <w:color w:val="auto"/>
              </w:rPr>
            </w:pPr>
          </w:p>
        </w:tc>
        <w:tc>
          <w:tcPr>
            <w:tcW w:w="1220" w:type="dxa"/>
            <w:vAlign w:val="bottom"/>
            <w:shd w:val="clear" w:color="auto" w:fill="F2F2F2"/>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35,156</w:t>
            </w:r>
          </w:p>
        </w:tc>
        <w:tc>
          <w:tcPr>
            <w:tcW w:w="146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12,251,122</w:t>
            </w:r>
          </w:p>
        </w:tc>
        <w:tc>
          <w:tcPr>
            <w:tcW w:w="0" w:type="dxa"/>
            <w:vAlign w:val="bottom"/>
          </w:tcPr>
          <w:p>
            <w:pPr>
              <w:spacing w:after="0"/>
              <w:rPr>
                <w:sz w:val="1"/>
                <w:szCs w:val="1"/>
                <w:color w:val="auto"/>
              </w:rPr>
            </w:pPr>
          </w:p>
        </w:tc>
      </w:tr>
      <w:tr>
        <w:trPr>
          <w:trHeight w:val="28"/>
        </w:trPr>
        <w:tc>
          <w:tcPr>
            <w:tcW w:w="228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440" w:type="dxa"/>
            <w:vAlign w:val="bottom"/>
            <w:shd w:val="clear" w:color="auto" w:fill="F2F2F2"/>
          </w:tcPr>
          <w:p>
            <w:pPr>
              <w:spacing w:after="0"/>
              <w:rPr>
                <w:sz w:val="2"/>
                <w:szCs w:val="2"/>
                <w:color w:val="auto"/>
              </w:rPr>
            </w:pPr>
          </w:p>
        </w:tc>
        <w:tc>
          <w:tcPr>
            <w:tcW w:w="1220" w:type="dxa"/>
            <w:vAlign w:val="bottom"/>
            <w:shd w:val="clear" w:color="auto" w:fill="F2F2F2"/>
          </w:tcPr>
          <w:p>
            <w:pPr>
              <w:spacing w:after="0"/>
              <w:rPr>
                <w:sz w:val="2"/>
                <w:szCs w:val="2"/>
                <w:color w:val="auto"/>
              </w:rPr>
            </w:pPr>
          </w:p>
        </w:tc>
        <w:tc>
          <w:tcPr>
            <w:tcW w:w="1400" w:type="dxa"/>
            <w:vAlign w:val="bottom"/>
            <w:shd w:val="clear" w:color="auto" w:fill="F2F2F2"/>
          </w:tcPr>
          <w:p>
            <w:pPr>
              <w:spacing w:after="0"/>
              <w:rPr>
                <w:sz w:val="2"/>
                <w:szCs w:val="2"/>
                <w:color w:val="auto"/>
              </w:rPr>
            </w:pPr>
          </w:p>
        </w:tc>
        <w:tc>
          <w:tcPr>
            <w:tcW w:w="146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140" w:hanging="332"/>
        <w:spacing w:after="0" w:line="222" w:lineRule="auto"/>
        <w:tabs>
          <w:tab w:leader="none" w:pos="333"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ind w:left="340" w:right="100" w:hanging="332"/>
        <w:spacing w:after="0" w:line="204" w:lineRule="auto"/>
        <w:tabs>
          <w:tab w:leader="none" w:pos="333"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Unless otherwise noted, the value is based on a per share price of $27.80, which was the closing price for a share of our Class A common stock as reported on December 31, 2025, the last trading day of the year.</w:t>
      </w:r>
    </w:p>
    <w:p>
      <w:pPr>
        <w:spacing w:after="0" w:line="1" w:lineRule="exact"/>
        <w:rPr>
          <w:rFonts w:ascii="Arial" w:cs="Arial" w:eastAsia="Arial" w:hAnsi="Arial"/>
          <w:sz w:val="19"/>
          <w:szCs w:val="19"/>
          <w:color w:val="auto"/>
          <w:vertAlign w:val="superscript"/>
        </w:rPr>
      </w:pPr>
    </w:p>
    <w:p>
      <w:pPr>
        <w:ind w:left="340" w:right="80" w:hanging="332"/>
        <w:spacing w:after="0" w:line="216" w:lineRule="auto"/>
        <w:tabs>
          <w:tab w:leader="none" w:pos="333"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Excludes 8,266,666 shares of Class A common stock underlying RSAs subject to Mr. Houston’s Co-Founder Grant. See the section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Potential Payments on Termination or Change in Control—Certain Equity Awards</w:t>
      </w:r>
      <w:r>
        <w:rPr>
          <w:rFonts w:ascii="Arial" w:cs="Arial" w:eastAsia="Arial" w:hAnsi="Arial"/>
          <w:sz w:val="14"/>
          <w:szCs w:val="14"/>
          <w:color w:val="auto"/>
        </w:rPr>
        <w:t>” above for additional information regarding the terms of Mr. Houston’s Co-Founder Grant</w:t>
      </w:r>
      <w:r>
        <w:rPr>
          <w:rFonts w:ascii="Arial" w:cs="Arial" w:eastAsia="Arial" w:hAnsi="Arial"/>
          <w:sz w:val="14"/>
          <w:szCs w:val="14"/>
          <w:i w:val="1"/>
          <w:iCs w:val="1"/>
          <w:color w:val="auto"/>
        </w:rPr>
        <w:t xml:space="preserve"> </w:t>
      </w:r>
      <w:r>
        <w:rPr>
          <w:rFonts w:ascii="Arial" w:cs="Arial" w:eastAsia="Arial" w:hAnsi="Arial"/>
          <w:sz w:val="14"/>
          <w:szCs w:val="14"/>
          <w:color w:val="auto"/>
        </w:rPr>
        <w:t>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0" w:hanging="554"/>
        <w:spacing w:after="0"/>
        <w:tabs>
          <w:tab w:leader="none" w:pos="580"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CEO Pay Ratio</w:t>
      </w:r>
    </w:p>
    <w:p>
      <w:pPr>
        <w:spacing w:after="0" w:line="219"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color w:val="auto"/>
        </w:rPr>
        <w:t>In accordance with Item 402 of Regulation S-K under the Securities Act (“</w:t>
      </w:r>
      <w:r>
        <w:rPr>
          <w:rFonts w:ascii="Arial" w:cs="Arial" w:eastAsia="Arial" w:hAnsi="Arial"/>
          <w:sz w:val="16"/>
          <w:szCs w:val="16"/>
          <w:b w:val="1"/>
          <w:bCs w:val="1"/>
          <w:i w:val="1"/>
          <w:iCs w:val="1"/>
          <w:color w:val="auto"/>
        </w:rPr>
        <w:t>Item 402</w:t>
      </w:r>
      <w:r>
        <w:rPr>
          <w:rFonts w:ascii="Arial" w:cs="Arial" w:eastAsia="Arial" w:hAnsi="Arial"/>
          <w:sz w:val="16"/>
          <w:szCs w:val="16"/>
          <w:color w:val="auto"/>
        </w:rPr>
        <w:t>”), below is the ratio of the annual total compensation of the median employee of the company to the annual total compensation of the CEO (the “</w:t>
      </w: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602"/>
        </w:trPr>
        <w:tc>
          <w:tcPr>
            <w:tcW w:w="2580" w:type="dxa"/>
            <w:vAlign w:val="bottom"/>
            <w:shd w:val="clear" w:color="auto" w:fill="3774B3"/>
          </w:tcPr>
          <w:p>
            <w:pPr>
              <w:jc w:val="center"/>
              <w:spacing w:after="0"/>
              <w:rPr>
                <w:sz w:val="20"/>
                <w:szCs w:val="20"/>
                <w:color w:val="auto"/>
              </w:rPr>
            </w:pPr>
            <w:r>
              <w:rPr>
                <w:rFonts w:ascii="Arial" w:cs="Arial" w:eastAsia="Arial" w:hAnsi="Arial"/>
                <w:sz w:val="29"/>
                <w:szCs w:val="29"/>
                <w:color w:val="FFFFFF"/>
                <w:w w:val="99"/>
              </w:rPr>
              <w:t>$2,166,622</w:t>
            </w:r>
          </w:p>
        </w:tc>
        <w:tc>
          <w:tcPr>
            <w:tcW w:w="1160" w:type="dxa"/>
            <w:vAlign w:val="bottom"/>
          </w:tcPr>
          <w:p>
            <w:pPr>
              <w:spacing w:after="0"/>
              <w:rPr>
                <w:sz w:val="24"/>
                <w:szCs w:val="24"/>
                <w:color w:val="auto"/>
              </w:rPr>
            </w:pPr>
          </w:p>
        </w:tc>
        <w:tc>
          <w:tcPr>
            <w:tcW w:w="2600" w:type="dxa"/>
            <w:vAlign w:val="bottom"/>
            <w:shd w:val="clear" w:color="auto" w:fill="3774B3"/>
          </w:tcPr>
          <w:p>
            <w:pPr>
              <w:jc w:val="center"/>
              <w:spacing w:after="0"/>
              <w:rPr>
                <w:sz w:val="20"/>
                <w:szCs w:val="20"/>
                <w:color w:val="auto"/>
              </w:rPr>
            </w:pPr>
            <w:r>
              <w:rPr>
                <w:rFonts w:ascii="Arial" w:cs="Arial" w:eastAsia="Arial" w:hAnsi="Arial"/>
                <w:sz w:val="29"/>
                <w:szCs w:val="29"/>
                <w:color w:val="FFFFFF"/>
                <w:w w:val="99"/>
              </w:rPr>
              <w:t>$286,151</w:t>
            </w:r>
          </w:p>
        </w:tc>
        <w:tc>
          <w:tcPr>
            <w:tcW w:w="1140" w:type="dxa"/>
            <w:vAlign w:val="bottom"/>
          </w:tcPr>
          <w:p>
            <w:pPr>
              <w:spacing w:after="0"/>
              <w:rPr>
                <w:sz w:val="24"/>
                <w:szCs w:val="24"/>
                <w:color w:val="auto"/>
              </w:rPr>
            </w:pPr>
          </w:p>
        </w:tc>
        <w:tc>
          <w:tcPr>
            <w:tcW w:w="2620" w:type="dxa"/>
            <w:vAlign w:val="bottom"/>
            <w:shd w:val="clear" w:color="auto" w:fill="3774B3"/>
          </w:tcPr>
          <w:p>
            <w:pPr>
              <w:jc w:val="right"/>
              <w:ind w:right="1003"/>
              <w:spacing w:after="0"/>
              <w:rPr>
                <w:sz w:val="20"/>
                <w:szCs w:val="20"/>
                <w:color w:val="auto"/>
              </w:rPr>
            </w:pPr>
            <w:r>
              <w:rPr>
                <w:rFonts w:ascii="Arial" w:cs="Arial" w:eastAsia="Arial" w:hAnsi="Arial"/>
                <w:sz w:val="29"/>
                <w:szCs w:val="29"/>
                <w:color w:val="FFFFFF"/>
              </w:rPr>
              <w:t>8:1</w:t>
            </w:r>
          </w:p>
        </w:tc>
        <w:tc>
          <w:tcPr>
            <w:tcW w:w="0" w:type="dxa"/>
            <w:vAlign w:val="bottom"/>
          </w:tcPr>
          <w:p>
            <w:pPr>
              <w:spacing w:after="0"/>
              <w:rPr>
                <w:sz w:val="1"/>
                <w:szCs w:val="1"/>
                <w:color w:val="auto"/>
              </w:rPr>
            </w:pPr>
          </w:p>
        </w:tc>
      </w:tr>
      <w:tr>
        <w:trPr>
          <w:trHeight w:val="181"/>
        </w:trPr>
        <w:tc>
          <w:tcPr>
            <w:tcW w:w="2580" w:type="dxa"/>
            <w:vAlign w:val="bottom"/>
            <w:shd w:val="clear" w:color="auto" w:fill="3774B3"/>
          </w:tcPr>
          <w:p>
            <w:pPr>
              <w:jc w:val="center"/>
              <w:spacing w:after="0" w:line="181" w:lineRule="exact"/>
              <w:rPr>
                <w:sz w:val="20"/>
                <w:szCs w:val="20"/>
                <w:color w:val="auto"/>
              </w:rPr>
            </w:pPr>
            <w:r>
              <w:rPr>
                <w:rFonts w:ascii="Arial" w:cs="Arial" w:eastAsia="Arial" w:hAnsi="Arial"/>
                <w:sz w:val="18"/>
                <w:szCs w:val="18"/>
                <w:color w:val="FFFFFF"/>
                <w:w w:val="97"/>
              </w:rPr>
              <w:t>CEO Total Annual</w:t>
            </w:r>
          </w:p>
        </w:tc>
        <w:tc>
          <w:tcPr>
            <w:tcW w:w="1160" w:type="dxa"/>
            <w:vAlign w:val="bottom"/>
          </w:tcPr>
          <w:p>
            <w:pPr>
              <w:spacing w:after="0"/>
              <w:rPr>
                <w:sz w:val="15"/>
                <w:szCs w:val="15"/>
                <w:color w:val="auto"/>
              </w:rPr>
            </w:pPr>
          </w:p>
        </w:tc>
        <w:tc>
          <w:tcPr>
            <w:tcW w:w="2600" w:type="dxa"/>
            <w:vAlign w:val="bottom"/>
            <w:shd w:val="clear" w:color="auto" w:fill="3774B3"/>
          </w:tcPr>
          <w:p>
            <w:pPr>
              <w:jc w:val="center"/>
              <w:spacing w:after="0" w:line="181" w:lineRule="exact"/>
              <w:rPr>
                <w:sz w:val="20"/>
                <w:szCs w:val="20"/>
                <w:color w:val="auto"/>
              </w:rPr>
            </w:pPr>
            <w:r>
              <w:rPr>
                <w:rFonts w:ascii="Arial" w:cs="Arial" w:eastAsia="Arial" w:hAnsi="Arial"/>
                <w:sz w:val="18"/>
                <w:szCs w:val="18"/>
                <w:color w:val="FFFFFF"/>
                <w:w w:val="98"/>
              </w:rPr>
              <w:t>Median Employee Total</w:t>
            </w:r>
          </w:p>
        </w:tc>
        <w:tc>
          <w:tcPr>
            <w:tcW w:w="1140" w:type="dxa"/>
            <w:vAlign w:val="bottom"/>
          </w:tcPr>
          <w:p>
            <w:pPr>
              <w:spacing w:after="0"/>
              <w:rPr>
                <w:sz w:val="15"/>
                <w:szCs w:val="15"/>
                <w:color w:val="auto"/>
              </w:rPr>
            </w:pPr>
          </w:p>
        </w:tc>
        <w:tc>
          <w:tcPr>
            <w:tcW w:w="2620" w:type="dxa"/>
            <w:vAlign w:val="bottom"/>
            <w:vMerge w:val="restart"/>
            <w:shd w:val="clear" w:color="auto" w:fill="3774B3"/>
          </w:tcPr>
          <w:p>
            <w:pPr>
              <w:jc w:val="center"/>
              <w:spacing w:after="0"/>
              <w:rPr>
                <w:sz w:val="20"/>
                <w:szCs w:val="20"/>
                <w:color w:val="auto"/>
              </w:rPr>
            </w:pPr>
            <w:r>
              <w:rPr>
                <w:rFonts w:ascii="Arial" w:cs="Arial" w:eastAsia="Arial" w:hAnsi="Arial"/>
                <w:sz w:val="18"/>
                <w:szCs w:val="18"/>
                <w:color w:val="FFFFFF"/>
                <w:w w:val="99"/>
              </w:rPr>
              <w:t>CEO Pay Ratio</w:t>
            </w:r>
          </w:p>
        </w:tc>
        <w:tc>
          <w:tcPr>
            <w:tcW w:w="0" w:type="dxa"/>
            <w:vAlign w:val="bottom"/>
          </w:tcPr>
          <w:p>
            <w:pPr>
              <w:spacing w:after="0"/>
              <w:rPr>
                <w:sz w:val="1"/>
                <w:szCs w:val="1"/>
                <w:color w:val="auto"/>
              </w:rPr>
            </w:pPr>
          </w:p>
        </w:tc>
      </w:tr>
      <w:tr>
        <w:trPr>
          <w:trHeight w:val="153"/>
        </w:trPr>
        <w:tc>
          <w:tcPr>
            <w:tcW w:w="2580" w:type="dxa"/>
            <w:vAlign w:val="bottom"/>
            <w:vMerge w:val="restart"/>
            <w:shd w:val="clear" w:color="auto" w:fill="3774B3"/>
          </w:tcPr>
          <w:p>
            <w:pPr>
              <w:jc w:val="center"/>
              <w:spacing w:after="0"/>
              <w:rPr>
                <w:sz w:val="20"/>
                <w:szCs w:val="20"/>
                <w:color w:val="auto"/>
              </w:rPr>
            </w:pPr>
            <w:r>
              <w:rPr>
                <w:rFonts w:ascii="Arial" w:cs="Arial" w:eastAsia="Arial" w:hAnsi="Arial"/>
                <w:sz w:val="18"/>
                <w:szCs w:val="18"/>
                <w:color w:val="FFFFFF"/>
                <w:w w:val="99"/>
              </w:rPr>
              <w:t>Compensation</w:t>
            </w:r>
          </w:p>
        </w:tc>
        <w:tc>
          <w:tcPr>
            <w:tcW w:w="1160" w:type="dxa"/>
            <w:vAlign w:val="bottom"/>
          </w:tcPr>
          <w:p>
            <w:pPr>
              <w:spacing w:after="0"/>
              <w:rPr>
                <w:sz w:val="13"/>
                <w:szCs w:val="13"/>
                <w:color w:val="auto"/>
              </w:rPr>
            </w:pPr>
          </w:p>
        </w:tc>
        <w:tc>
          <w:tcPr>
            <w:tcW w:w="2600" w:type="dxa"/>
            <w:vAlign w:val="bottom"/>
            <w:vMerge w:val="restart"/>
            <w:shd w:val="clear" w:color="auto" w:fill="3774B3"/>
          </w:tcPr>
          <w:p>
            <w:pPr>
              <w:jc w:val="center"/>
              <w:spacing w:after="0"/>
              <w:rPr>
                <w:sz w:val="20"/>
                <w:szCs w:val="20"/>
                <w:color w:val="auto"/>
              </w:rPr>
            </w:pPr>
            <w:r>
              <w:rPr>
                <w:rFonts w:ascii="Arial" w:cs="Arial" w:eastAsia="Arial" w:hAnsi="Arial"/>
                <w:sz w:val="18"/>
                <w:szCs w:val="18"/>
                <w:color w:val="FFFFFF"/>
                <w:w w:val="99"/>
              </w:rPr>
              <w:t>Compensation</w:t>
            </w:r>
          </w:p>
        </w:tc>
        <w:tc>
          <w:tcPr>
            <w:tcW w:w="1140" w:type="dxa"/>
            <w:vAlign w:val="bottom"/>
          </w:tcPr>
          <w:p>
            <w:pPr>
              <w:spacing w:after="0"/>
              <w:rPr>
                <w:sz w:val="13"/>
                <w:szCs w:val="13"/>
                <w:color w:val="auto"/>
              </w:rPr>
            </w:pPr>
          </w:p>
        </w:tc>
        <w:tc>
          <w:tcPr>
            <w:tcW w:w="2620" w:type="dxa"/>
            <w:vAlign w:val="bottom"/>
            <w:vMerge w:val="continue"/>
            <w:shd w:val="clear" w:color="auto" w:fill="3774B3"/>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580" w:type="dxa"/>
            <w:vAlign w:val="bottom"/>
            <w:vMerge w:val="continue"/>
            <w:shd w:val="clear" w:color="auto" w:fill="3774B3"/>
          </w:tcPr>
          <w:p>
            <w:pPr>
              <w:spacing w:after="0"/>
              <w:rPr>
                <w:sz w:val="7"/>
                <w:szCs w:val="7"/>
                <w:color w:val="auto"/>
              </w:rPr>
            </w:pPr>
          </w:p>
        </w:tc>
        <w:tc>
          <w:tcPr>
            <w:tcW w:w="1160" w:type="dxa"/>
            <w:vAlign w:val="bottom"/>
          </w:tcPr>
          <w:p>
            <w:pPr>
              <w:spacing w:after="0"/>
              <w:rPr>
                <w:sz w:val="7"/>
                <w:szCs w:val="7"/>
                <w:color w:val="auto"/>
              </w:rPr>
            </w:pPr>
          </w:p>
        </w:tc>
        <w:tc>
          <w:tcPr>
            <w:tcW w:w="2600" w:type="dxa"/>
            <w:vAlign w:val="bottom"/>
            <w:vMerge w:val="continue"/>
            <w:shd w:val="clear" w:color="auto" w:fill="3774B3"/>
          </w:tcPr>
          <w:p>
            <w:pPr>
              <w:spacing w:after="0"/>
              <w:rPr>
                <w:sz w:val="7"/>
                <w:szCs w:val="7"/>
                <w:color w:val="auto"/>
              </w:rPr>
            </w:pPr>
          </w:p>
        </w:tc>
        <w:tc>
          <w:tcPr>
            <w:tcW w:w="1140" w:type="dxa"/>
            <w:vAlign w:val="bottom"/>
          </w:tcPr>
          <w:p>
            <w:pPr>
              <w:spacing w:after="0"/>
              <w:rPr>
                <w:sz w:val="7"/>
                <w:szCs w:val="7"/>
                <w:color w:val="auto"/>
              </w:rPr>
            </w:pPr>
          </w:p>
        </w:tc>
        <w:tc>
          <w:tcPr>
            <w:tcW w:w="2620" w:type="dxa"/>
            <w:vAlign w:val="bottom"/>
            <w:shd w:val="clear" w:color="auto" w:fill="3774B3"/>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shd w:val="clear" w:color="auto" w:fill="3774B3"/>
          </w:tcPr>
          <w:p>
            <w:pPr>
              <w:spacing w:after="0"/>
              <w:rPr>
                <w:sz w:val="23"/>
                <w:szCs w:val="23"/>
                <w:color w:val="auto"/>
              </w:rPr>
            </w:pPr>
          </w:p>
        </w:tc>
        <w:tc>
          <w:tcPr>
            <w:tcW w:w="1160" w:type="dxa"/>
            <w:vAlign w:val="bottom"/>
          </w:tcPr>
          <w:p>
            <w:pPr>
              <w:spacing w:after="0"/>
              <w:rPr>
                <w:sz w:val="23"/>
                <w:szCs w:val="23"/>
                <w:color w:val="auto"/>
              </w:rPr>
            </w:pPr>
          </w:p>
        </w:tc>
        <w:tc>
          <w:tcPr>
            <w:tcW w:w="2600" w:type="dxa"/>
            <w:vAlign w:val="bottom"/>
            <w:shd w:val="clear" w:color="auto" w:fill="3774B3"/>
          </w:tcPr>
          <w:p>
            <w:pPr>
              <w:spacing w:after="0"/>
              <w:rPr>
                <w:sz w:val="23"/>
                <w:szCs w:val="23"/>
                <w:color w:val="auto"/>
              </w:rPr>
            </w:pPr>
          </w:p>
        </w:tc>
        <w:tc>
          <w:tcPr>
            <w:tcW w:w="1140" w:type="dxa"/>
            <w:vAlign w:val="bottom"/>
          </w:tcPr>
          <w:p>
            <w:pPr>
              <w:spacing w:after="0"/>
              <w:rPr>
                <w:sz w:val="23"/>
                <w:szCs w:val="23"/>
                <w:color w:val="auto"/>
              </w:rPr>
            </w:pPr>
          </w:p>
        </w:tc>
        <w:tc>
          <w:tcPr>
            <w:tcW w:w="2620" w:type="dxa"/>
            <w:vAlign w:val="bottom"/>
            <w:shd w:val="clear" w:color="auto" w:fill="3774B3"/>
          </w:tcPr>
          <w:p>
            <w:pPr>
              <w:spacing w:after="0"/>
              <w:rPr>
                <w:sz w:val="23"/>
                <w:szCs w:val="2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order to identify our median employee, we examined the total compensation in 2025 of all employees globally, including those employed on a full-time, part-time, seasonal or temporary basis by the company as of December 31, 2025, and then such compensation was converted into U.S. dollars. We did not annualize compensation for employees who were not employed for the entire 2025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2025 through December 31, 2025.</w:t>
      </w:r>
    </w:p>
    <w:p>
      <w:pPr>
        <w:spacing w:after="0" w:line="112"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Our CEO had annual total compensation for 2025, calculated using the requirements of Item 402 for purposes of the Pay Ratio Disclosure, of $2,166,622. The annual total compensation of the median employee of the company for 2025, calculated using the same requirements under Item 402 for purposes of the Pay Ratio Disclosure, which included base pay, incentive compensation, the grant date fair value of equity grants and the company’s matching contribution to that employee’s 401(k) plan account, was $286,151. Accordingly, the ratio of the annual total compensation of the CEO to the annual total compensation of the median employee of the company was 8:1.</w:t>
      </w:r>
    </w:p>
    <w:p>
      <w:pPr>
        <w:spacing w:after="0" w:line="112"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Pay Versus Performance</w:t>
      </w:r>
    </w:p>
    <w:p>
      <w:pPr>
        <w:spacing w:after="0" w:line="21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accordance with Item 402, below is the comparison of the total compensation actually paid to company performance (the “</w:t>
      </w:r>
      <w:r>
        <w:rPr>
          <w:rFonts w:ascii="Arial" w:cs="Arial" w:eastAsia="Arial" w:hAnsi="Arial"/>
          <w:sz w:val="16"/>
          <w:szCs w:val="16"/>
          <w:b w:val="1"/>
          <w:bCs w:val="1"/>
          <w:i w:val="1"/>
          <w:iCs w:val="1"/>
          <w:color w:val="auto"/>
        </w:rPr>
        <w:t>Pay Versus Performance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Disclosure</w:t>
      </w:r>
      <w:r>
        <w:rPr>
          <w:rFonts w:ascii="Arial" w:cs="Arial" w:eastAsia="Arial" w:hAnsi="Arial"/>
          <w:sz w:val="16"/>
          <w:szCs w:val="16"/>
          <w:color w:val="auto"/>
        </w:rPr>
        <w:t>”). For further information concerning our variable pay-for-performance philosophy and how we align executive compensation with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refer to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0575" cy="14655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0575" cy="146558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shd w:val="clear" w:color="auto" w:fill="0063A6"/>
          </w:tcPr>
          <w:p>
            <w:pPr>
              <w:ind w:left="420"/>
              <w:spacing w:after="0"/>
              <w:rPr>
                <w:sz w:val="20"/>
                <w:szCs w:val="20"/>
                <w:color w:val="auto"/>
              </w:rPr>
            </w:pPr>
            <w:r>
              <w:rPr>
                <w:rFonts w:ascii="Arial" w:cs="Arial" w:eastAsia="Arial" w:hAnsi="Arial"/>
                <w:sz w:val="13"/>
                <w:szCs w:val="13"/>
                <w:b w:val="1"/>
                <w:bCs w:val="1"/>
                <w:color w:val="FFFFFF"/>
              </w:rPr>
              <w:t>(a)</w:t>
            </w: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(b)</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(g)</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(h)</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7"/>
              </w:rPr>
              <w:t>(i)</w:t>
            </w:r>
          </w:p>
        </w:tc>
        <w:tc>
          <w:tcPr>
            <w:tcW w:w="0" w:type="dxa"/>
            <w:vAlign w:val="bottom"/>
          </w:tcPr>
          <w:p>
            <w:pPr>
              <w:spacing w:after="0"/>
              <w:rPr>
                <w:sz w:val="1"/>
                <w:szCs w:val="1"/>
                <w:color w:val="auto"/>
              </w:rPr>
            </w:pPr>
          </w:p>
        </w:tc>
      </w:tr>
      <w:tr>
        <w:trPr>
          <w:trHeight w:val="286"/>
        </w:trPr>
        <w:tc>
          <w:tcPr>
            <w:tcW w:w="1000" w:type="dxa"/>
            <w:vAlign w:val="bottom"/>
            <w:shd w:val="clear" w:color="auto" w:fill="0063A6"/>
          </w:tcPr>
          <w:p>
            <w:pPr>
              <w:spacing w:after="0"/>
              <w:rPr>
                <w:sz w:val="24"/>
                <w:szCs w:val="24"/>
                <w:color w:val="auto"/>
              </w:rPr>
            </w:pPr>
          </w:p>
        </w:tc>
        <w:tc>
          <w:tcPr>
            <w:tcW w:w="1380" w:type="dxa"/>
            <w:vAlign w:val="bottom"/>
            <w:shd w:val="clear" w:color="auto" w:fill="0063A6"/>
          </w:tcPr>
          <w:p>
            <w:pPr>
              <w:spacing w:after="0"/>
              <w:rPr>
                <w:sz w:val="24"/>
                <w:szCs w:val="24"/>
                <w:color w:val="auto"/>
              </w:rPr>
            </w:pPr>
          </w:p>
        </w:tc>
        <w:tc>
          <w:tcPr>
            <w:tcW w:w="1360" w:type="dxa"/>
            <w:vAlign w:val="bottom"/>
            <w:shd w:val="clear" w:color="auto" w:fill="0063A6"/>
          </w:tcPr>
          <w:p>
            <w:pPr>
              <w:spacing w:after="0"/>
              <w:rPr>
                <w:sz w:val="24"/>
                <w:szCs w:val="24"/>
                <w:color w:val="auto"/>
              </w:rPr>
            </w:pPr>
          </w:p>
        </w:tc>
        <w:tc>
          <w:tcPr>
            <w:tcW w:w="1700" w:type="dxa"/>
            <w:vAlign w:val="bottom"/>
            <w:shd w:val="clear" w:color="auto" w:fill="0063A6"/>
          </w:tcPr>
          <w:p>
            <w:pPr>
              <w:spacing w:after="0"/>
              <w:rPr>
                <w:sz w:val="24"/>
                <w:szCs w:val="24"/>
                <w:color w:val="auto"/>
              </w:rPr>
            </w:pPr>
          </w:p>
        </w:tc>
        <w:tc>
          <w:tcPr>
            <w:tcW w:w="1700" w:type="dxa"/>
            <w:vAlign w:val="bottom"/>
            <w:shd w:val="clear" w:color="auto" w:fill="0063A6"/>
          </w:tcPr>
          <w:p>
            <w:pPr>
              <w:spacing w:after="0"/>
              <w:rPr>
                <w:sz w:val="24"/>
                <w:szCs w:val="24"/>
                <w:color w:val="auto"/>
              </w:rPr>
            </w:pPr>
          </w:p>
        </w:tc>
        <w:tc>
          <w:tcPr>
            <w:tcW w:w="2300" w:type="dxa"/>
            <w:vAlign w:val="bottom"/>
            <w:gridSpan w:val="2"/>
            <w:shd w:val="clear" w:color="auto" w:fill="0063A6"/>
          </w:tcPr>
          <w:p>
            <w:pPr>
              <w:ind w:left="300"/>
              <w:spacing w:after="0"/>
              <w:rPr>
                <w:sz w:val="20"/>
                <w:szCs w:val="20"/>
                <w:color w:val="auto"/>
              </w:rPr>
            </w:pPr>
            <w:r>
              <w:rPr>
                <w:rFonts w:ascii="Arial" w:cs="Arial" w:eastAsia="Arial" w:hAnsi="Arial"/>
                <w:sz w:val="13"/>
                <w:szCs w:val="13"/>
                <w:b w:val="1"/>
                <w:bCs w:val="1"/>
                <w:color w:val="FFFFFF"/>
              </w:rPr>
              <w:t>Value of Initial Fixed $100</w:t>
            </w:r>
          </w:p>
        </w:tc>
        <w:tc>
          <w:tcPr>
            <w:tcW w:w="900" w:type="dxa"/>
            <w:vAlign w:val="bottom"/>
            <w:shd w:val="clear" w:color="auto" w:fill="0063A6"/>
          </w:tcPr>
          <w:p>
            <w:pPr>
              <w:spacing w:after="0"/>
              <w:rPr>
                <w:sz w:val="24"/>
                <w:szCs w:val="24"/>
                <w:color w:val="auto"/>
              </w:rPr>
            </w:pPr>
          </w:p>
        </w:tc>
        <w:tc>
          <w:tcPr>
            <w:tcW w:w="90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00" w:type="dxa"/>
            <w:vAlign w:val="bottom"/>
            <w:shd w:val="clear" w:color="auto" w:fill="0063A6"/>
          </w:tcPr>
          <w:p>
            <w:pPr>
              <w:spacing w:after="0"/>
              <w:rPr>
                <w:sz w:val="16"/>
                <w:szCs w:val="16"/>
                <w:color w:val="auto"/>
              </w:rPr>
            </w:pPr>
          </w:p>
        </w:tc>
        <w:tc>
          <w:tcPr>
            <w:tcW w:w="1380" w:type="dxa"/>
            <w:vAlign w:val="bottom"/>
            <w:shd w:val="clear" w:color="auto" w:fill="0063A6"/>
          </w:tcPr>
          <w:p>
            <w:pPr>
              <w:spacing w:after="0"/>
              <w:rPr>
                <w:sz w:val="16"/>
                <w:szCs w:val="16"/>
                <w:color w:val="auto"/>
              </w:rPr>
            </w:pPr>
          </w:p>
        </w:tc>
        <w:tc>
          <w:tcPr>
            <w:tcW w:w="1360" w:type="dxa"/>
            <w:vAlign w:val="bottom"/>
            <w:shd w:val="clear" w:color="auto" w:fill="0063A6"/>
          </w:tcPr>
          <w:p>
            <w:pPr>
              <w:spacing w:after="0"/>
              <w:rPr>
                <w:sz w:val="16"/>
                <w:szCs w:val="16"/>
                <w:color w:val="auto"/>
              </w:rPr>
            </w:pPr>
          </w:p>
        </w:tc>
        <w:tc>
          <w:tcPr>
            <w:tcW w:w="1700" w:type="dxa"/>
            <w:vAlign w:val="bottom"/>
            <w:shd w:val="clear" w:color="auto" w:fill="0063A6"/>
          </w:tcPr>
          <w:p>
            <w:pPr>
              <w:spacing w:after="0"/>
              <w:rPr>
                <w:sz w:val="16"/>
                <w:szCs w:val="16"/>
                <w:color w:val="auto"/>
              </w:rPr>
            </w:pPr>
          </w:p>
        </w:tc>
        <w:tc>
          <w:tcPr>
            <w:tcW w:w="1700" w:type="dxa"/>
            <w:vAlign w:val="bottom"/>
            <w:shd w:val="clear" w:color="auto" w:fill="0063A6"/>
          </w:tcPr>
          <w:p>
            <w:pPr>
              <w:spacing w:after="0"/>
              <w:rPr>
                <w:sz w:val="16"/>
                <w:szCs w:val="16"/>
                <w:color w:val="auto"/>
              </w:rPr>
            </w:pPr>
          </w:p>
        </w:tc>
        <w:tc>
          <w:tcPr>
            <w:tcW w:w="2300" w:type="dxa"/>
            <w:vAlign w:val="bottom"/>
            <w:gridSpan w:val="2"/>
            <w:shd w:val="clear" w:color="auto" w:fill="0063A6"/>
          </w:tcPr>
          <w:p>
            <w:pPr>
              <w:ind w:left="440"/>
              <w:spacing w:after="0"/>
              <w:rPr>
                <w:sz w:val="20"/>
                <w:szCs w:val="20"/>
                <w:color w:val="auto"/>
              </w:rPr>
            </w:pPr>
            <w:r>
              <w:rPr>
                <w:rFonts w:ascii="Arial" w:cs="Arial" w:eastAsia="Arial" w:hAnsi="Arial"/>
                <w:sz w:val="13"/>
                <w:szCs w:val="13"/>
                <w:b w:val="1"/>
                <w:bCs w:val="1"/>
                <w:color w:val="FFFFFF"/>
              </w:rPr>
              <w:t>Investment Based On:</w:t>
            </w:r>
          </w:p>
        </w:tc>
        <w:tc>
          <w:tcPr>
            <w:tcW w:w="900" w:type="dxa"/>
            <w:vAlign w:val="bottom"/>
            <w:shd w:val="clear" w:color="auto" w:fill="0063A6"/>
          </w:tcPr>
          <w:p>
            <w:pPr>
              <w:spacing w:after="0"/>
              <w:rPr>
                <w:sz w:val="16"/>
                <w:szCs w:val="16"/>
                <w:color w:val="auto"/>
              </w:rPr>
            </w:pPr>
          </w:p>
        </w:tc>
        <w:tc>
          <w:tcPr>
            <w:tcW w:w="90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0063A6"/>
          </w:tcPr>
          <w:p>
            <w:pPr>
              <w:spacing w:after="0"/>
              <w:rPr>
                <w:sz w:val="21"/>
                <w:szCs w:val="21"/>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Summary</w:t>
            </w:r>
          </w:p>
        </w:tc>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Summary</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Total</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Peer Group</w:t>
            </w:r>
          </w:p>
        </w:tc>
        <w:tc>
          <w:tcPr>
            <w:tcW w:w="90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Net</w:t>
            </w:r>
          </w:p>
        </w:tc>
        <w:tc>
          <w:tcPr>
            <w:tcW w:w="900" w:type="dxa"/>
            <w:vAlign w:val="bottom"/>
            <w:shd w:val="clear" w:color="auto" w:fill="0063A6"/>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0063A6"/>
          </w:tcPr>
          <w:p>
            <w:pPr>
              <w:spacing w:after="0"/>
              <w:rPr>
                <w:sz w:val="12"/>
                <w:szCs w:val="12"/>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360" w:type="dxa"/>
            <w:vAlign w:val="bottom"/>
            <w:vMerge w:val="continue"/>
            <w:shd w:val="clear" w:color="auto" w:fill="0063A6"/>
          </w:tcPr>
          <w:p>
            <w:pPr>
              <w:spacing w:after="0"/>
              <w:rPr>
                <w:sz w:val="12"/>
                <w:szCs w:val="12"/>
                <w:color w:val="auto"/>
              </w:rPr>
            </w:pP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Company</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900" w:type="dxa"/>
            <w:vAlign w:val="bottom"/>
            <w:vMerge w:val="continue"/>
            <w:shd w:val="clear" w:color="auto" w:fill="0063A6"/>
          </w:tcPr>
          <w:p>
            <w:pPr>
              <w:spacing w:after="0"/>
              <w:rPr>
                <w:sz w:val="12"/>
                <w:szCs w:val="12"/>
                <w:color w:val="auto"/>
              </w:rPr>
            </w:pPr>
          </w:p>
        </w:tc>
        <w:tc>
          <w:tcPr>
            <w:tcW w:w="9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0063A6"/>
          </w:tcPr>
          <w:p>
            <w:pPr>
              <w:spacing w:after="0"/>
              <w:rPr>
                <w:sz w:val="13"/>
                <w:szCs w:val="13"/>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Shareholder</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Shareholder</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Income</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Revenue</w:t>
            </w:r>
          </w:p>
        </w:tc>
        <w:tc>
          <w:tcPr>
            <w:tcW w:w="0" w:type="dxa"/>
            <w:vAlign w:val="bottom"/>
          </w:tcPr>
          <w:p>
            <w:pPr>
              <w:spacing w:after="0"/>
              <w:rPr>
                <w:sz w:val="1"/>
                <w:szCs w:val="1"/>
                <w:color w:val="auto"/>
              </w:rPr>
            </w:pPr>
          </w:p>
        </w:tc>
      </w:tr>
      <w:tr>
        <w:trPr>
          <w:trHeight w:val="243"/>
        </w:trPr>
        <w:tc>
          <w:tcPr>
            <w:tcW w:w="10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3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PEO ($)</w:t>
            </w:r>
            <w:r>
              <w:rPr>
                <w:rFonts w:ascii="Arial" w:cs="Arial" w:eastAsia="Arial" w:hAnsi="Arial"/>
                <w:sz w:val="17"/>
                <w:szCs w:val="17"/>
                <w:b w:val="1"/>
                <w:bCs w:val="1"/>
                <w:color w:val="FFFFFF"/>
                <w:w w:val="95"/>
                <w:vertAlign w:val="superscript"/>
              </w:rPr>
              <w:t>(1)</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PEO ($)</w:t>
            </w:r>
            <w:r>
              <w:rPr>
                <w:rFonts w:ascii="Arial" w:cs="Arial" w:eastAsia="Arial" w:hAnsi="Arial"/>
                <w:sz w:val="17"/>
                <w:szCs w:val="17"/>
                <w:b w:val="1"/>
                <w:bCs w:val="1"/>
                <w:color w:val="FFFFFF"/>
                <w:w w:val="95"/>
                <w:vertAlign w:val="superscript"/>
              </w:rPr>
              <w:t>(2)</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Non-PEO NEOs ($)</w:t>
            </w:r>
            <w:r>
              <w:rPr>
                <w:rFonts w:ascii="Arial" w:cs="Arial" w:eastAsia="Arial" w:hAnsi="Arial"/>
                <w:sz w:val="17"/>
                <w:szCs w:val="17"/>
                <w:b w:val="1"/>
                <w:bCs w:val="1"/>
                <w:color w:val="FFFFFF"/>
                <w:vertAlign w:val="superscript"/>
              </w:rPr>
              <w:t>(3)</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Non-PEO NEOs ($)</w:t>
            </w:r>
            <w:r>
              <w:rPr>
                <w:rFonts w:ascii="Arial" w:cs="Arial" w:eastAsia="Arial" w:hAnsi="Arial"/>
                <w:sz w:val="17"/>
                <w:szCs w:val="17"/>
                <w:b w:val="1"/>
                <w:bCs w:val="1"/>
                <w:color w:val="FFFFFF"/>
                <w:vertAlign w:val="superscript"/>
              </w:rPr>
              <w:t>(4)</w:t>
            </w:r>
          </w:p>
        </w:tc>
        <w:tc>
          <w:tcPr>
            <w:tcW w:w="11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8"/>
              </w:rPr>
              <w:t>Return ($)</w:t>
            </w:r>
            <w:r>
              <w:rPr>
                <w:rFonts w:ascii="Arial" w:cs="Arial" w:eastAsia="Arial" w:hAnsi="Arial"/>
                <w:sz w:val="17"/>
                <w:szCs w:val="17"/>
                <w:b w:val="1"/>
                <w:bCs w:val="1"/>
                <w:color w:val="FFFFFF"/>
                <w:w w:val="98"/>
                <w:vertAlign w:val="superscript"/>
              </w:rPr>
              <w:t>(5)</w:t>
            </w:r>
          </w:p>
        </w:tc>
        <w:tc>
          <w:tcPr>
            <w:tcW w:w="11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8"/>
              </w:rPr>
              <w:t>Return ($)</w:t>
            </w:r>
            <w:r>
              <w:rPr>
                <w:rFonts w:ascii="Arial" w:cs="Arial" w:eastAsia="Arial" w:hAnsi="Arial"/>
                <w:sz w:val="17"/>
                <w:szCs w:val="17"/>
                <w:b w:val="1"/>
                <w:bCs w:val="1"/>
                <w:color w:val="FFFFFF"/>
                <w:w w:val="98"/>
                <w:vertAlign w:val="superscript"/>
              </w:rPr>
              <w:t>(6)</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($M)</w:t>
            </w:r>
            <w:r>
              <w:rPr>
                <w:rFonts w:ascii="Arial" w:cs="Arial" w:eastAsia="Arial" w:hAnsi="Arial"/>
                <w:sz w:val="17"/>
                <w:szCs w:val="17"/>
                <w:b w:val="1"/>
                <w:bCs w:val="1"/>
                <w:color w:val="FFFFFF"/>
                <w:w w:val="93"/>
                <w:vertAlign w:val="superscript"/>
              </w:rPr>
              <w:t>(7)</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($M)</w:t>
            </w:r>
            <w:r>
              <w:rPr>
                <w:rFonts w:ascii="Arial" w:cs="Arial" w:eastAsia="Arial" w:hAnsi="Arial"/>
                <w:sz w:val="17"/>
                <w:szCs w:val="17"/>
                <w:b w:val="1"/>
                <w:bCs w:val="1"/>
                <w:color w:val="FFFFFF"/>
                <w:w w:val="93"/>
                <w:vertAlign w:val="superscript"/>
              </w:rPr>
              <w:t>(8)</w:t>
            </w:r>
          </w:p>
        </w:tc>
        <w:tc>
          <w:tcPr>
            <w:tcW w:w="0" w:type="dxa"/>
            <w:vAlign w:val="bottom"/>
          </w:tcPr>
          <w:p>
            <w:pPr>
              <w:spacing w:after="0"/>
              <w:rPr>
                <w:sz w:val="1"/>
                <w:szCs w:val="1"/>
                <w:color w:val="auto"/>
              </w:rPr>
            </w:pPr>
          </w:p>
        </w:tc>
      </w:tr>
      <w:tr>
        <w:trPr>
          <w:trHeight w:val="270"/>
        </w:trPr>
        <w:tc>
          <w:tcPr>
            <w:tcW w:w="1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2025</w:t>
            </w:r>
          </w:p>
        </w:tc>
        <w:tc>
          <w:tcPr>
            <w:tcW w:w="13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2,166,622</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-42,424,294</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9,532,069</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9,530,364</w:t>
            </w:r>
          </w:p>
        </w:tc>
        <w:tc>
          <w:tcPr>
            <w:tcW w:w="1140" w:type="dxa"/>
            <w:vAlign w:val="bottom"/>
            <w:shd w:val="clear" w:color="auto" w:fill="F2F2F2"/>
          </w:tcPr>
          <w:p>
            <w:pPr>
              <w:ind w:left="320"/>
              <w:spacing w:after="0"/>
              <w:rPr>
                <w:sz w:val="20"/>
                <w:szCs w:val="20"/>
                <w:color w:val="auto"/>
              </w:rPr>
            </w:pPr>
            <w:r>
              <w:rPr>
                <w:rFonts w:ascii="Arial" w:cs="Arial" w:eastAsia="Arial" w:hAnsi="Arial"/>
                <w:sz w:val="16"/>
                <w:szCs w:val="16"/>
                <w:color w:val="auto"/>
              </w:rPr>
              <w:t>125.28</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258.44</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508.4</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56"/>
        </w:trPr>
        <w:tc>
          <w:tcPr>
            <w:tcW w:w="1000" w:type="dxa"/>
            <w:vAlign w:val="bottom"/>
          </w:tcPr>
          <w:p>
            <w:pPr>
              <w:ind w:left="60"/>
              <w:spacing w:after="0"/>
              <w:rPr>
                <w:sz w:val="20"/>
                <w:szCs w:val="20"/>
                <w:color w:val="auto"/>
              </w:rPr>
            </w:pPr>
            <w:r>
              <w:rPr>
                <w:rFonts w:ascii="Arial" w:cs="Arial" w:eastAsia="Arial" w:hAnsi="Arial"/>
                <w:sz w:val="16"/>
                <w:szCs w:val="16"/>
                <w:color w:val="auto"/>
              </w:rPr>
              <w:t>2024</w:t>
            </w:r>
          </w:p>
        </w:tc>
        <w:tc>
          <w:tcPr>
            <w:tcW w:w="1380" w:type="dxa"/>
            <w:vAlign w:val="bottom"/>
          </w:tcPr>
          <w:p>
            <w:pPr>
              <w:jc w:val="center"/>
              <w:spacing w:after="0"/>
              <w:rPr>
                <w:sz w:val="20"/>
                <w:szCs w:val="20"/>
                <w:color w:val="auto"/>
              </w:rPr>
            </w:pPr>
            <w:r>
              <w:rPr>
                <w:rFonts w:ascii="Arial" w:cs="Arial" w:eastAsia="Arial" w:hAnsi="Arial"/>
                <w:sz w:val="16"/>
                <w:szCs w:val="16"/>
                <w:color w:val="auto"/>
              </w:rPr>
              <w:t>1,706,505</w:t>
            </w:r>
          </w:p>
        </w:tc>
        <w:tc>
          <w:tcPr>
            <w:tcW w:w="1360" w:type="dxa"/>
            <w:vAlign w:val="bottom"/>
          </w:tcPr>
          <w:p>
            <w:pPr>
              <w:jc w:val="center"/>
              <w:spacing w:after="0"/>
              <w:rPr>
                <w:sz w:val="20"/>
                <w:szCs w:val="20"/>
                <w:color w:val="auto"/>
              </w:rPr>
            </w:pPr>
            <w:r>
              <w:rPr>
                <w:rFonts w:ascii="Arial" w:cs="Arial" w:eastAsia="Arial" w:hAnsi="Arial"/>
                <w:sz w:val="16"/>
                <w:szCs w:val="16"/>
                <w:color w:val="auto"/>
              </w:rPr>
              <w:t>-16,215,315</w:t>
            </w:r>
          </w:p>
        </w:tc>
        <w:tc>
          <w:tcPr>
            <w:tcW w:w="1700" w:type="dxa"/>
            <w:vAlign w:val="bottom"/>
          </w:tcPr>
          <w:p>
            <w:pPr>
              <w:jc w:val="center"/>
              <w:spacing w:after="0"/>
              <w:rPr>
                <w:sz w:val="20"/>
                <w:szCs w:val="20"/>
                <w:color w:val="auto"/>
              </w:rPr>
            </w:pPr>
            <w:r>
              <w:rPr>
                <w:rFonts w:ascii="Arial" w:cs="Arial" w:eastAsia="Arial" w:hAnsi="Arial"/>
                <w:sz w:val="16"/>
                <w:szCs w:val="16"/>
                <w:color w:val="auto"/>
              </w:rPr>
              <w:t>7,182,866</w:t>
            </w:r>
          </w:p>
        </w:tc>
        <w:tc>
          <w:tcPr>
            <w:tcW w:w="1700" w:type="dxa"/>
            <w:vAlign w:val="bottom"/>
          </w:tcPr>
          <w:p>
            <w:pPr>
              <w:jc w:val="center"/>
              <w:spacing w:after="0"/>
              <w:rPr>
                <w:sz w:val="20"/>
                <w:szCs w:val="20"/>
                <w:color w:val="auto"/>
              </w:rPr>
            </w:pPr>
            <w:r>
              <w:rPr>
                <w:rFonts w:ascii="Arial" w:cs="Arial" w:eastAsia="Arial" w:hAnsi="Arial"/>
                <w:sz w:val="16"/>
                <w:szCs w:val="16"/>
                <w:color w:val="auto"/>
              </w:rPr>
              <w:t>7,498,844</w:t>
            </w:r>
          </w:p>
        </w:tc>
        <w:tc>
          <w:tcPr>
            <w:tcW w:w="1140" w:type="dxa"/>
            <w:vAlign w:val="bottom"/>
          </w:tcPr>
          <w:p>
            <w:pPr>
              <w:ind w:left="320"/>
              <w:spacing w:after="0"/>
              <w:rPr>
                <w:sz w:val="20"/>
                <w:szCs w:val="20"/>
                <w:color w:val="auto"/>
              </w:rPr>
            </w:pPr>
            <w:r>
              <w:rPr>
                <w:rFonts w:ascii="Arial" w:cs="Arial" w:eastAsia="Arial" w:hAnsi="Arial"/>
                <w:sz w:val="16"/>
                <w:szCs w:val="16"/>
                <w:color w:val="auto"/>
              </w:rPr>
              <w:t>135.38</w:t>
            </w:r>
          </w:p>
        </w:tc>
        <w:tc>
          <w:tcPr>
            <w:tcW w:w="1160" w:type="dxa"/>
            <w:vAlign w:val="bottom"/>
          </w:tcPr>
          <w:p>
            <w:pPr>
              <w:jc w:val="center"/>
              <w:spacing w:after="0"/>
              <w:rPr>
                <w:sz w:val="20"/>
                <w:szCs w:val="20"/>
                <w:color w:val="auto"/>
              </w:rPr>
            </w:pPr>
            <w:r>
              <w:rPr>
                <w:rFonts w:ascii="Arial" w:cs="Arial" w:eastAsia="Arial" w:hAnsi="Arial"/>
                <w:sz w:val="16"/>
                <w:szCs w:val="16"/>
                <w:color w:val="auto"/>
              </w:rPr>
              <w:t>200.98</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452.3</w:t>
            </w:r>
          </w:p>
        </w:tc>
        <w:tc>
          <w:tcPr>
            <w:tcW w:w="900" w:type="dxa"/>
            <w:vAlign w:val="bottom"/>
          </w:tcPr>
          <w:p>
            <w:pPr>
              <w:jc w:val="center"/>
              <w:spacing w:after="0"/>
              <w:rPr>
                <w:sz w:val="20"/>
                <w:szCs w:val="20"/>
                <w:color w:val="auto"/>
              </w:rPr>
            </w:pPr>
            <w:r>
              <w:rPr>
                <w:rFonts w:ascii="Arial" w:cs="Arial" w:eastAsia="Arial" w:hAnsi="Arial"/>
                <w:sz w:val="16"/>
                <w:szCs w:val="16"/>
                <w:color w:val="auto"/>
              </w:rPr>
              <w:t>2,545</w:t>
            </w:r>
          </w:p>
        </w:tc>
        <w:tc>
          <w:tcPr>
            <w:tcW w:w="0" w:type="dxa"/>
            <w:vAlign w:val="bottom"/>
          </w:tcPr>
          <w:p>
            <w:pPr>
              <w:spacing w:after="0"/>
              <w:rPr>
                <w:sz w:val="1"/>
                <w:szCs w:val="1"/>
                <w:color w:val="auto"/>
              </w:rPr>
            </w:pPr>
          </w:p>
        </w:tc>
      </w:tr>
      <w:tr>
        <w:trPr>
          <w:trHeight w:val="244"/>
        </w:trPr>
        <w:tc>
          <w:tcPr>
            <w:tcW w:w="1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2023</w:t>
            </w:r>
          </w:p>
        </w:tc>
        <w:tc>
          <w:tcPr>
            <w:tcW w:w="13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1,539,577</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19,457,888</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2,515,311</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1,165,036</w:t>
            </w:r>
          </w:p>
        </w:tc>
        <w:tc>
          <w:tcPr>
            <w:tcW w:w="1140" w:type="dxa"/>
            <w:vAlign w:val="bottom"/>
            <w:shd w:val="clear" w:color="auto" w:fill="F2F2F2"/>
          </w:tcPr>
          <w:p>
            <w:pPr>
              <w:ind w:left="320"/>
              <w:spacing w:after="0"/>
              <w:rPr>
                <w:sz w:val="20"/>
                <w:szCs w:val="20"/>
                <w:color w:val="auto"/>
              </w:rPr>
            </w:pPr>
            <w:r>
              <w:rPr>
                <w:rFonts w:ascii="Arial" w:cs="Arial" w:eastAsia="Arial" w:hAnsi="Arial"/>
                <w:sz w:val="16"/>
                <w:szCs w:val="16"/>
                <w:color w:val="auto"/>
              </w:rPr>
              <w:t>132.85</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147.39</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453.6</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42"/>
        </w:trPr>
        <w:tc>
          <w:tcPr>
            <w:tcW w:w="1000" w:type="dxa"/>
            <w:vAlign w:val="bottom"/>
          </w:tcPr>
          <w:p>
            <w:pPr>
              <w:ind w:left="60"/>
              <w:spacing w:after="0"/>
              <w:rPr>
                <w:sz w:val="20"/>
                <w:szCs w:val="20"/>
                <w:color w:val="auto"/>
              </w:rPr>
            </w:pPr>
            <w:r>
              <w:rPr>
                <w:rFonts w:ascii="Arial" w:cs="Arial" w:eastAsia="Arial" w:hAnsi="Arial"/>
                <w:sz w:val="16"/>
                <w:szCs w:val="16"/>
                <w:color w:val="auto"/>
              </w:rPr>
              <w:t>2022</w:t>
            </w:r>
          </w:p>
        </w:tc>
        <w:tc>
          <w:tcPr>
            <w:tcW w:w="1380" w:type="dxa"/>
            <w:vAlign w:val="bottom"/>
          </w:tcPr>
          <w:p>
            <w:pPr>
              <w:jc w:val="center"/>
              <w:spacing w:after="0"/>
              <w:rPr>
                <w:sz w:val="20"/>
                <w:szCs w:val="20"/>
                <w:color w:val="auto"/>
              </w:rPr>
            </w:pPr>
            <w:r>
              <w:rPr>
                <w:rFonts w:ascii="Arial" w:cs="Arial" w:eastAsia="Arial" w:hAnsi="Arial"/>
                <w:sz w:val="16"/>
                <w:szCs w:val="16"/>
                <w:color w:val="auto"/>
              </w:rPr>
              <w:t>1,146,000</w:t>
            </w:r>
          </w:p>
        </w:tc>
        <w:tc>
          <w:tcPr>
            <w:tcW w:w="1360" w:type="dxa"/>
            <w:vAlign w:val="bottom"/>
          </w:tcPr>
          <w:p>
            <w:pPr>
              <w:jc w:val="center"/>
              <w:spacing w:after="0"/>
              <w:rPr>
                <w:sz w:val="20"/>
                <w:szCs w:val="20"/>
                <w:color w:val="auto"/>
              </w:rPr>
            </w:pPr>
            <w:r>
              <w:rPr>
                <w:rFonts w:ascii="Arial" w:cs="Arial" w:eastAsia="Arial" w:hAnsi="Arial"/>
                <w:sz w:val="16"/>
                <w:szCs w:val="16"/>
                <w:color w:val="auto"/>
              </w:rPr>
              <w:t>-22,783,000</w:t>
            </w:r>
          </w:p>
        </w:tc>
        <w:tc>
          <w:tcPr>
            <w:tcW w:w="1700" w:type="dxa"/>
            <w:vAlign w:val="bottom"/>
          </w:tcPr>
          <w:p>
            <w:pPr>
              <w:jc w:val="center"/>
              <w:spacing w:after="0"/>
              <w:rPr>
                <w:sz w:val="20"/>
                <w:szCs w:val="20"/>
                <w:color w:val="auto"/>
              </w:rPr>
            </w:pPr>
            <w:r>
              <w:rPr>
                <w:rFonts w:ascii="Arial" w:cs="Arial" w:eastAsia="Arial" w:hAnsi="Arial"/>
                <w:sz w:val="16"/>
                <w:szCs w:val="16"/>
                <w:color w:val="auto"/>
              </w:rPr>
              <w:t>3,473,372</w:t>
            </w:r>
          </w:p>
        </w:tc>
        <w:tc>
          <w:tcPr>
            <w:tcW w:w="1700" w:type="dxa"/>
            <w:vAlign w:val="bottom"/>
          </w:tcPr>
          <w:p>
            <w:pPr>
              <w:jc w:val="center"/>
              <w:spacing w:after="0"/>
              <w:rPr>
                <w:sz w:val="20"/>
                <w:szCs w:val="20"/>
                <w:color w:val="auto"/>
              </w:rPr>
            </w:pPr>
            <w:r>
              <w:rPr>
                <w:rFonts w:ascii="Arial" w:cs="Arial" w:eastAsia="Arial" w:hAnsi="Arial"/>
                <w:sz w:val="16"/>
                <w:szCs w:val="16"/>
                <w:color w:val="auto"/>
              </w:rPr>
              <w:t>528,487</w:t>
            </w:r>
          </w:p>
        </w:tc>
        <w:tc>
          <w:tcPr>
            <w:tcW w:w="1140" w:type="dxa"/>
            <w:vAlign w:val="bottom"/>
          </w:tcPr>
          <w:p>
            <w:pPr>
              <w:ind w:left="320"/>
              <w:spacing w:after="0"/>
              <w:rPr>
                <w:sz w:val="20"/>
                <w:szCs w:val="20"/>
                <w:color w:val="auto"/>
              </w:rPr>
            </w:pPr>
            <w:r>
              <w:rPr>
                <w:rFonts w:ascii="Arial" w:cs="Arial" w:eastAsia="Arial" w:hAnsi="Arial"/>
                <w:sz w:val="16"/>
                <w:szCs w:val="16"/>
                <w:color w:val="auto"/>
              </w:rPr>
              <w:t>100.86</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88.54</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553.2</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2,357</w:t>
            </w:r>
          </w:p>
        </w:tc>
        <w:tc>
          <w:tcPr>
            <w:tcW w:w="0" w:type="dxa"/>
            <w:vAlign w:val="bottom"/>
          </w:tcPr>
          <w:p>
            <w:pPr>
              <w:spacing w:after="0"/>
              <w:rPr>
                <w:sz w:val="1"/>
                <w:szCs w:val="1"/>
                <w:color w:val="auto"/>
              </w:rPr>
            </w:pPr>
          </w:p>
        </w:tc>
      </w:tr>
      <w:tr>
        <w:trPr>
          <w:trHeight w:val="244"/>
        </w:trPr>
        <w:tc>
          <w:tcPr>
            <w:tcW w:w="1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2021</w:t>
            </w:r>
          </w:p>
        </w:tc>
        <w:tc>
          <w:tcPr>
            <w:tcW w:w="13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1,515,269</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25,163,611</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2,832,378</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1,261,953</w:t>
            </w:r>
          </w:p>
        </w:tc>
        <w:tc>
          <w:tcPr>
            <w:tcW w:w="1140" w:type="dxa"/>
            <w:vAlign w:val="bottom"/>
            <w:shd w:val="clear" w:color="auto" w:fill="F2F2F2"/>
          </w:tcPr>
          <w:p>
            <w:pPr>
              <w:ind w:left="320"/>
              <w:spacing w:after="0"/>
              <w:rPr>
                <w:sz w:val="20"/>
                <w:szCs w:val="20"/>
                <w:color w:val="auto"/>
              </w:rPr>
            </w:pPr>
            <w:r>
              <w:rPr>
                <w:rFonts w:ascii="Arial" w:cs="Arial" w:eastAsia="Arial" w:hAnsi="Arial"/>
                <w:sz w:val="16"/>
                <w:szCs w:val="16"/>
                <w:color w:val="auto"/>
              </w:rPr>
              <w:t>110.59</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137.86</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335.8</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2,149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-153670</wp:posOffset>
            </wp:positionV>
            <wp:extent cx="1714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-153670</wp:posOffset>
            </wp:positionV>
            <wp:extent cx="1714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-153670</wp:posOffset>
            </wp:positionV>
            <wp:extent cx="1714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-153670</wp:posOffset>
            </wp:positionV>
            <wp:extent cx="1714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-153670</wp:posOffset>
            </wp:positionV>
            <wp:extent cx="17145"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65" w:lineRule="exact"/>
        <w:rPr>
          <w:sz w:val="20"/>
          <w:szCs w:val="20"/>
          <w:color w:val="auto"/>
        </w:rPr>
      </w:pPr>
    </w:p>
    <w:p>
      <w:pPr>
        <w:ind w:left="340" w:right="60" w:hanging="332"/>
        <w:spacing w:after="0" w:line="222" w:lineRule="auto"/>
        <w:tabs>
          <w:tab w:leader="none" w:pos="234"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in column (b) are the amounts of total compensation reported for Mr. Houston, our Chief Executive Officer (“</w:t>
      </w:r>
      <w:r>
        <w:rPr>
          <w:rFonts w:ascii="Arial" w:cs="Arial" w:eastAsia="Arial" w:hAnsi="Arial"/>
          <w:sz w:val="14"/>
          <w:szCs w:val="14"/>
          <w:b w:val="1"/>
          <w:bCs w:val="1"/>
          <w:i w:val="1"/>
          <w:iCs w:val="1"/>
          <w:color w:val="auto"/>
        </w:rPr>
        <w:t>PEO</w:t>
      </w:r>
      <w:r>
        <w:rPr>
          <w:rFonts w:ascii="Arial" w:cs="Arial" w:eastAsia="Arial" w:hAnsi="Arial"/>
          <w:sz w:val="14"/>
          <w:szCs w:val="14"/>
          <w:color w:val="auto"/>
        </w:rPr>
        <w:t>”), for each corresponding year in the “Total” column of the applicable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Refer to “</w:t>
      </w:r>
      <w:r>
        <w:rPr>
          <w:rFonts w:ascii="Arial" w:cs="Arial" w:eastAsia="Arial" w:hAnsi="Arial"/>
          <w:sz w:val="14"/>
          <w:szCs w:val="14"/>
          <w:i w:val="1"/>
          <w:iCs w:val="1"/>
          <w:color w:val="auto"/>
        </w:rPr>
        <w:t>Executive Compensation – Summary Compensation Table</w:t>
      </w:r>
      <w:r>
        <w:rPr>
          <w:rFonts w:ascii="Arial" w:cs="Arial" w:eastAsia="Arial" w:hAnsi="Arial"/>
          <w:sz w:val="14"/>
          <w:szCs w:val="14"/>
          <w:color w:val="auto"/>
        </w:rPr>
        <w:t>.”</w:t>
      </w:r>
    </w:p>
    <w:p>
      <w:pPr>
        <w:ind w:left="340" w:right="140" w:hanging="332"/>
        <w:spacing w:after="0"/>
        <w:tabs>
          <w:tab w:leader="none" w:pos="234"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in column (c) represent the amount of “compensation actually paid” to Mr. Houston, as computed in accordance with Item 402(v) of Regulation S-K. The dollar amounts do not reflect the actual amount of compensation earned by or paid to Mr. Houston during the applicable year. In accordance with the requirements of Item 402(v) of Regulation S-K, the following adjustments were made to Mr. Houston’s total compensation for each year to determine the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133985</wp:posOffset>
            </wp:positionV>
            <wp:extent cx="6669405" cy="9340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69405" cy="934085"/>
                    </a:xfrm>
                    <a:prstGeom prst="rect">
                      <a:avLst/>
                    </a:prstGeom>
                    <a:noFill/>
                  </pic:spPr>
                </pic:pic>
              </a:graphicData>
            </a:graphic>
          </wp:anchor>
        </w:drawing>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560" w:type="dxa"/>
            <w:vAlign w:val="bottom"/>
            <w:shd w:val="clear" w:color="auto" w:fill="0063A6"/>
          </w:tcPr>
          <w:p>
            <w:pPr>
              <w:spacing w:after="0"/>
              <w:rPr>
                <w:sz w:val="19"/>
                <w:szCs w:val="19"/>
                <w:color w:val="auto"/>
              </w:rPr>
            </w:pPr>
          </w:p>
        </w:tc>
        <w:tc>
          <w:tcPr>
            <w:tcW w:w="1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Reported</w:t>
            </w:r>
          </w:p>
        </w:tc>
        <w:tc>
          <w:tcPr>
            <w:tcW w:w="1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Reported</w:t>
            </w:r>
          </w:p>
        </w:tc>
        <w:tc>
          <w:tcPr>
            <w:tcW w:w="2080" w:type="dxa"/>
            <w:vAlign w:val="bottom"/>
            <w:shd w:val="clear" w:color="auto" w:fill="0063A6"/>
          </w:tcPr>
          <w:p>
            <w:pPr>
              <w:spacing w:after="0"/>
              <w:rPr>
                <w:sz w:val="19"/>
                <w:szCs w:val="19"/>
                <w:color w:val="auto"/>
              </w:rPr>
            </w:pPr>
          </w:p>
        </w:tc>
        <w:tc>
          <w:tcPr>
            <w:tcW w:w="1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0" w:type="dxa"/>
            <w:vAlign w:val="bottom"/>
          </w:tcPr>
          <w:p>
            <w:pPr>
              <w:spacing w:after="0"/>
              <w:rPr>
                <w:sz w:val="1"/>
                <w:szCs w:val="1"/>
                <w:color w:val="auto"/>
              </w:rPr>
            </w:pPr>
          </w:p>
        </w:tc>
      </w:tr>
      <w:tr>
        <w:trPr>
          <w:trHeight w:val="148"/>
        </w:trPr>
        <w:tc>
          <w:tcPr>
            <w:tcW w:w="2560" w:type="dxa"/>
            <w:vAlign w:val="bottom"/>
            <w:shd w:val="clear" w:color="auto" w:fill="0063A6"/>
          </w:tcPr>
          <w:p>
            <w:pPr>
              <w:spacing w:after="0"/>
              <w:rPr>
                <w:sz w:val="12"/>
                <w:szCs w:val="12"/>
                <w:color w:val="auto"/>
              </w:rPr>
            </w:pPr>
          </w:p>
        </w:tc>
        <w:tc>
          <w:tcPr>
            <w:tcW w:w="1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Summary</w:t>
            </w:r>
          </w:p>
        </w:tc>
        <w:tc>
          <w:tcPr>
            <w:tcW w:w="1940" w:type="dxa"/>
            <w:vAlign w:val="bottom"/>
            <w:vMerge w:val="continue"/>
            <w:shd w:val="clear" w:color="auto" w:fill="0063A6"/>
          </w:tcPr>
          <w:p>
            <w:pPr>
              <w:spacing w:after="0"/>
              <w:rPr>
                <w:sz w:val="12"/>
                <w:szCs w:val="12"/>
                <w:color w:val="auto"/>
              </w:rPr>
            </w:pPr>
          </w:p>
        </w:tc>
        <w:tc>
          <w:tcPr>
            <w:tcW w:w="20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Equity Award</w:t>
            </w:r>
          </w:p>
        </w:tc>
        <w:tc>
          <w:tcPr>
            <w:tcW w:w="1940" w:type="dxa"/>
            <w:vAlign w:val="bottom"/>
            <w:vMerge w:val="continue"/>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0063A6"/>
          </w:tcPr>
          <w:p>
            <w:pPr>
              <w:spacing w:after="0"/>
              <w:rPr>
                <w:sz w:val="12"/>
                <w:szCs w:val="12"/>
                <w:color w:val="auto"/>
              </w:rPr>
            </w:pPr>
          </w:p>
        </w:tc>
        <w:tc>
          <w:tcPr>
            <w:tcW w:w="1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 Equity</w:t>
            </w:r>
          </w:p>
        </w:tc>
        <w:tc>
          <w:tcPr>
            <w:tcW w:w="2080" w:type="dxa"/>
            <w:vAlign w:val="bottom"/>
            <w:vMerge w:val="continue"/>
            <w:shd w:val="clear" w:color="auto" w:fill="0063A6"/>
          </w:tcPr>
          <w:p>
            <w:pPr>
              <w:spacing w:after="0"/>
              <w:rPr>
                <w:sz w:val="12"/>
                <w:szCs w:val="12"/>
                <w:color w:val="auto"/>
              </w:rPr>
            </w:pPr>
          </w:p>
        </w:tc>
        <w:tc>
          <w:tcPr>
            <w:tcW w:w="1940" w:type="dxa"/>
            <w:vAlign w:val="bottom"/>
            <w:shd w:val="clear" w:color="auto" w:fill="0063A6"/>
          </w:tcPr>
          <w:p>
            <w:pPr>
              <w:jc w:val="center"/>
              <w:ind w:right="10"/>
              <w:spacing w:after="0"/>
              <w:rPr>
                <w:sz w:val="20"/>
                <w:szCs w:val="20"/>
                <w:color w:val="auto"/>
              </w:rPr>
            </w:pPr>
            <w:r>
              <w:rPr>
                <w:rFonts w:ascii="Arial" w:cs="Arial" w:eastAsia="Arial" w:hAnsi="Arial"/>
                <w:sz w:val="13"/>
                <w:szCs w:val="13"/>
                <w:b w:val="1"/>
                <w:bCs w:val="1"/>
                <w:color w:val="FFFFFF"/>
              </w:rPr>
              <w:t>Actually</w:t>
            </w:r>
          </w:p>
        </w:tc>
        <w:tc>
          <w:tcPr>
            <w:tcW w:w="0" w:type="dxa"/>
            <w:vAlign w:val="bottom"/>
          </w:tcPr>
          <w:p>
            <w:pPr>
              <w:spacing w:after="0"/>
              <w:rPr>
                <w:sz w:val="1"/>
                <w:szCs w:val="1"/>
                <w:color w:val="auto"/>
              </w:rPr>
            </w:pPr>
          </w:p>
        </w:tc>
      </w:tr>
      <w:tr>
        <w:trPr>
          <w:trHeight w:val="238"/>
        </w:trPr>
        <w:tc>
          <w:tcPr>
            <w:tcW w:w="25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9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 PEO ($)</w:t>
            </w:r>
          </w:p>
        </w:tc>
        <w:tc>
          <w:tcPr>
            <w:tcW w:w="19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Awards ($)</w:t>
            </w:r>
            <w:r>
              <w:rPr>
                <w:rFonts w:ascii="Arial" w:cs="Arial" w:eastAsia="Arial" w:hAnsi="Arial"/>
                <w:sz w:val="17"/>
                <w:szCs w:val="17"/>
                <w:b w:val="1"/>
                <w:bCs w:val="1"/>
                <w:color w:val="FFFFFF"/>
                <w:w w:val="99"/>
                <w:vertAlign w:val="superscript"/>
              </w:rPr>
              <w:t>(a)</w:t>
            </w:r>
          </w:p>
        </w:tc>
        <w:tc>
          <w:tcPr>
            <w:tcW w:w="20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Adjustments ($)</w:t>
            </w:r>
            <w:r>
              <w:rPr>
                <w:rFonts w:ascii="Arial" w:cs="Arial" w:eastAsia="Arial" w:hAnsi="Arial"/>
                <w:sz w:val="17"/>
                <w:szCs w:val="17"/>
                <w:b w:val="1"/>
                <w:bCs w:val="1"/>
                <w:color w:val="FFFFFF"/>
                <w:w w:val="99"/>
                <w:vertAlign w:val="superscript"/>
              </w:rPr>
              <w:t>(b)</w:t>
            </w:r>
          </w:p>
        </w:tc>
        <w:tc>
          <w:tcPr>
            <w:tcW w:w="19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Paid to PEO ($)</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1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2,166,622</w:t>
            </w:r>
          </w:p>
        </w:tc>
        <w:tc>
          <w:tcPr>
            <w:tcW w:w="1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-44,590,916</w:t>
            </w:r>
          </w:p>
        </w:tc>
        <w:tc>
          <w:tcPr>
            <w:tcW w:w="1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-42,424,294</w:t>
            </w:r>
          </w:p>
        </w:tc>
        <w:tc>
          <w:tcPr>
            <w:tcW w:w="0" w:type="dxa"/>
            <w:vAlign w:val="bottom"/>
          </w:tcPr>
          <w:p>
            <w:pPr>
              <w:spacing w:after="0"/>
              <w:rPr>
                <w:sz w:val="1"/>
                <w:szCs w:val="1"/>
                <w:color w:val="auto"/>
              </w:rPr>
            </w:pPr>
          </w:p>
        </w:tc>
      </w:tr>
      <w:tr>
        <w:trPr>
          <w:trHeight w:val="225"/>
        </w:trPr>
        <w:tc>
          <w:tcPr>
            <w:tcW w:w="2560" w:type="dxa"/>
            <w:vAlign w:val="bottom"/>
          </w:tcPr>
          <w:p>
            <w:pPr>
              <w:ind w:left="60"/>
              <w:spacing w:after="0"/>
              <w:rPr>
                <w:sz w:val="20"/>
                <w:szCs w:val="20"/>
                <w:color w:val="auto"/>
              </w:rPr>
            </w:pPr>
            <w:r>
              <w:rPr>
                <w:rFonts w:ascii="Arial" w:cs="Arial" w:eastAsia="Arial" w:hAnsi="Arial"/>
                <w:sz w:val="14"/>
                <w:szCs w:val="14"/>
                <w:color w:val="auto"/>
              </w:rPr>
              <w:t>2024</w:t>
            </w:r>
          </w:p>
        </w:tc>
        <w:tc>
          <w:tcPr>
            <w:tcW w:w="1980" w:type="dxa"/>
            <w:vAlign w:val="bottom"/>
          </w:tcPr>
          <w:p>
            <w:pPr>
              <w:jc w:val="center"/>
              <w:spacing w:after="0"/>
              <w:rPr>
                <w:sz w:val="20"/>
                <w:szCs w:val="20"/>
                <w:color w:val="auto"/>
              </w:rPr>
            </w:pPr>
            <w:r>
              <w:rPr>
                <w:rFonts w:ascii="Arial" w:cs="Arial" w:eastAsia="Arial" w:hAnsi="Arial"/>
                <w:sz w:val="14"/>
                <w:szCs w:val="14"/>
                <w:color w:val="auto"/>
              </w:rPr>
              <w:t>1,706,505</w:t>
            </w:r>
          </w:p>
        </w:tc>
        <w:tc>
          <w:tcPr>
            <w:tcW w:w="1940" w:type="dxa"/>
            <w:vAlign w:val="bottom"/>
          </w:tcPr>
          <w:p>
            <w:pPr>
              <w:jc w:val="center"/>
              <w:spacing w:after="0"/>
              <w:rPr>
                <w:sz w:val="20"/>
                <w:szCs w:val="20"/>
                <w:color w:val="auto"/>
              </w:rPr>
            </w:pPr>
            <w:r>
              <w:rPr>
                <w:rFonts w:ascii="Arial" w:cs="Arial" w:eastAsia="Arial" w:hAnsi="Arial"/>
                <w:sz w:val="14"/>
                <w:szCs w:val="14"/>
                <w:color w:val="auto"/>
              </w:rPr>
              <w:t>0</w:t>
            </w:r>
          </w:p>
        </w:tc>
        <w:tc>
          <w:tcPr>
            <w:tcW w:w="2080" w:type="dxa"/>
            <w:vAlign w:val="bottom"/>
          </w:tcPr>
          <w:p>
            <w:pPr>
              <w:jc w:val="center"/>
              <w:spacing w:after="0"/>
              <w:rPr>
                <w:sz w:val="20"/>
                <w:szCs w:val="20"/>
                <w:color w:val="auto"/>
              </w:rPr>
            </w:pPr>
            <w:r>
              <w:rPr>
                <w:rFonts w:ascii="Arial" w:cs="Arial" w:eastAsia="Arial" w:hAnsi="Arial"/>
                <w:sz w:val="14"/>
                <w:szCs w:val="14"/>
                <w:color w:val="auto"/>
              </w:rPr>
              <w:t>-17,921,820</w:t>
            </w:r>
          </w:p>
        </w:tc>
        <w:tc>
          <w:tcPr>
            <w:tcW w:w="1940" w:type="dxa"/>
            <w:vAlign w:val="bottom"/>
          </w:tcPr>
          <w:p>
            <w:pPr>
              <w:jc w:val="center"/>
              <w:spacing w:after="0"/>
              <w:rPr>
                <w:sz w:val="20"/>
                <w:szCs w:val="20"/>
                <w:color w:val="auto"/>
              </w:rPr>
            </w:pPr>
            <w:r>
              <w:rPr>
                <w:rFonts w:ascii="Arial" w:cs="Arial" w:eastAsia="Arial" w:hAnsi="Arial"/>
                <w:sz w:val="14"/>
                <w:szCs w:val="14"/>
                <w:color w:val="auto"/>
              </w:rPr>
              <w:t>-16,215,315</w:t>
            </w:r>
          </w:p>
        </w:tc>
        <w:tc>
          <w:tcPr>
            <w:tcW w:w="0" w:type="dxa"/>
            <w:vAlign w:val="bottom"/>
          </w:tcPr>
          <w:p>
            <w:pPr>
              <w:spacing w:after="0"/>
              <w:rPr>
                <w:sz w:val="1"/>
                <w:szCs w:val="1"/>
                <w:color w:val="auto"/>
              </w:rPr>
            </w:pPr>
          </w:p>
        </w:tc>
      </w:tr>
      <w:tr>
        <w:trPr>
          <w:trHeight w:val="220"/>
        </w:trPr>
        <w:tc>
          <w:tcPr>
            <w:tcW w:w="2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1,539,577</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0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17,918,311</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19,457,888</w:t>
            </w:r>
          </w:p>
        </w:tc>
        <w:tc>
          <w:tcPr>
            <w:tcW w:w="0" w:type="dxa"/>
            <w:vAlign w:val="bottom"/>
          </w:tcPr>
          <w:p>
            <w:pPr>
              <w:spacing w:after="0"/>
              <w:rPr>
                <w:sz w:val="1"/>
                <w:szCs w:val="1"/>
                <w:color w:val="auto"/>
              </w:rPr>
            </w:pPr>
          </w:p>
        </w:tc>
      </w:tr>
      <w:tr>
        <w:trPr>
          <w:trHeight w:val="212"/>
        </w:trPr>
        <w:tc>
          <w:tcPr>
            <w:tcW w:w="2560" w:type="dxa"/>
            <w:vAlign w:val="bottom"/>
          </w:tcPr>
          <w:p>
            <w:pPr>
              <w:ind w:left="60"/>
              <w:spacing w:after="0"/>
              <w:rPr>
                <w:sz w:val="20"/>
                <w:szCs w:val="20"/>
                <w:color w:val="auto"/>
              </w:rPr>
            </w:pPr>
            <w:r>
              <w:rPr>
                <w:rFonts w:ascii="Arial" w:cs="Arial" w:eastAsia="Arial" w:hAnsi="Arial"/>
                <w:sz w:val="14"/>
                <w:szCs w:val="14"/>
                <w:color w:val="auto"/>
              </w:rPr>
              <w:t>2022</w:t>
            </w:r>
          </w:p>
        </w:tc>
        <w:tc>
          <w:tcPr>
            <w:tcW w:w="1980" w:type="dxa"/>
            <w:vAlign w:val="bottom"/>
          </w:tcPr>
          <w:p>
            <w:pPr>
              <w:jc w:val="center"/>
              <w:spacing w:after="0"/>
              <w:rPr>
                <w:sz w:val="20"/>
                <w:szCs w:val="20"/>
                <w:color w:val="auto"/>
              </w:rPr>
            </w:pPr>
            <w:r>
              <w:rPr>
                <w:rFonts w:ascii="Arial" w:cs="Arial" w:eastAsia="Arial" w:hAnsi="Arial"/>
                <w:sz w:val="14"/>
                <w:szCs w:val="14"/>
                <w:color w:val="auto"/>
              </w:rPr>
              <w:t>1,146,000</w:t>
            </w:r>
          </w:p>
        </w:tc>
        <w:tc>
          <w:tcPr>
            <w:tcW w:w="1940" w:type="dxa"/>
            <w:vAlign w:val="bottom"/>
          </w:tcPr>
          <w:p>
            <w:pPr>
              <w:jc w:val="center"/>
              <w:spacing w:after="0"/>
              <w:rPr>
                <w:sz w:val="20"/>
                <w:szCs w:val="20"/>
                <w:color w:val="auto"/>
              </w:rPr>
            </w:pPr>
            <w:r>
              <w:rPr>
                <w:rFonts w:ascii="Arial" w:cs="Arial" w:eastAsia="Arial" w:hAnsi="Arial"/>
                <w:sz w:val="14"/>
                <w:szCs w:val="14"/>
                <w:color w:val="auto"/>
              </w:rPr>
              <w:t>0</w:t>
            </w:r>
          </w:p>
        </w:tc>
        <w:tc>
          <w:tcPr>
            <w:tcW w:w="2080" w:type="dxa"/>
            <w:vAlign w:val="bottom"/>
          </w:tcPr>
          <w:p>
            <w:pPr>
              <w:jc w:val="center"/>
              <w:spacing w:after="0"/>
              <w:rPr>
                <w:sz w:val="20"/>
                <w:szCs w:val="20"/>
                <w:color w:val="auto"/>
              </w:rPr>
            </w:pPr>
            <w:r>
              <w:rPr>
                <w:rFonts w:ascii="Arial" w:cs="Arial" w:eastAsia="Arial" w:hAnsi="Arial"/>
                <w:sz w:val="14"/>
                <w:szCs w:val="14"/>
                <w:color w:val="auto"/>
              </w:rPr>
              <w:t>-23,929,000</w:t>
            </w:r>
          </w:p>
        </w:tc>
        <w:tc>
          <w:tcPr>
            <w:tcW w:w="1940" w:type="dxa"/>
            <w:vAlign w:val="bottom"/>
          </w:tcPr>
          <w:p>
            <w:pPr>
              <w:jc w:val="center"/>
              <w:spacing w:after="0"/>
              <w:rPr>
                <w:sz w:val="20"/>
                <w:szCs w:val="20"/>
                <w:color w:val="auto"/>
              </w:rPr>
            </w:pPr>
            <w:r>
              <w:rPr>
                <w:rFonts w:ascii="Arial" w:cs="Arial" w:eastAsia="Arial" w:hAnsi="Arial"/>
                <w:sz w:val="14"/>
                <w:szCs w:val="14"/>
                <w:color w:val="auto"/>
              </w:rPr>
              <w:t>-22,783,000</w:t>
            </w:r>
          </w:p>
        </w:tc>
        <w:tc>
          <w:tcPr>
            <w:tcW w:w="0" w:type="dxa"/>
            <w:vAlign w:val="bottom"/>
          </w:tcPr>
          <w:p>
            <w:pPr>
              <w:spacing w:after="0"/>
              <w:rPr>
                <w:sz w:val="1"/>
                <w:szCs w:val="1"/>
                <w:color w:val="auto"/>
              </w:rPr>
            </w:pPr>
          </w:p>
        </w:tc>
      </w:tr>
      <w:tr>
        <w:trPr>
          <w:trHeight w:val="220"/>
        </w:trPr>
        <w:tc>
          <w:tcPr>
            <w:tcW w:w="2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1,515,269</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0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23,648,342</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25,163,611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-136525</wp:posOffset>
            </wp:positionV>
            <wp:extent cx="17145"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-136525</wp:posOffset>
            </wp:positionV>
            <wp:extent cx="17145"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-136525</wp:posOffset>
            </wp:positionV>
            <wp:extent cx="1714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-136525</wp:posOffset>
            </wp:positionV>
            <wp:extent cx="1714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65" w:lineRule="exact"/>
        <w:rPr>
          <w:sz w:val="20"/>
          <w:szCs w:val="20"/>
          <w:color w:val="auto"/>
        </w:rPr>
      </w:pPr>
    </w:p>
    <w:p>
      <w:pPr>
        <w:ind w:left="660" w:right="260" w:hanging="328"/>
        <w:spacing w:after="0" w:line="222" w:lineRule="auto"/>
        <w:tabs>
          <w:tab w:leader="none" w:pos="653"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The grant date fair value of equity awards represents the total of the amounts reported in the “Stock Awards” column in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for the applicable year.</w:t>
      </w:r>
    </w:p>
    <w:p>
      <w:pPr>
        <w:ind w:left="660" w:right="20" w:hanging="328"/>
        <w:spacing w:after="0" w:line="244" w:lineRule="auto"/>
        <w:tabs>
          <w:tab w:leader="none" w:pos="653" w:val="left"/>
        </w:tabs>
        <w:numPr>
          <w:ilvl w:val="0"/>
          <w:numId w:val="83"/>
        </w:numPr>
        <w:rPr>
          <w:rFonts w:ascii="Arial" w:cs="Arial" w:eastAsia="Arial" w:hAnsi="Arial"/>
          <w:sz w:val="9"/>
          <w:szCs w:val="9"/>
          <w:color w:val="auto"/>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applicable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Fair values were computed as of the end of the respective fiscal year, other than with regards to fair values of awards that vest in each covered</w:t>
      </w:r>
    </w:p>
    <w:p>
      <w:pPr>
        <w:spacing w:after="0" w:line="200" w:lineRule="exact"/>
        <w:rPr>
          <w:sz w:val="20"/>
          <w:szCs w:val="20"/>
          <w:color w:val="auto"/>
        </w:rPr>
      </w:pPr>
    </w:p>
    <w:p>
      <w:pPr>
        <w:spacing w:after="0" w:line="309" w:lineRule="exact"/>
        <w:rPr>
          <w:sz w:val="20"/>
          <w:szCs w:val="20"/>
          <w:color w:val="auto"/>
        </w:rPr>
      </w:pPr>
    </w:p>
    <w:p>
      <w:pPr>
        <w:ind w:left="580" w:hanging="554"/>
        <w:spacing w:after="0"/>
        <w:tabs>
          <w:tab w:leader="none" w:pos="580" w:val="left"/>
        </w:tabs>
        <w:numPr>
          <w:ilvl w:val="0"/>
          <w:numId w:val="8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year, which are valued as of the applicable vesting date.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83820</wp:posOffset>
            </wp:positionV>
            <wp:extent cx="6249035" cy="1431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49035" cy="1431290"/>
                    </a:xfrm>
                    <a:prstGeom prst="rect">
                      <a:avLst/>
                    </a:prstGeom>
                    <a:noFill/>
                  </pic:spPr>
                </pic:pic>
              </a:graphicData>
            </a:graphic>
          </wp:anchor>
        </w:drawing>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800" w:type="dxa"/>
            <w:vAlign w:val="bottom"/>
            <w:shd w:val="clear" w:color="auto" w:fill="0063A6"/>
          </w:tcPr>
          <w:p>
            <w:pPr>
              <w:spacing w:after="0"/>
              <w:rPr>
                <w:sz w:val="18"/>
                <w:szCs w:val="18"/>
                <w:color w:val="auto"/>
              </w:rPr>
            </w:pPr>
          </w:p>
        </w:tc>
        <w:tc>
          <w:tcPr>
            <w:tcW w:w="1060" w:type="dxa"/>
            <w:vAlign w:val="bottom"/>
            <w:shd w:val="clear" w:color="auto" w:fill="0063A6"/>
          </w:tcPr>
          <w:p>
            <w:pPr>
              <w:spacing w:after="0"/>
              <w:rPr>
                <w:sz w:val="18"/>
                <w:szCs w:val="18"/>
                <w:color w:val="auto"/>
              </w:rPr>
            </w:pPr>
          </w:p>
        </w:tc>
        <w:tc>
          <w:tcPr>
            <w:tcW w:w="1240" w:type="dxa"/>
            <w:vAlign w:val="bottom"/>
            <w:shd w:val="clear" w:color="auto" w:fill="0063A6"/>
          </w:tcPr>
          <w:p>
            <w:pPr>
              <w:spacing w:after="0"/>
              <w:rPr>
                <w:sz w:val="18"/>
                <w:szCs w:val="18"/>
                <w:color w:val="auto"/>
              </w:rPr>
            </w:pPr>
          </w:p>
        </w:tc>
        <w:tc>
          <w:tcPr>
            <w:tcW w:w="1280" w:type="dxa"/>
            <w:vAlign w:val="bottom"/>
            <w:shd w:val="clear" w:color="auto" w:fill="0063A6"/>
          </w:tcPr>
          <w:p>
            <w:pPr>
              <w:spacing w:after="0"/>
              <w:rPr>
                <w:sz w:val="18"/>
                <w:szCs w:val="18"/>
                <w:color w:val="auto"/>
              </w:rPr>
            </w:pP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at</w:t>
            </w:r>
          </w:p>
        </w:tc>
        <w:tc>
          <w:tcPr>
            <w:tcW w:w="1580" w:type="dxa"/>
            <w:vAlign w:val="bottom"/>
            <w:shd w:val="clear" w:color="auto" w:fill="0063A6"/>
          </w:tcPr>
          <w:p>
            <w:pPr>
              <w:spacing w:after="0"/>
              <w:rPr>
                <w:sz w:val="18"/>
                <w:szCs w:val="18"/>
                <w:color w:val="auto"/>
              </w:rPr>
            </w:pPr>
          </w:p>
        </w:tc>
        <w:tc>
          <w:tcPr>
            <w:tcW w:w="1320" w:type="dxa"/>
            <w:vAlign w:val="bottom"/>
            <w:shd w:val="clear" w:color="auto" w:fill="0063A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12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 Year</w:t>
            </w:r>
          </w:p>
        </w:tc>
        <w:tc>
          <w:tcPr>
            <w:tcW w:w="12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as</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Change</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the End of the</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 Dividends</w:t>
            </w:r>
          </w:p>
        </w:tc>
        <w:tc>
          <w:tcPr>
            <w:tcW w:w="13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0063A6"/>
          </w:tcPr>
          <w:p>
            <w:pPr>
              <w:spacing w:after="0"/>
              <w:rPr>
                <w:sz w:val="12"/>
                <w:szCs w:val="12"/>
                <w:color w:val="auto"/>
              </w:rPr>
            </w:pPr>
          </w:p>
        </w:tc>
        <w:tc>
          <w:tcPr>
            <w:tcW w:w="1060" w:type="dxa"/>
            <w:vAlign w:val="bottom"/>
            <w:shd w:val="clear" w:color="auto" w:fill="0063A6"/>
          </w:tcPr>
          <w:p>
            <w:pPr>
              <w:spacing w:after="0"/>
              <w:rPr>
                <w:sz w:val="12"/>
                <w:szCs w:val="12"/>
                <w:color w:val="auto"/>
              </w:rPr>
            </w:pPr>
          </w:p>
        </w:tc>
        <w:tc>
          <w:tcPr>
            <w:tcW w:w="1240" w:type="dxa"/>
            <w:vAlign w:val="bottom"/>
            <w:vMerge w:val="continue"/>
            <w:shd w:val="clear" w:color="auto" w:fill="0063A6"/>
          </w:tcPr>
          <w:p>
            <w:pPr>
              <w:spacing w:after="0"/>
              <w:rPr>
                <w:sz w:val="12"/>
                <w:szCs w:val="12"/>
                <w:color w:val="auto"/>
              </w:rPr>
            </w:pPr>
          </w:p>
        </w:tc>
        <w:tc>
          <w:tcPr>
            <w:tcW w:w="1280" w:type="dxa"/>
            <w:vAlign w:val="bottom"/>
            <w:vMerge w:val="continue"/>
            <w:shd w:val="clear" w:color="auto" w:fill="0063A6"/>
          </w:tcPr>
          <w:p>
            <w:pPr>
              <w:spacing w:after="0"/>
              <w:rPr>
                <w:sz w:val="12"/>
                <w:szCs w:val="12"/>
                <w:color w:val="auto"/>
              </w:rPr>
            </w:pP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 Fair Value</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 of</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or other Earnings</w:t>
            </w:r>
          </w:p>
        </w:tc>
        <w:tc>
          <w:tcPr>
            <w:tcW w:w="13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 Fair</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Vesting</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Equity</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Paid on Stock or</w:t>
            </w:r>
          </w:p>
        </w:tc>
        <w:tc>
          <w:tcPr>
            <w:tcW w:w="13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0063A6"/>
          </w:tcPr>
          <w:p>
            <w:pPr>
              <w:spacing w:after="0"/>
              <w:rPr>
                <w:sz w:val="12"/>
                <w:szCs w:val="12"/>
                <w:color w:val="auto"/>
              </w:rPr>
            </w:pPr>
          </w:p>
        </w:tc>
        <w:tc>
          <w:tcPr>
            <w:tcW w:w="1060" w:type="dxa"/>
            <w:vAlign w:val="bottom"/>
            <w:shd w:val="clear" w:color="auto" w:fill="0063A6"/>
          </w:tcPr>
          <w:p>
            <w:pPr>
              <w:spacing w:after="0"/>
              <w:rPr>
                <w:sz w:val="12"/>
                <w:szCs w:val="12"/>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Date of Equity</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that</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Option Awards not</w:t>
            </w:r>
          </w:p>
        </w:tc>
        <w:tc>
          <w:tcPr>
            <w:tcW w:w="13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End</w:t>
            </w: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Outstanding</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in</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Failed to Meet</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Otherwise</w:t>
            </w:r>
          </w:p>
        </w:tc>
        <w:tc>
          <w:tcPr>
            <w:tcW w:w="13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8"/>
        </w:trPr>
        <w:tc>
          <w:tcPr>
            <w:tcW w:w="800" w:type="dxa"/>
            <w:vAlign w:val="bottom"/>
            <w:shd w:val="clear" w:color="auto" w:fill="0063A6"/>
          </w:tcPr>
          <w:p>
            <w:pPr>
              <w:spacing w:after="0"/>
              <w:rPr>
                <w:sz w:val="12"/>
                <w:szCs w:val="12"/>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w:t>
            </w: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Unvested</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and</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Years</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Vesting</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Reflected in Fair</w:t>
            </w:r>
          </w:p>
        </w:tc>
        <w:tc>
          <w:tcPr>
            <w:tcW w:w="13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Equity</w:t>
            </w: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Vested in the</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that Vested in</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Conditions in</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or Total</w:t>
            </w:r>
          </w:p>
        </w:tc>
        <w:tc>
          <w:tcPr>
            <w:tcW w:w="13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w:t>
            </w:r>
          </w:p>
        </w:tc>
        <w:tc>
          <w:tcPr>
            <w:tcW w:w="0" w:type="dxa"/>
            <w:vAlign w:val="bottom"/>
          </w:tcPr>
          <w:p>
            <w:pPr>
              <w:spacing w:after="0"/>
              <w:rPr>
                <w:sz w:val="1"/>
                <w:szCs w:val="1"/>
                <w:color w:val="auto"/>
              </w:rPr>
            </w:pPr>
          </w:p>
        </w:tc>
      </w:tr>
      <w:tr>
        <w:trPr>
          <w:trHeight w:val="238"/>
        </w:trPr>
        <w:tc>
          <w:tcPr>
            <w:tcW w:w="8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2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2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Year ($)</w:t>
            </w:r>
          </w:p>
        </w:tc>
        <w:tc>
          <w:tcPr>
            <w:tcW w:w="12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3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5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 ($)</w:t>
            </w:r>
          </w:p>
        </w:tc>
        <w:tc>
          <w:tcPr>
            <w:tcW w:w="13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Adjustments ($)</w:t>
            </w:r>
          </w:p>
        </w:tc>
        <w:tc>
          <w:tcPr>
            <w:tcW w:w="0" w:type="dxa"/>
            <w:vAlign w:val="bottom"/>
          </w:tcPr>
          <w:p>
            <w:pPr>
              <w:spacing w:after="0"/>
              <w:rPr>
                <w:sz w:val="1"/>
                <w:szCs w:val="1"/>
                <w:color w:val="auto"/>
              </w:rPr>
            </w:pPr>
          </w:p>
        </w:tc>
      </w:tr>
      <w:tr>
        <w:trPr>
          <w:trHeight w:val="243"/>
        </w:trPr>
        <w:tc>
          <w:tcPr>
            <w:tcW w:w="8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-44,590,916</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5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-44,590,916</w:t>
            </w:r>
          </w:p>
        </w:tc>
        <w:tc>
          <w:tcPr>
            <w:tcW w:w="0" w:type="dxa"/>
            <w:vAlign w:val="bottom"/>
          </w:tcPr>
          <w:p>
            <w:pPr>
              <w:spacing w:after="0"/>
              <w:rPr>
                <w:sz w:val="1"/>
                <w:szCs w:val="1"/>
                <w:color w:val="auto"/>
              </w:rPr>
            </w:pPr>
          </w:p>
        </w:tc>
      </w:tr>
      <w:tr>
        <w:trPr>
          <w:trHeight w:val="226"/>
        </w:trPr>
        <w:tc>
          <w:tcPr>
            <w:tcW w:w="800" w:type="dxa"/>
            <w:vAlign w:val="bottom"/>
          </w:tcPr>
          <w:p>
            <w:pPr>
              <w:ind w:left="60"/>
              <w:spacing w:after="0"/>
              <w:rPr>
                <w:sz w:val="20"/>
                <w:szCs w:val="20"/>
                <w:color w:val="auto"/>
              </w:rPr>
            </w:pPr>
            <w:r>
              <w:rPr>
                <w:rFonts w:ascii="Arial" w:cs="Arial" w:eastAsia="Arial" w:hAnsi="Arial"/>
                <w:sz w:val="14"/>
                <w:szCs w:val="14"/>
                <w:color w:val="auto"/>
              </w:rPr>
              <w:t>2024</w:t>
            </w:r>
          </w:p>
        </w:tc>
        <w:tc>
          <w:tcPr>
            <w:tcW w:w="1060" w:type="dxa"/>
            <w:vAlign w:val="bottom"/>
          </w:tcPr>
          <w:p>
            <w:pPr>
              <w:jc w:val="center"/>
              <w:spacing w:after="0"/>
              <w:rPr>
                <w:sz w:val="20"/>
                <w:szCs w:val="20"/>
                <w:color w:val="auto"/>
              </w:rPr>
            </w:pPr>
            <w:r>
              <w:rPr>
                <w:rFonts w:ascii="Arial" w:cs="Arial" w:eastAsia="Arial" w:hAnsi="Arial"/>
                <w:sz w:val="14"/>
                <w:szCs w:val="14"/>
                <w:color w:val="auto"/>
              </w:rPr>
              <w:t>0</w:t>
            </w:r>
          </w:p>
        </w:tc>
        <w:tc>
          <w:tcPr>
            <w:tcW w:w="1240" w:type="dxa"/>
            <w:vAlign w:val="bottom"/>
          </w:tcPr>
          <w:p>
            <w:pPr>
              <w:jc w:val="center"/>
              <w:spacing w:after="0"/>
              <w:rPr>
                <w:sz w:val="20"/>
                <w:szCs w:val="20"/>
                <w:color w:val="auto"/>
              </w:rPr>
            </w:pPr>
            <w:r>
              <w:rPr>
                <w:rFonts w:ascii="Arial" w:cs="Arial" w:eastAsia="Arial" w:hAnsi="Arial"/>
                <w:sz w:val="14"/>
                <w:szCs w:val="14"/>
                <w:color w:val="auto"/>
              </w:rPr>
              <w:t>-17,921,820</w:t>
            </w:r>
          </w:p>
        </w:tc>
        <w:tc>
          <w:tcPr>
            <w:tcW w:w="1280" w:type="dxa"/>
            <w:vAlign w:val="bottom"/>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Pr>
          <w:p>
            <w:pPr>
              <w:jc w:val="center"/>
              <w:spacing w:after="0"/>
              <w:rPr>
                <w:sz w:val="20"/>
                <w:szCs w:val="20"/>
                <w:color w:val="auto"/>
              </w:rPr>
            </w:pPr>
            <w:r>
              <w:rPr>
                <w:rFonts w:ascii="Arial" w:cs="Arial" w:eastAsia="Arial" w:hAnsi="Arial"/>
                <w:sz w:val="14"/>
                <w:szCs w:val="14"/>
                <w:color w:val="auto"/>
              </w:rPr>
              <w:t>0</w:t>
            </w:r>
          </w:p>
        </w:tc>
        <w:tc>
          <w:tcPr>
            <w:tcW w:w="15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-17,921,820</w:t>
            </w:r>
          </w:p>
        </w:tc>
        <w:tc>
          <w:tcPr>
            <w:tcW w:w="0" w:type="dxa"/>
            <w:vAlign w:val="bottom"/>
          </w:tcPr>
          <w:p>
            <w:pPr>
              <w:spacing w:after="0"/>
              <w:rPr>
                <w:sz w:val="1"/>
                <w:szCs w:val="1"/>
                <w:color w:val="auto"/>
              </w:rPr>
            </w:pPr>
          </w:p>
        </w:tc>
      </w:tr>
      <w:tr>
        <w:trPr>
          <w:trHeight w:val="220"/>
        </w:trPr>
        <w:tc>
          <w:tcPr>
            <w:tcW w:w="8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17,918,311</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5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17,918,311</w:t>
            </w:r>
          </w:p>
        </w:tc>
        <w:tc>
          <w:tcPr>
            <w:tcW w:w="0" w:type="dxa"/>
            <w:vAlign w:val="bottom"/>
          </w:tcPr>
          <w:p>
            <w:pPr>
              <w:spacing w:after="0"/>
              <w:rPr>
                <w:sz w:val="1"/>
                <w:szCs w:val="1"/>
                <w:color w:val="auto"/>
              </w:rPr>
            </w:pPr>
          </w:p>
        </w:tc>
      </w:tr>
      <w:tr>
        <w:trPr>
          <w:trHeight w:val="212"/>
        </w:trPr>
        <w:tc>
          <w:tcPr>
            <w:tcW w:w="800" w:type="dxa"/>
            <w:vAlign w:val="bottom"/>
          </w:tcPr>
          <w:p>
            <w:pPr>
              <w:ind w:left="60"/>
              <w:spacing w:after="0"/>
              <w:rPr>
                <w:sz w:val="20"/>
                <w:szCs w:val="20"/>
                <w:color w:val="auto"/>
              </w:rPr>
            </w:pPr>
            <w:r>
              <w:rPr>
                <w:rFonts w:ascii="Arial" w:cs="Arial" w:eastAsia="Arial" w:hAnsi="Arial"/>
                <w:sz w:val="14"/>
                <w:szCs w:val="14"/>
                <w:color w:val="auto"/>
              </w:rPr>
              <w:t>2022</w:t>
            </w:r>
          </w:p>
        </w:tc>
        <w:tc>
          <w:tcPr>
            <w:tcW w:w="1060" w:type="dxa"/>
            <w:vAlign w:val="bottom"/>
          </w:tcPr>
          <w:p>
            <w:pPr>
              <w:jc w:val="center"/>
              <w:spacing w:after="0"/>
              <w:rPr>
                <w:sz w:val="20"/>
                <w:szCs w:val="20"/>
                <w:color w:val="auto"/>
              </w:rPr>
            </w:pPr>
            <w:r>
              <w:rPr>
                <w:rFonts w:ascii="Arial" w:cs="Arial" w:eastAsia="Arial" w:hAnsi="Arial"/>
                <w:sz w:val="14"/>
                <w:szCs w:val="14"/>
                <w:color w:val="auto"/>
              </w:rPr>
              <w:t>0</w:t>
            </w:r>
          </w:p>
        </w:tc>
        <w:tc>
          <w:tcPr>
            <w:tcW w:w="1240" w:type="dxa"/>
            <w:vAlign w:val="bottom"/>
          </w:tcPr>
          <w:p>
            <w:pPr>
              <w:jc w:val="center"/>
              <w:spacing w:after="0"/>
              <w:rPr>
                <w:sz w:val="20"/>
                <w:szCs w:val="20"/>
                <w:color w:val="auto"/>
              </w:rPr>
            </w:pPr>
            <w:r>
              <w:rPr>
                <w:rFonts w:ascii="Arial" w:cs="Arial" w:eastAsia="Arial" w:hAnsi="Arial"/>
                <w:sz w:val="14"/>
                <w:szCs w:val="14"/>
                <w:color w:val="auto"/>
              </w:rPr>
              <w:t>-23,929,000</w:t>
            </w:r>
          </w:p>
        </w:tc>
        <w:tc>
          <w:tcPr>
            <w:tcW w:w="1280" w:type="dxa"/>
            <w:vAlign w:val="bottom"/>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Pr>
          <w:p>
            <w:pPr>
              <w:jc w:val="center"/>
              <w:spacing w:after="0"/>
              <w:rPr>
                <w:sz w:val="20"/>
                <w:szCs w:val="20"/>
                <w:color w:val="auto"/>
              </w:rPr>
            </w:pPr>
            <w:r>
              <w:rPr>
                <w:rFonts w:ascii="Arial" w:cs="Arial" w:eastAsia="Arial" w:hAnsi="Arial"/>
                <w:sz w:val="14"/>
                <w:szCs w:val="14"/>
                <w:color w:val="auto"/>
              </w:rPr>
              <w:t>0</w:t>
            </w:r>
          </w:p>
        </w:tc>
        <w:tc>
          <w:tcPr>
            <w:tcW w:w="15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-23,929,000</w:t>
            </w:r>
          </w:p>
        </w:tc>
        <w:tc>
          <w:tcPr>
            <w:tcW w:w="0" w:type="dxa"/>
            <w:vAlign w:val="bottom"/>
          </w:tcPr>
          <w:p>
            <w:pPr>
              <w:spacing w:after="0"/>
              <w:rPr>
                <w:sz w:val="1"/>
                <w:szCs w:val="1"/>
                <w:color w:val="auto"/>
              </w:rPr>
            </w:pPr>
          </w:p>
        </w:tc>
      </w:tr>
      <w:tr>
        <w:trPr>
          <w:trHeight w:val="220"/>
        </w:trPr>
        <w:tc>
          <w:tcPr>
            <w:tcW w:w="8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8,238,085</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15,410,257</w:t>
            </w:r>
          </w:p>
        </w:tc>
        <w:tc>
          <w:tcPr>
            <w:tcW w:w="1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5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23,648,342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-136525</wp:posOffset>
            </wp:positionV>
            <wp:extent cx="1714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-136525</wp:posOffset>
            </wp:positionV>
            <wp:extent cx="1714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-136525</wp:posOffset>
            </wp:positionV>
            <wp:extent cx="1714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-136525</wp:posOffset>
            </wp:positionV>
            <wp:extent cx="1714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-136525</wp:posOffset>
            </wp:positionV>
            <wp:extent cx="17145"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-136525</wp:posOffset>
            </wp:positionV>
            <wp:extent cx="1714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-136525</wp:posOffset>
            </wp:positionV>
            <wp:extent cx="1714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92" w:lineRule="exact"/>
        <w:rPr>
          <w:sz w:val="20"/>
          <w:szCs w:val="20"/>
          <w:color w:val="auto"/>
        </w:rPr>
      </w:pPr>
    </w:p>
    <w:p>
      <w:pPr>
        <w:ind w:left="340" w:right="240" w:hanging="332"/>
        <w:spacing w:after="0" w:line="252" w:lineRule="auto"/>
        <w:tabs>
          <w:tab w:leader="none" w:pos="234" w:val="left"/>
        </w:tabs>
        <w:numPr>
          <w:ilvl w:val="0"/>
          <w:numId w:val="85"/>
        </w:numPr>
        <w:rPr>
          <w:rFonts w:ascii="Arial" w:cs="Arial" w:eastAsia="Arial" w:hAnsi="Arial"/>
          <w:sz w:val="9"/>
          <w:szCs w:val="9"/>
          <w:color w:val="auto"/>
        </w:rPr>
      </w:pPr>
      <w:r>
        <w:rPr>
          <w:rFonts w:ascii="Arial" w:cs="Arial" w:eastAsia="Arial" w:hAnsi="Arial"/>
          <w:sz w:val="14"/>
          <w:szCs w:val="14"/>
          <w:color w:val="auto"/>
        </w:rPr>
        <w:t>The dollar amounts reported in column (d) represent the average of the amounts reported for the company’s named executive officers (“</w:t>
      </w:r>
      <w:r>
        <w:rPr>
          <w:rFonts w:ascii="Arial" w:cs="Arial" w:eastAsia="Arial" w:hAnsi="Arial"/>
          <w:sz w:val="14"/>
          <w:szCs w:val="14"/>
          <w:b w:val="1"/>
          <w:bCs w:val="1"/>
          <w:i w:val="1"/>
          <w:iCs w:val="1"/>
          <w:color w:val="auto"/>
        </w:rPr>
        <w:t>NEOs</w:t>
      </w:r>
      <w:r>
        <w:rPr>
          <w:rFonts w:ascii="Arial" w:cs="Arial" w:eastAsia="Arial" w:hAnsi="Arial"/>
          <w:sz w:val="14"/>
          <w:szCs w:val="14"/>
          <w:color w:val="auto"/>
        </w:rPr>
        <w:t>”) as a group (excluding Mr. Houston) in the “Total” column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in each applicable year. The names of each of the NEOs (excluding Mr. Houston) included for purposes of calculating the average amounts in each applicable year are as follows: (i) for 2025, Ross Tennenbaum, Tim Regan, William Yoon, Ali Dasdan, and Ashraf Alkarmi; (ii) for 2024, Tim Regan, Bart Volkmer, and Eric Cox; (iii) for 2023, Timothy Young, Tim Regan, Bart Volkmer, and Eric Cox; (iv) for 2022, Timothy Young, Tim Regan and Bart Volkmer; and (v) for 2021, Timothy Young, Tim Regan, Bart Volkmer, and Olivia Nottebohm.</w:t>
      </w:r>
    </w:p>
    <w:p>
      <w:pPr>
        <w:spacing w:after="0" w:line="59" w:lineRule="exact"/>
        <w:rPr>
          <w:rFonts w:ascii="Arial" w:cs="Arial" w:eastAsia="Arial" w:hAnsi="Arial"/>
          <w:sz w:val="9"/>
          <w:szCs w:val="9"/>
          <w:color w:val="auto"/>
        </w:rPr>
      </w:pPr>
    </w:p>
    <w:p>
      <w:pPr>
        <w:ind w:left="340" w:right="40" w:hanging="332"/>
        <w:spacing w:after="0" w:line="229" w:lineRule="auto"/>
        <w:tabs>
          <w:tab w:leader="none" w:pos="234" w:val="left"/>
        </w:tabs>
        <w:numPr>
          <w:ilvl w:val="0"/>
          <w:numId w:val="85"/>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in column (e) represent the average amount of “compensation actually paid” to the NEOs as a group (excluding Mr. Houston), as computed in accordance with Item 402(v) of Regulation S-K. The dollar amounts do not reflect the actual average amount of compensation earned by or paid to the NEOs as a group (excluding Mr. Houston) during the applicable year. In accordance with the requirements of Item 402(v) of Regulation S-K, the following adjustments were made to average total compensation for the NEOs as a group (excluding Mr. Houston) for each year to determine the compensation actually paid, using the same methodology described above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66040</wp:posOffset>
            </wp:positionV>
            <wp:extent cx="6669405" cy="13455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69405" cy="1345565"/>
                    </a:xfrm>
                    <a:prstGeom prst="rect">
                      <a:avLst/>
                    </a:prstGeom>
                    <a:noFill/>
                  </pic:spPr>
                </pic:pic>
              </a:graphicData>
            </a:graphic>
          </wp:anchor>
        </w:drawing>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700" w:type="dxa"/>
            <w:vAlign w:val="bottom"/>
            <w:shd w:val="clear" w:color="auto" w:fill="0063A6"/>
          </w:tcPr>
          <w:p>
            <w:pPr>
              <w:spacing w:after="0"/>
              <w:rPr>
                <w:sz w:val="18"/>
                <w:szCs w:val="18"/>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2080" w:type="dxa"/>
            <w:vAlign w:val="bottom"/>
            <w:shd w:val="clear" w:color="auto" w:fill="0063A6"/>
          </w:tcPr>
          <w:p>
            <w:pPr>
              <w:spacing w:after="0"/>
              <w:rPr>
                <w:sz w:val="18"/>
                <w:szCs w:val="18"/>
                <w:color w:val="auto"/>
              </w:rPr>
            </w:pPr>
          </w:p>
        </w:tc>
        <w:tc>
          <w:tcPr>
            <w:tcW w:w="2320" w:type="dxa"/>
            <w:vAlign w:val="bottom"/>
            <w:shd w:val="clear" w:color="auto" w:fill="0063A6"/>
          </w:tcPr>
          <w:p>
            <w:pPr>
              <w:spacing w:after="0"/>
              <w:rPr>
                <w:sz w:val="18"/>
                <w:szCs w:val="18"/>
                <w:color w:val="auto"/>
              </w:rPr>
            </w:pPr>
          </w:p>
        </w:tc>
        <w:tc>
          <w:tcPr>
            <w:tcW w:w="2200" w:type="dxa"/>
            <w:vAlign w:val="bottom"/>
            <w:shd w:val="clear" w:color="auto" w:fill="0063A6"/>
          </w:tcPr>
          <w:p>
            <w:pPr>
              <w:spacing w:after="0"/>
              <w:rPr>
                <w:sz w:val="18"/>
                <w:szCs w:val="18"/>
                <w:color w:val="auto"/>
              </w:rPr>
            </w:pPr>
          </w:p>
        </w:tc>
      </w:tr>
      <w:tr>
        <w:trPr>
          <w:trHeight w:val="162"/>
        </w:trPr>
        <w:tc>
          <w:tcPr>
            <w:tcW w:w="1700" w:type="dxa"/>
            <w:vAlign w:val="bottom"/>
            <w:shd w:val="clear" w:color="auto" w:fill="0063A6"/>
          </w:tcPr>
          <w:p>
            <w:pPr>
              <w:spacing w:after="0"/>
              <w:rPr>
                <w:sz w:val="14"/>
                <w:szCs w:val="14"/>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Reported Summary</w:t>
            </w:r>
          </w:p>
        </w:tc>
        <w:tc>
          <w:tcPr>
            <w:tcW w:w="2080" w:type="dxa"/>
            <w:vAlign w:val="bottom"/>
            <w:shd w:val="clear" w:color="auto" w:fill="0063A6"/>
          </w:tcPr>
          <w:p>
            <w:pPr>
              <w:spacing w:after="0"/>
              <w:rPr>
                <w:sz w:val="14"/>
                <w:szCs w:val="14"/>
                <w:color w:val="auto"/>
              </w:rPr>
            </w:pPr>
          </w:p>
        </w:tc>
        <w:tc>
          <w:tcPr>
            <w:tcW w:w="2320" w:type="dxa"/>
            <w:vAlign w:val="bottom"/>
            <w:shd w:val="clear" w:color="auto" w:fill="0063A6"/>
          </w:tcPr>
          <w:p>
            <w:pPr>
              <w:spacing w:after="0"/>
              <w:rPr>
                <w:sz w:val="14"/>
                <w:szCs w:val="14"/>
                <w:color w:val="auto"/>
              </w:rPr>
            </w:pPr>
          </w:p>
        </w:tc>
        <w:tc>
          <w:tcPr>
            <w:tcW w:w="2200" w:type="dxa"/>
            <w:vAlign w:val="bottom"/>
            <w:shd w:val="clear" w:color="auto" w:fill="0063A6"/>
          </w:tcPr>
          <w:p>
            <w:pPr>
              <w:spacing w:after="0"/>
              <w:rPr>
                <w:sz w:val="14"/>
                <w:szCs w:val="14"/>
                <w:color w:val="auto"/>
              </w:rPr>
            </w:pPr>
          </w:p>
        </w:tc>
      </w:tr>
      <w:tr>
        <w:trPr>
          <w:trHeight w:val="148"/>
        </w:trPr>
        <w:tc>
          <w:tcPr>
            <w:tcW w:w="1700" w:type="dxa"/>
            <w:vAlign w:val="bottom"/>
            <w:shd w:val="clear" w:color="auto" w:fill="0063A6"/>
          </w:tcPr>
          <w:p>
            <w:pPr>
              <w:spacing w:after="0"/>
              <w:rPr>
                <w:sz w:val="12"/>
                <w:szCs w:val="12"/>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 Table</w:t>
            </w:r>
          </w:p>
        </w:tc>
        <w:tc>
          <w:tcPr>
            <w:tcW w:w="2080" w:type="dxa"/>
            <w:vAlign w:val="bottom"/>
            <w:shd w:val="clear" w:color="auto" w:fill="0063A6"/>
          </w:tcPr>
          <w:p>
            <w:pPr>
              <w:jc w:val="center"/>
              <w:ind w:left="10"/>
              <w:spacing w:after="0"/>
              <w:rPr>
                <w:sz w:val="20"/>
                <w:szCs w:val="20"/>
                <w:color w:val="auto"/>
              </w:rPr>
            </w:pPr>
            <w:r>
              <w:rPr>
                <w:rFonts w:ascii="Arial" w:cs="Arial" w:eastAsia="Arial" w:hAnsi="Arial"/>
                <w:sz w:val="13"/>
                <w:szCs w:val="13"/>
                <w:b w:val="1"/>
                <w:bCs w:val="1"/>
                <w:color w:val="FFFFFF"/>
              </w:rPr>
              <w:t>Average Reported</w:t>
            </w:r>
          </w:p>
        </w:tc>
        <w:tc>
          <w:tcPr>
            <w:tcW w:w="2320" w:type="dxa"/>
            <w:vAlign w:val="bottom"/>
            <w:shd w:val="clear" w:color="auto" w:fill="0063A6"/>
          </w:tcPr>
          <w:p>
            <w:pPr>
              <w:spacing w:after="0"/>
              <w:rPr>
                <w:sz w:val="12"/>
                <w:szCs w:val="12"/>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Compensation</w:t>
            </w:r>
          </w:p>
        </w:tc>
      </w:tr>
      <w:tr>
        <w:trPr>
          <w:trHeight w:val="162"/>
        </w:trPr>
        <w:tc>
          <w:tcPr>
            <w:tcW w:w="1700" w:type="dxa"/>
            <w:vAlign w:val="bottom"/>
            <w:shd w:val="clear" w:color="auto" w:fill="0063A6"/>
          </w:tcPr>
          <w:p>
            <w:pPr>
              <w:spacing w:after="0"/>
              <w:rPr>
                <w:sz w:val="14"/>
                <w:szCs w:val="14"/>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 for Non-PEO</w:t>
            </w:r>
          </w:p>
        </w:tc>
        <w:tc>
          <w:tcPr>
            <w:tcW w:w="2080" w:type="dxa"/>
            <w:vAlign w:val="bottom"/>
            <w:shd w:val="clear" w:color="auto" w:fill="0063A6"/>
          </w:tcPr>
          <w:p>
            <w:pPr>
              <w:jc w:val="center"/>
              <w:ind w:left="10"/>
              <w:spacing w:after="0"/>
              <w:rPr>
                <w:sz w:val="20"/>
                <w:szCs w:val="20"/>
                <w:color w:val="auto"/>
              </w:rPr>
            </w:pPr>
            <w:r>
              <w:rPr>
                <w:rFonts w:ascii="Arial" w:cs="Arial" w:eastAsia="Arial" w:hAnsi="Arial"/>
                <w:sz w:val="13"/>
                <w:szCs w:val="13"/>
                <w:b w:val="1"/>
                <w:bCs w:val="1"/>
                <w:color w:val="FFFFFF"/>
              </w:rPr>
              <w:t>Value of Equity</w:t>
            </w:r>
          </w:p>
        </w:tc>
        <w:tc>
          <w:tcPr>
            <w:tcW w:w="2320" w:type="dxa"/>
            <w:vAlign w:val="bottom"/>
            <w:shd w:val="clear" w:color="auto" w:fill="0063A6"/>
          </w:tcPr>
          <w:p>
            <w:pPr>
              <w:jc w:val="center"/>
              <w:ind w:left="29"/>
              <w:spacing w:after="0"/>
              <w:rPr>
                <w:sz w:val="20"/>
                <w:szCs w:val="20"/>
                <w:color w:val="auto"/>
              </w:rPr>
            </w:pPr>
            <w:r>
              <w:rPr>
                <w:rFonts w:ascii="Arial" w:cs="Arial" w:eastAsia="Arial" w:hAnsi="Arial"/>
                <w:sz w:val="13"/>
                <w:szCs w:val="13"/>
                <w:b w:val="1"/>
                <w:bCs w:val="1"/>
                <w:color w:val="FFFFFF"/>
              </w:rPr>
              <w:t>Average Equity</w:t>
            </w: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 Non-</w:t>
            </w:r>
          </w:p>
        </w:tc>
      </w:tr>
      <w:tr>
        <w:trPr>
          <w:trHeight w:val="238"/>
        </w:trPr>
        <w:tc>
          <w:tcPr>
            <w:tcW w:w="17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22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NEOs ($)</w:t>
            </w:r>
          </w:p>
        </w:tc>
        <w:tc>
          <w:tcPr>
            <w:tcW w:w="2080" w:type="dxa"/>
            <w:vAlign w:val="bottom"/>
            <w:tcBorders>
              <w:bottom w:val="single" w:sz="8" w:color="0063A6"/>
            </w:tcBorders>
            <w:shd w:val="clear" w:color="auto" w:fill="0063A6"/>
          </w:tcPr>
          <w:p>
            <w:pPr>
              <w:jc w:val="center"/>
              <w:ind w:left="30"/>
              <w:spacing w:after="0"/>
              <w:rPr>
                <w:sz w:val="20"/>
                <w:szCs w:val="20"/>
                <w:color w:val="auto"/>
              </w:rPr>
            </w:pPr>
            <w:r>
              <w:rPr>
                <w:rFonts w:ascii="Arial" w:cs="Arial" w:eastAsia="Arial" w:hAnsi="Arial"/>
                <w:sz w:val="13"/>
                <w:szCs w:val="13"/>
                <w:b w:val="1"/>
                <w:bCs w:val="1"/>
                <w:color w:val="FFFFFF"/>
              </w:rPr>
              <w:t>Awards($)</w:t>
            </w:r>
          </w:p>
        </w:tc>
        <w:tc>
          <w:tcPr>
            <w:tcW w:w="2320" w:type="dxa"/>
            <w:vAlign w:val="bottom"/>
            <w:tcBorders>
              <w:bottom w:val="single" w:sz="8" w:color="0063A6"/>
            </w:tcBorders>
            <w:shd w:val="clear" w:color="auto" w:fill="0063A6"/>
          </w:tcPr>
          <w:p>
            <w:pPr>
              <w:jc w:val="center"/>
              <w:ind w:left="29"/>
              <w:spacing w:after="0"/>
              <w:rPr>
                <w:sz w:val="20"/>
                <w:szCs w:val="20"/>
                <w:color w:val="auto"/>
              </w:rPr>
            </w:pPr>
            <w:r>
              <w:rPr>
                <w:rFonts w:ascii="Arial" w:cs="Arial" w:eastAsia="Arial" w:hAnsi="Arial"/>
                <w:sz w:val="13"/>
                <w:szCs w:val="13"/>
                <w:b w:val="1"/>
                <w:bCs w:val="1"/>
                <w:color w:val="FFFFFF"/>
              </w:rPr>
              <w:t>Award Adjustments ($)</w:t>
            </w:r>
            <w:r>
              <w:rPr>
                <w:rFonts w:ascii="Arial" w:cs="Arial" w:eastAsia="Arial" w:hAnsi="Arial"/>
                <w:sz w:val="17"/>
                <w:szCs w:val="17"/>
                <w:b w:val="1"/>
                <w:bCs w:val="1"/>
                <w:color w:val="FFFFFF"/>
                <w:vertAlign w:val="superscript"/>
              </w:rPr>
              <w:t>(a)</w:t>
            </w:r>
          </w:p>
        </w:tc>
        <w:tc>
          <w:tcPr>
            <w:tcW w:w="22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PEO NEOs ($)</w:t>
            </w:r>
          </w:p>
        </w:tc>
      </w:tr>
      <w:tr>
        <w:trPr>
          <w:trHeight w:val="223"/>
        </w:trPr>
        <w:tc>
          <w:tcPr>
            <w:tcW w:w="1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9,532,069</w:t>
            </w:r>
          </w:p>
        </w:tc>
        <w:tc>
          <w:tcPr>
            <w:tcW w:w="2080" w:type="dxa"/>
            <w:vAlign w:val="bottom"/>
            <w:tcBorders>
              <w:bottom w:val="single" w:sz="8" w:color="F2F2F2"/>
            </w:tcBorders>
            <w:shd w:val="clear" w:color="auto" w:fill="F2F2F2"/>
          </w:tcPr>
          <w:p>
            <w:pPr>
              <w:jc w:val="center"/>
              <w:ind w:left="50"/>
              <w:spacing w:after="0"/>
              <w:rPr>
                <w:sz w:val="20"/>
                <w:szCs w:val="20"/>
                <w:color w:val="auto"/>
              </w:rPr>
            </w:pPr>
            <w:r>
              <w:rPr>
                <w:rFonts w:ascii="Arial" w:cs="Arial" w:eastAsia="Arial" w:hAnsi="Arial"/>
                <w:sz w:val="14"/>
                <w:szCs w:val="14"/>
                <w:color w:val="auto"/>
              </w:rPr>
              <w:t>8,631,309</w:t>
            </w:r>
          </w:p>
        </w:tc>
        <w:tc>
          <w:tcPr>
            <w:tcW w:w="2320" w:type="dxa"/>
            <w:vAlign w:val="bottom"/>
            <w:tcBorders>
              <w:bottom w:val="single" w:sz="8" w:color="F2F2F2"/>
            </w:tcBorders>
            <w:shd w:val="clear" w:color="auto" w:fill="F2F2F2"/>
          </w:tcPr>
          <w:p>
            <w:pPr>
              <w:jc w:val="center"/>
              <w:ind w:left="49"/>
              <w:spacing w:after="0"/>
              <w:rPr>
                <w:sz w:val="20"/>
                <w:szCs w:val="20"/>
                <w:color w:val="auto"/>
              </w:rPr>
            </w:pPr>
            <w:r>
              <w:rPr>
                <w:rFonts w:ascii="Arial" w:cs="Arial" w:eastAsia="Arial" w:hAnsi="Arial"/>
                <w:sz w:val="14"/>
                <w:szCs w:val="14"/>
                <w:color w:val="auto"/>
              </w:rPr>
              <w:t>8,629,604</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9,530,364</w:t>
            </w:r>
          </w:p>
        </w:tc>
      </w:tr>
      <w:tr>
        <w:trPr>
          <w:trHeight w:val="221"/>
        </w:trPr>
        <w:tc>
          <w:tcPr>
            <w:tcW w:w="1700" w:type="dxa"/>
            <w:vAlign w:val="bottom"/>
          </w:tcPr>
          <w:p>
            <w:pPr>
              <w:ind w:left="60"/>
              <w:spacing w:after="0"/>
              <w:rPr>
                <w:sz w:val="20"/>
                <w:szCs w:val="20"/>
                <w:color w:val="auto"/>
              </w:rPr>
            </w:pPr>
            <w:r>
              <w:rPr>
                <w:rFonts w:ascii="Arial" w:cs="Arial" w:eastAsia="Arial" w:hAnsi="Arial"/>
                <w:sz w:val="14"/>
                <w:szCs w:val="14"/>
                <w:color w:val="auto"/>
              </w:rPr>
              <w:t>2024</w:t>
            </w:r>
          </w:p>
        </w:tc>
        <w:tc>
          <w:tcPr>
            <w:tcW w:w="2200" w:type="dxa"/>
            <w:vAlign w:val="bottom"/>
          </w:tcPr>
          <w:p>
            <w:pPr>
              <w:jc w:val="center"/>
              <w:spacing w:after="0"/>
              <w:rPr>
                <w:sz w:val="20"/>
                <w:szCs w:val="20"/>
                <w:color w:val="auto"/>
              </w:rPr>
            </w:pPr>
            <w:r>
              <w:rPr>
                <w:rFonts w:ascii="Arial" w:cs="Arial" w:eastAsia="Arial" w:hAnsi="Arial"/>
                <w:sz w:val="14"/>
                <w:szCs w:val="14"/>
                <w:color w:val="auto"/>
              </w:rPr>
              <w:t>7,182,866</w:t>
            </w:r>
          </w:p>
        </w:tc>
        <w:tc>
          <w:tcPr>
            <w:tcW w:w="2080" w:type="dxa"/>
            <w:vAlign w:val="bottom"/>
          </w:tcPr>
          <w:p>
            <w:pPr>
              <w:jc w:val="center"/>
              <w:ind w:left="50"/>
              <w:spacing w:after="0"/>
              <w:rPr>
                <w:sz w:val="20"/>
                <w:szCs w:val="20"/>
                <w:color w:val="auto"/>
              </w:rPr>
            </w:pPr>
            <w:r>
              <w:rPr>
                <w:rFonts w:ascii="Arial" w:cs="Arial" w:eastAsia="Arial" w:hAnsi="Arial"/>
                <w:sz w:val="14"/>
                <w:szCs w:val="14"/>
                <w:color w:val="auto"/>
              </w:rPr>
              <w:t>6,566,199</w:t>
            </w:r>
          </w:p>
        </w:tc>
        <w:tc>
          <w:tcPr>
            <w:tcW w:w="2320" w:type="dxa"/>
            <w:vAlign w:val="bottom"/>
          </w:tcPr>
          <w:p>
            <w:pPr>
              <w:jc w:val="center"/>
              <w:ind w:left="49"/>
              <w:spacing w:after="0"/>
              <w:rPr>
                <w:sz w:val="20"/>
                <w:szCs w:val="20"/>
                <w:color w:val="auto"/>
              </w:rPr>
            </w:pPr>
            <w:r>
              <w:rPr>
                <w:rFonts w:ascii="Arial" w:cs="Arial" w:eastAsia="Arial" w:hAnsi="Arial"/>
                <w:sz w:val="14"/>
                <w:szCs w:val="14"/>
                <w:color w:val="auto"/>
              </w:rPr>
              <w:t>6,882,177</w:t>
            </w:r>
          </w:p>
        </w:tc>
        <w:tc>
          <w:tcPr>
            <w:tcW w:w="2200" w:type="dxa"/>
            <w:vAlign w:val="bottom"/>
          </w:tcPr>
          <w:p>
            <w:pPr>
              <w:jc w:val="center"/>
              <w:spacing w:after="0"/>
              <w:rPr>
                <w:sz w:val="20"/>
                <w:szCs w:val="20"/>
                <w:color w:val="auto"/>
              </w:rPr>
            </w:pPr>
            <w:r>
              <w:rPr>
                <w:rFonts w:ascii="Arial" w:cs="Arial" w:eastAsia="Arial" w:hAnsi="Arial"/>
                <w:sz w:val="14"/>
                <w:szCs w:val="14"/>
                <w:color w:val="auto"/>
              </w:rPr>
              <w:t>7,498,844</w:t>
            </w:r>
          </w:p>
        </w:tc>
      </w:tr>
      <w:tr>
        <w:trPr>
          <w:trHeight w:val="22"/>
        </w:trPr>
        <w:tc>
          <w:tcPr>
            <w:tcW w:w="1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3"/>
        </w:trPr>
        <w:tc>
          <w:tcPr>
            <w:tcW w:w="1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2,515,311</w:t>
            </w:r>
          </w:p>
        </w:tc>
        <w:tc>
          <w:tcPr>
            <w:tcW w:w="2080" w:type="dxa"/>
            <w:vAlign w:val="bottom"/>
            <w:tcBorders>
              <w:bottom w:val="single" w:sz="8" w:color="F2F2F2"/>
            </w:tcBorders>
            <w:shd w:val="clear" w:color="auto" w:fill="F2F2F2"/>
          </w:tcPr>
          <w:p>
            <w:pPr>
              <w:jc w:val="center"/>
              <w:ind w:left="50"/>
              <w:spacing w:after="0"/>
              <w:rPr>
                <w:sz w:val="20"/>
                <w:szCs w:val="20"/>
                <w:color w:val="auto"/>
              </w:rPr>
            </w:pPr>
            <w:r>
              <w:rPr>
                <w:rFonts w:ascii="Arial" w:cs="Arial" w:eastAsia="Arial" w:hAnsi="Arial"/>
                <w:sz w:val="14"/>
                <w:szCs w:val="14"/>
                <w:color w:val="auto"/>
              </w:rPr>
              <w:t>2,049,960</w:t>
            </w:r>
          </w:p>
        </w:tc>
        <w:tc>
          <w:tcPr>
            <w:tcW w:w="2320" w:type="dxa"/>
            <w:vAlign w:val="bottom"/>
            <w:tcBorders>
              <w:bottom w:val="single" w:sz="8" w:color="F2F2F2"/>
            </w:tcBorders>
            <w:shd w:val="clear" w:color="auto" w:fill="F2F2F2"/>
          </w:tcPr>
          <w:p>
            <w:pPr>
              <w:jc w:val="center"/>
              <w:ind w:left="49"/>
              <w:spacing w:after="0"/>
              <w:rPr>
                <w:sz w:val="20"/>
                <w:szCs w:val="20"/>
                <w:color w:val="auto"/>
              </w:rPr>
            </w:pPr>
            <w:r>
              <w:rPr>
                <w:rFonts w:ascii="Arial" w:cs="Arial" w:eastAsia="Arial" w:hAnsi="Arial"/>
                <w:sz w:val="14"/>
                <w:szCs w:val="14"/>
                <w:color w:val="auto"/>
              </w:rPr>
              <w:t>699,685</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1,165,036</w:t>
            </w:r>
          </w:p>
        </w:tc>
      </w:tr>
      <w:tr>
        <w:trPr>
          <w:trHeight w:val="225"/>
        </w:trPr>
        <w:tc>
          <w:tcPr>
            <w:tcW w:w="1700" w:type="dxa"/>
            <w:vAlign w:val="bottom"/>
          </w:tcPr>
          <w:p>
            <w:pPr>
              <w:ind w:left="60"/>
              <w:spacing w:after="0"/>
              <w:rPr>
                <w:sz w:val="20"/>
                <w:szCs w:val="20"/>
                <w:color w:val="auto"/>
              </w:rPr>
            </w:pPr>
            <w:r>
              <w:rPr>
                <w:rFonts w:ascii="Arial" w:cs="Arial" w:eastAsia="Arial" w:hAnsi="Arial"/>
                <w:sz w:val="14"/>
                <w:szCs w:val="14"/>
                <w:color w:val="auto"/>
              </w:rPr>
              <w:t>2022</w:t>
            </w:r>
          </w:p>
        </w:tc>
        <w:tc>
          <w:tcPr>
            <w:tcW w:w="2200" w:type="dxa"/>
            <w:vAlign w:val="bottom"/>
          </w:tcPr>
          <w:p>
            <w:pPr>
              <w:jc w:val="center"/>
              <w:spacing w:after="0"/>
              <w:rPr>
                <w:sz w:val="20"/>
                <w:szCs w:val="20"/>
                <w:color w:val="auto"/>
              </w:rPr>
            </w:pPr>
            <w:r>
              <w:rPr>
                <w:rFonts w:ascii="Arial" w:cs="Arial" w:eastAsia="Arial" w:hAnsi="Arial"/>
                <w:sz w:val="14"/>
                <w:szCs w:val="14"/>
                <w:color w:val="auto"/>
              </w:rPr>
              <w:t>3,473,372</w:t>
            </w:r>
          </w:p>
        </w:tc>
        <w:tc>
          <w:tcPr>
            <w:tcW w:w="2080" w:type="dxa"/>
            <w:vAlign w:val="bottom"/>
          </w:tcPr>
          <w:p>
            <w:pPr>
              <w:jc w:val="center"/>
              <w:ind w:left="50"/>
              <w:spacing w:after="0"/>
              <w:rPr>
                <w:sz w:val="20"/>
                <w:szCs w:val="20"/>
                <w:color w:val="auto"/>
              </w:rPr>
            </w:pPr>
            <w:r>
              <w:rPr>
                <w:rFonts w:ascii="Arial" w:cs="Arial" w:eastAsia="Arial" w:hAnsi="Arial"/>
                <w:sz w:val="14"/>
                <w:szCs w:val="14"/>
                <w:color w:val="auto"/>
              </w:rPr>
              <w:t>2,607,061</w:t>
            </w:r>
          </w:p>
        </w:tc>
        <w:tc>
          <w:tcPr>
            <w:tcW w:w="2320" w:type="dxa"/>
            <w:vAlign w:val="bottom"/>
          </w:tcPr>
          <w:p>
            <w:pPr>
              <w:jc w:val="center"/>
              <w:ind w:left="49"/>
              <w:spacing w:after="0"/>
              <w:rPr>
                <w:sz w:val="20"/>
                <w:szCs w:val="20"/>
                <w:color w:val="auto"/>
              </w:rPr>
            </w:pPr>
            <w:r>
              <w:rPr>
                <w:rFonts w:ascii="Arial" w:cs="Arial" w:eastAsia="Arial" w:hAnsi="Arial"/>
                <w:sz w:val="14"/>
                <w:szCs w:val="14"/>
                <w:color w:val="auto"/>
              </w:rPr>
              <w:t>-337,824</w:t>
            </w:r>
          </w:p>
        </w:tc>
        <w:tc>
          <w:tcPr>
            <w:tcW w:w="2200" w:type="dxa"/>
            <w:vAlign w:val="bottom"/>
          </w:tcPr>
          <w:p>
            <w:pPr>
              <w:jc w:val="center"/>
              <w:spacing w:after="0"/>
              <w:rPr>
                <w:sz w:val="20"/>
                <w:szCs w:val="20"/>
                <w:color w:val="auto"/>
              </w:rPr>
            </w:pPr>
            <w:r>
              <w:rPr>
                <w:rFonts w:ascii="Arial" w:cs="Arial" w:eastAsia="Arial" w:hAnsi="Arial"/>
                <w:sz w:val="14"/>
                <w:szCs w:val="14"/>
                <w:color w:val="auto"/>
              </w:rPr>
              <w:t>528,487</w:t>
            </w:r>
          </w:p>
        </w:tc>
      </w:tr>
      <w:tr>
        <w:trPr>
          <w:trHeight w:val="220"/>
        </w:trPr>
        <w:tc>
          <w:tcPr>
            <w:tcW w:w="17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22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2,832,378</w:t>
            </w:r>
          </w:p>
        </w:tc>
        <w:tc>
          <w:tcPr>
            <w:tcW w:w="2080" w:type="dxa"/>
            <w:vAlign w:val="bottom"/>
            <w:shd w:val="clear" w:color="auto" w:fill="F2F2F2"/>
          </w:tcPr>
          <w:p>
            <w:pPr>
              <w:jc w:val="center"/>
              <w:ind w:left="50"/>
              <w:spacing w:after="0"/>
              <w:rPr>
                <w:sz w:val="20"/>
                <w:szCs w:val="20"/>
                <w:color w:val="auto"/>
              </w:rPr>
            </w:pPr>
            <w:r>
              <w:rPr>
                <w:rFonts w:ascii="Arial" w:cs="Arial" w:eastAsia="Arial" w:hAnsi="Arial"/>
                <w:sz w:val="14"/>
                <w:szCs w:val="14"/>
                <w:color w:val="auto"/>
              </w:rPr>
              <w:t>1,946,253</w:t>
            </w:r>
          </w:p>
        </w:tc>
        <w:tc>
          <w:tcPr>
            <w:tcW w:w="2320" w:type="dxa"/>
            <w:vAlign w:val="bottom"/>
            <w:shd w:val="clear" w:color="auto" w:fill="F2F2F2"/>
          </w:tcPr>
          <w:p>
            <w:pPr>
              <w:jc w:val="center"/>
              <w:ind w:left="49"/>
              <w:spacing w:after="0"/>
              <w:rPr>
                <w:sz w:val="20"/>
                <w:szCs w:val="20"/>
                <w:color w:val="auto"/>
              </w:rPr>
            </w:pPr>
            <w:r>
              <w:rPr>
                <w:rFonts w:ascii="Arial" w:cs="Arial" w:eastAsia="Arial" w:hAnsi="Arial"/>
                <w:sz w:val="14"/>
                <w:szCs w:val="14"/>
                <w:color w:val="auto"/>
              </w:rPr>
              <w:t>375,828</w:t>
            </w:r>
          </w:p>
        </w:tc>
        <w:tc>
          <w:tcPr>
            <w:tcW w:w="22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1,261,953</w:t>
            </w:r>
          </w:p>
        </w:tc>
      </w:tr>
    </w:tbl>
    <w:p>
      <w:pPr>
        <w:spacing w:after="0" w:line="57"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i w:val="1"/>
          <w:iCs w:val="1"/>
          <w:color w:val="auto"/>
        </w:rPr>
        <w:t>The amounts deducted or added in calculating the total average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56515</wp:posOffset>
            </wp:positionV>
            <wp:extent cx="6223635" cy="21170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23635" cy="2117090"/>
                    </a:xfrm>
                    <a:prstGeom prst="rect">
                      <a:avLst/>
                    </a:prstGeom>
                    <a:noFill/>
                  </pic:spPr>
                </pic:pic>
              </a:graphicData>
            </a:graphic>
          </wp:anchor>
        </w:drawing>
      </w:r>
    </w:p>
    <w:p>
      <w:pPr>
        <w:spacing w:after="0" w:line="69" w:lineRule="exact"/>
        <w:rPr>
          <w:sz w:val="20"/>
          <w:szCs w:val="20"/>
          <w:color w:val="auto"/>
        </w:rPr>
      </w:pPr>
    </w:p>
    <w:tbl>
      <w:tblPr>
        <w:tblLayout w:type="fixed"/>
        <w:tblInd w:w="660" w:type="dxa"/>
        <w:tblCellMar>
          <w:top w:w="0" w:type="dxa"/>
          <w:left w:w="0" w:type="dxa"/>
          <w:bottom w:w="0" w:type="dxa"/>
          <w:right w:w="0" w:type="dxa"/>
        </w:tblCellMar>
      </w:tblPr>
      <w:tr>
        <w:trPr>
          <w:trHeight w:val="266"/>
        </w:trPr>
        <w:tc>
          <w:tcPr>
            <w:tcW w:w="1020" w:type="dxa"/>
            <w:vAlign w:val="bottom"/>
            <w:shd w:val="clear" w:color="auto" w:fill="0063A6"/>
          </w:tcPr>
          <w:p>
            <w:pPr>
              <w:spacing w:after="0"/>
              <w:rPr>
                <w:sz w:val="23"/>
                <w:szCs w:val="23"/>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(b)</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(d)</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w:t>
            </w:r>
          </w:p>
        </w:tc>
        <w:tc>
          <w:tcPr>
            <w:tcW w:w="1180" w:type="dxa"/>
            <w:vAlign w:val="bottom"/>
            <w:shd w:val="clear" w:color="auto" w:fill="0063A6"/>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1020" w:type="dxa"/>
            <w:vAlign w:val="bottom"/>
            <w:shd w:val="clear" w:color="auto" w:fill="0063A6"/>
          </w:tcPr>
          <w:p>
            <w:pPr>
              <w:spacing w:after="0"/>
              <w:rPr>
                <w:sz w:val="24"/>
                <w:szCs w:val="24"/>
                <w:color w:val="auto"/>
              </w:rPr>
            </w:pPr>
          </w:p>
        </w:tc>
        <w:tc>
          <w:tcPr>
            <w:tcW w:w="1080" w:type="dxa"/>
            <w:vAlign w:val="bottom"/>
            <w:shd w:val="clear" w:color="auto" w:fill="0063A6"/>
          </w:tcPr>
          <w:p>
            <w:pPr>
              <w:spacing w:after="0"/>
              <w:rPr>
                <w:sz w:val="24"/>
                <w:szCs w:val="24"/>
                <w:color w:val="auto"/>
              </w:rPr>
            </w:pPr>
          </w:p>
        </w:tc>
        <w:tc>
          <w:tcPr>
            <w:tcW w:w="1180" w:type="dxa"/>
            <w:vAlign w:val="bottom"/>
            <w:shd w:val="clear" w:color="auto" w:fill="0063A6"/>
          </w:tcPr>
          <w:p>
            <w:pPr>
              <w:spacing w:after="0"/>
              <w:rPr>
                <w:sz w:val="24"/>
                <w:szCs w:val="24"/>
                <w:color w:val="auto"/>
              </w:rPr>
            </w:pPr>
          </w:p>
        </w:tc>
        <w:tc>
          <w:tcPr>
            <w:tcW w:w="12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Fair</w:t>
            </w:r>
          </w:p>
        </w:tc>
        <w:tc>
          <w:tcPr>
            <w:tcW w:w="14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Value of</w:t>
            </w:r>
          </w:p>
        </w:tc>
        <w:tc>
          <w:tcPr>
            <w:tcW w:w="118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shd w:val="clear" w:color="auto" w:fill="0063A6"/>
          </w:tcPr>
          <w:p>
            <w:pPr>
              <w:spacing w:after="0"/>
              <w:rPr>
                <w:sz w:val="12"/>
                <w:szCs w:val="12"/>
                <w:color w:val="auto"/>
              </w:rPr>
            </w:pPr>
          </w:p>
        </w:tc>
        <w:tc>
          <w:tcPr>
            <w:tcW w:w="1180" w:type="dxa"/>
            <w:vAlign w:val="bottom"/>
            <w:shd w:val="clear" w:color="auto" w:fill="0063A6"/>
          </w:tcPr>
          <w:p>
            <w:pPr>
              <w:spacing w:after="0"/>
              <w:rPr>
                <w:sz w:val="12"/>
                <w:szCs w:val="12"/>
                <w:color w:val="auto"/>
              </w:rPr>
            </w:pPr>
          </w:p>
        </w:tc>
        <w:tc>
          <w:tcPr>
            <w:tcW w:w="1280" w:type="dxa"/>
            <w:vAlign w:val="bottom"/>
            <w:vMerge w:val="continue"/>
            <w:shd w:val="clear" w:color="auto" w:fill="0063A6"/>
          </w:tcPr>
          <w:p>
            <w:pPr>
              <w:spacing w:after="0"/>
              <w:rPr>
                <w:sz w:val="12"/>
                <w:szCs w:val="12"/>
                <w:color w:val="auto"/>
              </w:rPr>
            </w:pP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Average</w:t>
            </w:r>
          </w:p>
        </w:tc>
        <w:tc>
          <w:tcPr>
            <w:tcW w:w="1360" w:type="dxa"/>
            <w:vAlign w:val="bottom"/>
            <w:vMerge w:val="continue"/>
            <w:shd w:val="clear" w:color="auto" w:fill="0063A6"/>
          </w:tcPr>
          <w:p>
            <w:pPr>
              <w:spacing w:after="0"/>
              <w:rPr>
                <w:sz w:val="12"/>
                <w:szCs w:val="12"/>
                <w:color w:val="auto"/>
              </w:rPr>
            </w:pPr>
          </w:p>
        </w:tc>
        <w:tc>
          <w:tcPr>
            <w:tcW w:w="1480" w:type="dxa"/>
            <w:vAlign w:val="bottom"/>
            <w:vMerge w:val="continue"/>
            <w:shd w:val="clear" w:color="auto" w:fill="0063A6"/>
          </w:tcPr>
          <w:p>
            <w:pPr>
              <w:spacing w:after="0"/>
              <w:rPr>
                <w:sz w:val="12"/>
                <w:szCs w:val="12"/>
                <w:color w:val="auto"/>
              </w:rPr>
            </w:pPr>
          </w:p>
        </w:tc>
        <w:tc>
          <w:tcPr>
            <w:tcW w:w="118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at the End</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Dividends or</w:t>
            </w:r>
          </w:p>
        </w:tc>
        <w:tc>
          <w:tcPr>
            <w:tcW w:w="118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shd w:val="clear" w:color="auto" w:fill="0063A6"/>
          </w:tcPr>
          <w:p>
            <w:pPr>
              <w:spacing w:after="0"/>
              <w:rPr>
                <w:sz w:val="12"/>
                <w:szCs w:val="12"/>
                <w:color w:val="auto"/>
              </w:rPr>
            </w:pP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Average</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as of Vesting</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the Prior Year</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other Earnings</w:t>
            </w:r>
          </w:p>
        </w:tc>
        <w:tc>
          <w:tcPr>
            <w:tcW w:w="118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Date of</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Equity</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Paid on Stock or</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vMerge w:val="continue"/>
            <w:shd w:val="clear" w:color="auto" w:fill="0063A6"/>
          </w:tcPr>
          <w:p>
            <w:pPr>
              <w:spacing w:after="0"/>
              <w:rPr>
                <w:sz w:val="12"/>
                <w:szCs w:val="12"/>
                <w:color w:val="auto"/>
              </w:rPr>
            </w:pP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 Awards</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that</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Option Awards</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End</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Outstanding</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in</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Failed to Meet</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not Otherwise</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49"/>
        </w:trPr>
        <w:tc>
          <w:tcPr>
            <w:tcW w:w="1020" w:type="dxa"/>
            <w:vAlign w:val="bottom"/>
            <w:shd w:val="clear" w:color="auto" w:fill="0063A6"/>
          </w:tcPr>
          <w:p>
            <w:pPr>
              <w:spacing w:after="0"/>
              <w:rPr>
                <w:sz w:val="12"/>
                <w:szCs w:val="12"/>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Unvested</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Vested</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Years</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Vesting</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Reflected in Fair</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w:t>
            </w: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 the</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that Vested in</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Conditions in</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or Total</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Adjustments</w:t>
            </w:r>
          </w:p>
        </w:tc>
        <w:tc>
          <w:tcPr>
            <w:tcW w:w="0" w:type="dxa"/>
            <w:vAlign w:val="bottom"/>
          </w:tcPr>
          <w:p>
            <w:pPr>
              <w:spacing w:after="0"/>
              <w:rPr>
                <w:sz w:val="1"/>
                <w:szCs w:val="1"/>
                <w:color w:val="auto"/>
              </w:rPr>
            </w:pPr>
          </w:p>
        </w:tc>
      </w:tr>
      <w:tr>
        <w:trPr>
          <w:trHeight w:val="238"/>
        </w:trPr>
        <w:tc>
          <w:tcPr>
            <w:tcW w:w="10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0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1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2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Year ($)</w:t>
            </w:r>
          </w:p>
        </w:tc>
        <w:tc>
          <w:tcPr>
            <w:tcW w:w="12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 ($)</w:t>
            </w:r>
          </w:p>
        </w:tc>
        <w:tc>
          <w:tcPr>
            <w:tcW w:w="1180" w:type="dxa"/>
            <w:vAlign w:val="bottom"/>
            <w:tcBorders>
              <w:bottom w:val="single" w:sz="8" w:color="0063A6"/>
            </w:tcBorders>
            <w:shd w:val="clear" w:color="auto" w:fill="0063A6"/>
          </w:tcPr>
          <w:p>
            <w:pPr>
              <w:jc w:val="center"/>
              <w:spacing w:after="0" w:line="203" w:lineRule="exact"/>
              <w:rPr>
                <w:sz w:val="20"/>
                <w:szCs w:val="20"/>
                <w:color w:val="auto"/>
              </w:rPr>
            </w:pPr>
            <w:r>
              <w:rPr>
                <w:rFonts w:ascii="Arial" w:cs="Arial" w:eastAsia="Arial" w:hAnsi="Arial"/>
                <w:sz w:val="23"/>
                <w:szCs w:val="23"/>
                <w:b w:val="1"/>
                <w:bCs w:val="1"/>
                <w:color w:val="FFFFFF"/>
                <w:w w:val="98"/>
                <w:vertAlign w:val="subscript"/>
              </w:rPr>
              <w:t>($)</w:t>
            </w:r>
            <w:r>
              <w:rPr>
                <w:rFonts w:ascii="Arial" w:cs="Arial" w:eastAsia="Arial" w:hAnsi="Arial"/>
                <w:sz w:val="8"/>
                <w:szCs w:val="8"/>
                <w:b w:val="1"/>
                <w:bCs w:val="1"/>
                <w:color w:val="FFFFFF"/>
                <w:w w:val="98"/>
              </w:rPr>
              <w:t>(a)</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6,809,226</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-107,298</w:t>
            </w:r>
          </w:p>
        </w:tc>
        <w:tc>
          <w:tcPr>
            <w:tcW w:w="1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1,918,157</w:t>
            </w: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9,520</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8,629,604</w:t>
            </w:r>
          </w:p>
        </w:tc>
        <w:tc>
          <w:tcPr>
            <w:tcW w:w="0" w:type="dxa"/>
            <w:vAlign w:val="bottom"/>
          </w:tcPr>
          <w:p>
            <w:pPr>
              <w:spacing w:after="0"/>
              <w:rPr>
                <w:sz w:val="1"/>
                <w:szCs w:val="1"/>
                <w:color w:val="auto"/>
              </w:rPr>
            </w:pPr>
          </w:p>
        </w:tc>
      </w:tr>
      <w:tr>
        <w:trPr>
          <w:trHeight w:val="221"/>
        </w:trPr>
        <w:tc>
          <w:tcPr>
            <w:tcW w:w="1020" w:type="dxa"/>
            <w:vAlign w:val="bottom"/>
          </w:tcPr>
          <w:p>
            <w:pPr>
              <w:ind w:left="60"/>
              <w:spacing w:after="0"/>
              <w:rPr>
                <w:sz w:val="20"/>
                <w:szCs w:val="20"/>
                <w:color w:val="auto"/>
              </w:rPr>
            </w:pPr>
            <w:r>
              <w:rPr>
                <w:rFonts w:ascii="Arial" w:cs="Arial" w:eastAsia="Arial" w:hAnsi="Arial"/>
                <w:sz w:val="14"/>
                <w:szCs w:val="14"/>
                <w:color w:val="auto"/>
              </w:rPr>
              <w:t>2024</w:t>
            </w:r>
          </w:p>
        </w:tc>
        <w:tc>
          <w:tcPr>
            <w:tcW w:w="1080" w:type="dxa"/>
            <w:vAlign w:val="bottom"/>
          </w:tcPr>
          <w:p>
            <w:pPr>
              <w:jc w:val="center"/>
              <w:spacing w:after="0"/>
              <w:rPr>
                <w:sz w:val="20"/>
                <w:szCs w:val="20"/>
                <w:color w:val="auto"/>
              </w:rPr>
            </w:pPr>
            <w:r>
              <w:rPr>
                <w:rFonts w:ascii="Arial" w:cs="Arial" w:eastAsia="Arial" w:hAnsi="Arial"/>
                <w:sz w:val="14"/>
                <w:szCs w:val="14"/>
                <w:color w:val="auto"/>
              </w:rPr>
              <w:t>5,703,394</w:t>
            </w:r>
          </w:p>
        </w:tc>
        <w:tc>
          <w:tcPr>
            <w:tcW w:w="1180" w:type="dxa"/>
            <w:vAlign w:val="bottom"/>
          </w:tcPr>
          <w:p>
            <w:pPr>
              <w:jc w:val="center"/>
              <w:spacing w:after="0"/>
              <w:rPr>
                <w:sz w:val="20"/>
                <w:szCs w:val="20"/>
                <w:color w:val="auto"/>
              </w:rPr>
            </w:pPr>
            <w:r>
              <w:rPr>
                <w:rFonts w:ascii="Arial" w:cs="Arial" w:eastAsia="Arial" w:hAnsi="Arial"/>
                <w:sz w:val="14"/>
                <w:szCs w:val="14"/>
                <w:color w:val="auto"/>
              </w:rPr>
              <w:t>62,853</w:t>
            </w:r>
          </w:p>
        </w:tc>
        <w:tc>
          <w:tcPr>
            <w:tcW w:w="1280" w:type="dxa"/>
            <w:vAlign w:val="bottom"/>
          </w:tcPr>
          <w:p>
            <w:pPr>
              <w:jc w:val="center"/>
              <w:spacing w:after="0"/>
              <w:rPr>
                <w:sz w:val="20"/>
                <w:szCs w:val="20"/>
                <w:color w:val="auto"/>
              </w:rPr>
            </w:pPr>
            <w:r>
              <w:rPr>
                <w:rFonts w:ascii="Arial" w:cs="Arial" w:eastAsia="Arial" w:hAnsi="Arial"/>
                <w:sz w:val="14"/>
                <w:szCs w:val="14"/>
                <w:color w:val="auto"/>
              </w:rPr>
              <w:t>1,382,982</w:t>
            </w:r>
          </w:p>
        </w:tc>
        <w:tc>
          <w:tcPr>
            <w:tcW w:w="1220" w:type="dxa"/>
            <w:vAlign w:val="bottom"/>
          </w:tcPr>
          <w:p>
            <w:pPr>
              <w:jc w:val="center"/>
              <w:spacing w:after="0"/>
              <w:rPr>
                <w:sz w:val="20"/>
                <w:szCs w:val="20"/>
                <w:color w:val="auto"/>
              </w:rPr>
            </w:pPr>
            <w:r>
              <w:rPr>
                <w:rFonts w:ascii="Arial" w:cs="Arial" w:eastAsia="Arial" w:hAnsi="Arial"/>
                <w:sz w:val="14"/>
                <w:szCs w:val="14"/>
                <w:color w:val="auto"/>
              </w:rPr>
              <w:t>-267,053</w:t>
            </w:r>
          </w:p>
        </w:tc>
        <w:tc>
          <w:tcPr>
            <w:tcW w:w="1360" w:type="dxa"/>
            <w:vAlign w:val="bottom"/>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6,882,177</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2,271,117</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586,030</w:t>
            </w:r>
          </w:p>
        </w:tc>
        <w:tc>
          <w:tcPr>
            <w:tcW w:w="1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460,877</w:t>
            </w: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299,187</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-2,917,528</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699,685</w:t>
            </w:r>
          </w:p>
        </w:tc>
        <w:tc>
          <w:tcPr>
            <w:tcW w:w="0" w:type="dxa"/>
            <w:vAlign w:val="bottom"/>
          </w:tcPr>
          <w:p>
            <w:pPr>
              <w:spacing w:after="0"/>
              <w:rPr>
                <w:sz w:val="1"/>
                <w:szCs w:val="1"/>
                <w:color w:val="auto"/>
              </w:rPr>
            </w:pPr>
          </w:p>
        </w:tc>
      </w:tr>
      <w:tr>
        <w:trPr>
          <w:trHeight w:val="225"/>
        </w:trPr>
        <w:tc>
          <w:tcPr>
            <w:tcW w:w="1020" w:type="dxa"/>
            <w:vAlign w:val="bottom"/>
          </w:tcPr>
          <w:p>
            <w:pPr>
              <w:ind w:left="60"/>
              <w:spacing w:after="0"/>
              <w:rPr>
                <w:sz w:val="20"/>
                <w:szCs w:val="20"/>
                <w:color w:val="auto"/>
              </w:rPr>
            </w:pPr>
            <w:r>
              <w:rPr>
                <w:rFonts w:ascii="Arial" w:cs="Arial" w:eastAsia="Arial" w:hAnsi="Arial"/>
                <w:sz w:val="14"/>
                <w:szCs w:val="14"/>
                <w:color w:val="auto"/>
              </w:rPr>
              <w:t>2022</w:t>
            </w:r>
          </w:p>
        </w:tc>
        <w:tc>
          <w:tcPr>
            <w:tcW w:w="1080" w:type="dxa"/>
            <w:vAlign w:val="bottom"/>
          </w:tcPr>
          <w:p>
            <w:pPr>
              <w:jc w:val="center"/>
              <w:spacing w:after="0"/>
              <w:rPr>
                <w:sz w:val="20"/>
                <w:szCs w:val="20"/>
                <w:color w:val="auto"/>
              </w:rPr>
            </w:pPr>
            <w:r>
              <w:rPr>
                <w:rFonts w:ascii="Arial" w:cs="Arial" w:eastAsia="Arial" w:hAnsi="Arial"/>
                <w:sz w:val="14"/>
                <w:szCs w:val="14"/>
                <w:color w:val="auto"/>
              </w:rPr>
              <w:t>2,038,975</w:t>
            </w:r>
          </w:p>
        </w:tc>
        <w:tc>
          <w:tcPr>
            <w:tcW w:w="1180" w:type="dxa"/>
            <w:vAlign w:val="bottom"/>
          </w:tcPr>
          <w:p>
            <w:pPr>
              <w:jc w:val="center"/>
              <w:spacing w:after="0"/>
              <w:rPr>
                <w:sz w:val="20"/>
                <w:szCs w:val="20"/>
                <w:color w:val="auto"/>
              </w:rPr>
            </w:pPr>
            <w:r>
              <w:rPr>
                <w:rFonts w:ascii="Arial" w:cs="Arial" w:eastAsia="Arial" w:hAnsi="Arial"/>
                <w:sz w:val="14"/>
                <w:szCs w:val="14"/>
                <w:color w:val="auto"/>
              </w:rPr>
              <w:t>-2,637,402</w:t>
            </w:r>
          </w:p>
        </w:tc>
        <w:tc>
          <w:tcPr>
            <w:tcW w:w="1280" w:type="dxa"/>
            <w:vAlign w:val="bottom"/>
          </w:tcPr>
          <w:p>
            <w:pPr>
              <w:jc w:val="center"/>
              <w:spacing w:after="0"/>
              <w:rPr>
                <w:sz w:val="20"/>
                <w:szCs w:val="20"/>
                <w:color w:val="auto"/>
              </w:rPr>
            </w:pPr>
            <w:r>
              <w:rPr>
                <w:rFonts w:ascii="Arial" w:cs="Arial" w:eastAsia="Arial" w:hAnsi="Arial"/>
                <w:sz w:val="14"/>
                <w:szCs w:val="14"/>
                <w:color w:val="auto"/>
              </w:rPr>
              <w:t>479,292</w:t>
            </w:r>
          </w:p>
        </w:tc>
        <w:tc>
          <w:tcPr>
            <w:tcW w:w="1220" w:type="dxa"/>
            <w:vAlign w:val="bottom"/>
          </w:tcPr>
          <w:p>
            <w:pPr>
              <w:jc w:val="center"/>
              <w:spacing w:after="0"/>
              <w:rPr>
                <w:sz w:val="20"/>
                <w:szCs w:val="20"/>
                <w:color w:val="auto"/>
              </w:rPr>
            </w:pPr>
            <w:r>
              <w:rPr>
                <w:rFonts w:ascii="Arial" w:cs="Arial" w:eastAsia="Arial" w:hAnsi="Arial"/>
                <w:sz w:val="14"/>
                <w:szCs w:val="14"/>
                <w:color w:val="auto"/>
              </w:rPr>
              <w:t>-218,688</w:t>
            </w:r>
          </w:p>
        </w:tc>
        <w:tc>
          <w:tcPr>
            <w:tcW w:w="1360" w:type="dxa"/>
            <w:vAlign w:val="bottom"/>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-337,824</w:t>
            </w:r>
          </w:p>
        </w:tc>
        <w:tc>
          <w:tcPr>
            <w:tcW w:w="0" w:type="dxa"/>
            <w:vAlign w:val="bottom"/>
          </w:tcPr>
          <w:p>
            <w:pPr>
              <w:spacing w:after="0"/>
              <w:rPr>
                <w:sz w:val="1"/>
                <w:szCs w:val="1"/>
                <w:color w:val="auto"/>
              </w:rPr>
            </w:pPr>
          </w:p>
        </w:tc>
      </w:tr>
      <w:tr>
        <w:trPr>
          <w:trHeight w:val="220"/>
        </w:trPr>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1,455,584</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1,400,515</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385,547</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648,906</w:t>
            </w:r>
          </w:p>
        </w:tc>
        <w:tc>
          <w:tcPr>
            <w:tcW w:w="13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3,514,724</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375,828</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300" w:hanging="328"/>
        <w:spacing w:after="0" w:line="214" w:lineRule="auto"/>
        <w:tabs>
          <w:tab w:leader="none" w:pos="653"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The total average equity award adjustment is calculated by adding the values in columns (a), (b), (c), (d), and (f) less (e). Due to rounding, the total average equity award may not equal the total obtained by adding and subtracting the applicable columns.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333" w:lineRule="exact"/>
        <w:rPr>
          <w:sz w:val="20"/>
          <w:szCs w:val="20"/>
          <w:color w:val="auto"/>
        </w:rPr>
      </w:pPr>
    </w:p>
    <w:p>
      <w:pPr>
        <w:ind w:left="340" w:right="380" w:hanging="332"/>
        <w:spacing w:after="0" w:line="262" w:lineRule="auto"/>
        <w:tabs>
          <w:tab w:leader="none" w:pos="234" w:val="left"/>
        </w:tabs>
        <w:numPr>
          <w:ilvl w:val="0"/>
          <w:numId w:val="88"/>
        </w:numPr>
        <w:rPr>
          <w:rFonts w:ascii="Arial" w:cs="Arial" w:eastAsia="Arial" w:hAnsi="Arial"/>
          <w:sz w:val="9"/>
          <w:szCs w:val="9"/>
          <w:color w:val="auto"/>
        </w:rPr>
      </w:pPr>
      <w:r>
        <w:rPr>
          <w:rFonts w:ascii="Arial" w:cs="Arial" w:eastAsia="Arial" w:hAnsi="Arial"/>
          <w:sz w:val="14"/>
          <w:szCs w:val="14"/>
          <w:color w:val="auto"/>
        </w:rPr>
        <w:t>Cumulative total shareholder return (“</w:t>
      </w:r>
      <w:r>
        <w:rPr>
          <w:rFonts w:ascii="Arial" w:cs="Arial" w:eastAsia="Arial" w:hAnsi="Arial"/>
          <w:sz w:val="14"/>
          <w:szCs w:val="14"/>
          <w:b w:val="1"/>
          <w:bCs w:val="1"/>
          <w:i w:val="1"/>
          <w:iCs w:val="1"/>
          <w:color w:val="auto"/>
        </w:rPr>
        <w:t>TSR</w:t>
      </w:r>
      <w:r>
        <w:rPr>
          <w:rFonts w:ascii="Arial" w:cs="Arial" w:eastAsia="Arial" w:hAnsi="Arial"/>
          <w:sz w:val="14"/>
          <w:szCs w:val="14"/>
          <w:color w:val="auto"/>
        </w:rPr>
        <w:t>”) is calculated as the difference between the company’s share price at the end and the beginning of the measurement period divided by the company’s share price at the beginning of the measurement period.</w:t>
      </w:r>
    </w:p>
    <w:p>
      <w:pPr>
        <w:ind w:left="220" w:hanging="212"/>
        <w:spacing w:after="0" w:line="206" w:lineRule="auto"/>
        <w:tabs>
          <w:tab w:leader="none" w:pos="22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The peer group used for this purpose is the following published industry index: Nasdaq Computer Index.</w:t>
      </w:r>
    </w:p>
    <w:p>
      <w:pPr>
        <w:ind w:left="220" w:hanging="212"/>
        <w:spacing w:after="0" w:line="192" w:lineRule="auto"/>
        <w:tabs>
          <w:tab w:leader="none" w:pos="22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ind w:left="340" w:right="60" w:hanging="332"/>
        <w:spacing w:after="0" w:line="213" w:lineRule="auto"/>
        <w:tabs>
          <w:tab w:leader="none" w:pos="234"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Annual revenue was calculated to exclude the impact of foreign exchange from our annual revenue reflected in our audited financial statements for the applicable fiscal year by applying the prior year weighted average exchange rate to the applicable period’s results.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Financial Performance Measures</w:t>
      </w:r>
    </w:p>
    <w:p>
      <w:pPr>
        <w:spacing w:after="0" w:line="167"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As described in greater detail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the company’s executive compensation program reflects a variable pay-for-performance philosophy. The measures that the company uses in its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(not listed in any order of importance):</w:t>
      </w:r>
    </w:p>
    <w:p>
      <w:pPr>
        <w:spacing w:after="0" w:line="128"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6"/>
          <w:szCs w:val="16"/>
          <w:color w:val="0063A6"/>
        </w:rPr>
      </w:pPr>
      <w:r>
        <w:rPr>
          <w:rFonts w:ascii="Arial" w:cs="Arial" w:eastAsia="Arial" w:hAnsi="Arial"/>
          <w:sz w:val="16"/>
          <w:szCs w:val="16"/>
          <w:color w:val="auto"/>
        </w:rPr>
        <w:t>Revenue</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89"/>
        </w:numPr>
        <w:rPr>
          <w:rFonts w:ascii="Arial" w:cs="Arial" w:eastAsia="Arial" w:hAnsi="Arial"/>
          <w:sz w:val="16"/>
          <w:szCs w:val="16"/>
          <w:color w:val="0063A6"/>
        </w:rPr>
      </w:pPr>
      <w:r>
        <w:rPr>
          <w:rFonts w:ascii="Arial" w:cs="Arial" w:eastAsia="Arial" w:hAnsi="Arial"/>
          <w:sz w:val="16"/>
          <w:szCs w:val="16"/>
          <w:color w:val="auto"/>
        </w:rPr>
        <w:t>Non-GAAP operating margin</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89"/>
        </w:numPr>
        <w:rPr>
          <w:rFonts w:ascii="Arial" w:cs="Arial" w:eastAsia="Arial" w:hAnsi="Arial"/>
          <w:sz w:val="16"/>
          <w:szCs w:val="16"/>
          <w:color w:val="0063A6"/>
        </w:rPr>
      </w:pPr>
      <w:r>
        <w:rPr>
          <w:rFonts w:ascii="Arial" w:cs="Arial" w:eastAsia="Arial" w:hAnsi="Arial"/>
          <w:sz w:val="16"/>
          <w:szCs w:val="16"/>
          <w:color w:val="auto"/>
        </w:rPr>
        <w:t>Stock price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Analysis of the Information Presented in the Pay Versus Performance Table</w:t>
      </w:r>
    </w:p>
    <w:p>
      <w:pPr>
        <w:spacing w:after="0" w:line="16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As described in more detail in the section titled “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the company’s executive compensation program reflects a variable pay-for-performance philosophy. While the company utilizes several performance measures to align executive compensation with company performance, not all of those company measures are presented in the “</w:t>
      </w:r>
      <w:r>
        <w:rPr>
          <w:rFonts w:ascii="Arial" w:cs="Arial" w:eastAsia="Arial" w:hAnsi="Arial"/>
          <w:sz w:val="16"/>
          <w:szCs w:val="16"/>
          <w:i w:val="1"/>
          <w:iCs w:val="1"/>
          <w:color w:val="auto"/>
        </w:rPr>
        <w:t>Pay Versus Performance</w:t>
      </w:r>
      <w:r>
        <w:rPr>
          <w:rFonts w:ascii="Arial" w:cs="Arial" w:eastAsia="Arial" w:hAnsi="Arial"/>
          <w:sz w:val="16"/>
          <w:szCs w:val="16"/>
          <w:color w:val="auto"/>
        </w:rPr>
        <w:t>”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w:t>
      </w:r>
      <w:r>
        <w:rPr>
          <w:rFonts w:ascii="Arial" w:cs="Arial" w:eastAsia="Arial" w:hAnsi="Arial"/>
          <w:sz w:val="16"/>
          <w:szCs w:val="16"/>
          <w:i w:val="1"/>
          <w:iCs w:val="1"/>
          <w:color w:val="auto"/>
        </w:rPr>
        <w:t>Pay Versus Performance</w:t>
      </w:r>
      <w:r>
        <w:rPr>
          <w:rFonts w:ascii="Arial" w:cs="Arial" w:eastAsia="Arial" w:hAnsi="Arial"/>
          <w:sz w:val="16"/>
          <w:szCs w:val="16"/>
          <w:color w:val="auto"/>
        </w:rPr>
        <w:t>” table.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Cumulative TSR</w:t>
      </w:r>
    </w:p>
    <w:p>
      <w:pPr>
        <w:spacing w:after="0" w:line="15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As demonstrated by the following graph, the amount of compensation actually paid to Mr. Houston decreased between 2021 and 2022, increased between 2022 and 2023, and then decreased again in 2024 and 2025. The average amount of compensation actually paid to the company’s NEOs as a group (excluding Mr. Houston) decreased between 2021 and 2022 and increased between 2022 and 2025. During that five-year period, total shareholder return has been positive. The variance in compensation actually paid over the five-year period is because a significant portion of compensation actually paid is comprised of equity awards, and in the case of Mr. Houston, vesting of equity awards is contingent upon achieving stock price targets as described in more detail in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133350</wp:posOffset>
            </wp:positionV>
            <wp:extent cx="6403340" cy="23145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033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 w:hanging="554"/>
        <w:spacing w:after="0"/>
        <w:tabs>
          <w:tab w:leader="none" w:pos="580"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Net Income</w:t>
      </w:r>
    </w:p>
    <w:p>
      <w:pPr>
        <w:spacing w:after="0" w:line="16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demonstrated by the following graph, the amount of compensation actually paid to Mr. Houston decreased between 2021 and 2022, increased between 2022 and 2023, and then decreased again in 2024 and 2025. Meanwhile, the company's net income stabilized at a strong position over the same period. The average amount of compensation actually paid to the company’s NEOs as a group (excluding Mr. Houston) decreased between 2021 and 2022 and increased between 2022 and 2025, while the company's net income stabilized at a strong position over the same period. We do not use net income as a performance measure in our short or long-term incentive programs and as further discussed in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w:t>
      </w:r>
      <w:r>
        <w:rPr>
          <w:rFonts w:ascii="Arial" w:cs="Arial" w:eastAsia="Arial" w:hAnsi="Arial"/>
          <w:sz w:val="16"/>
          <w:szCs w:val="16"/>
          <w:color w:val="auto"/>
        </w:rPr>
        <w:t>”, a majority of the total compensation for the company’s NEOs is in the form of equity and therefore tied to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133350</wp:posOffset>
            </wp:positionV>
            <wp:extent cx="6403340" cy="22199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033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Revenue</w:t>
      </w:r>
    </w:p>
    <w:p>
      <w:pPr>
        <w:spacing w:after="0" w:line="15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As demonstrated by the following graph, the amount of compensation actually paid to Mr. Houston decreased between 2021 and 2022, increased between 2022 and 2023, and decreased again in 2024 and 2025. Meanwhile, the company's revenue increased between 2021 and 2024, before declining slightly in 2025. The average amount of compensation actually paid to the company’s NEOs as a group (excluding Mr. Houston) decreased between 2021 and 2022 and increased between 2022 and 2025. Over the same period, the company’s revenue increased from 2021 through 2024, followed by a slight decline in 2025. The company has determined that revenue is the financial performance measure that, in the company’s assessment, represents the most important financial measure used by the company to link compensation actually paid to the company’s NEOs, for the most recently completed fiscal year, to company performance. As further discussed above in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revenue represents two-thirds of the corporate multiplier of the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136525</wp:posOffset>
            </wp:positionV>
            <wp:extent cx="6403340" cy="2057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033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Cumulative TSR of the Company and Cumulative TSR of the Peer Group</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demonstrated by the following graph, the company’s cumulative TSR over the five-year period presented in the table grew by 25%, while the cumulative TSR of the peer group presented for this purpose, the Nasdaq Computer Index, was 158% over the five years presented in the graph. For more information regarding the company’s performance and the companies that the talent and compensation committee considers when determining compensation, refer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147955</wp:posOffset>
            </wp:positionV>
            <wp:extent cx="2957195" cy="2468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571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0" w:hanging="554"/>
        <w:spacing w:after="0"/>
        <w:tabs>
          <w:tab w:leader="none" w:pos="580" w:val="left"/>
        </w:tabs>
        <w:numPr>
          <w:ilvl w:val="0"/>
          <w:numId w:val="9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EQUITY COMPENSATION PLAN INFORMATION</w:t>
      </w:r>
    </w:p>
    <w:p>
      <w:pPr>
        <w:spacing w:after="0" w:line="200" w:lineRule="exact"/>
        <w:rPr>
          <w:sz w:val="20"/>
          <w:szCs w:val="20"/>
          <w:color w:val="auto"/>
        </w:rPr>
      </w:pPr>
    </w:p>
    <w:p>
      <w:pPr>
        <w:spacing w:after="0" w:line="26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table summarizes our equity compensation plan information as of December 31, 2025.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nor does it include shares underlying the RSAs granted to Mr. Houston pursuant to the Co-Founder Grant. As of December 31, 2025, 3,672 shares of Class A common stock were issuable upon exercise of outstanding options assumed in connection with acquisitions. The weighted average exercise price of such outstanding options was $5.70 per share. No additional equity awards may be granted under any assumed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15175" cy="9944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15175" cy="99441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shd w:val="clear" w:color="auto" w:fill="0063A6"/>
          </w:tcPr>
          <w:p>
            <w:pPr>
              <w:spacing w:after="0"/>
              <w:rPr>
                <w:sz w:val="20"/>
                <w:szCs w:val="20"/>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2220" w:type="dxa"/>
            <w:vAlign w:val="bottom"/>
            <w:shd w:val="clear" w:color="auto" w:fill="0063A6"/>
          </w:tcPr>
          <w:p>
            <w:pPr>
              <w:spacing w:after="0"/>
              <w:rPr>
                <w:sz w:val="20"/>
                <w:szCs w:val="20"/>
                <w:color w:val="auto"/>
              </w:rPr>
            </w:pP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Securities Remaining</w:t>
            </w:r>
          </w:p>
        </w:tc>
      </w:tr>
      <w:tr>
        <w:trPr>
          <w:trHeight w:val="162"/>
        </w:trPr>
        <w:tc>
          <w:tcPr>
            <w:tcW w:w="3820" w:type="dxa"/>
            <w:vAlign w:val="bottom"/>
            <w:shd w:val="clear" w:color="auto" w:fill="0063A6"/>
          </w:tcPr>
          <w:p>
            <w:pPr>
              <w:spacing w:after="0"/>
              <w:rPr>
                <w:sz w:val="14"/>
                <w:szCs w:val="14"/>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Available for Future Issuance</w:t>
            </w:r>
          </w:p>
        </w:tc>
      </w:tr>
      <w:tr>
        <w:trPr>
          <w:trHeight w:val="162"/>
        </w:trPr>
        <w:tc>
          <w:tcPr>
            <w:tcW w:w="3820" w:type="dxa"/>
            <w:vAlign w:val="bottom"/>
            <w:shd w:val="clear" w:color="auto" w:fill="0063A6"/>
          </w:tcPr>
          <w:p>
            <w:pPr>
              <w:spacing w:after="0"/>
              <w:rPr>
                <w:sz w:val="14"/>
                <w:szCs w:val="14"/>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of</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 Equity Compensation</w:t>
            </w:r>
          </w:p>
        </w:tc>
      </w:tr>
      <w:tr>
        <w:trPr>
          <w:trHeight w:val="176"/>
        </w:trPr>
        <w:tc>
          <w:tcPr>
            <w:tcW w:w="3820" w:type="dxa"/>
            <w:vAlign w:val="bottom"/>
            <w:shd w:val="clear" w:color="auto" w:fill="0063A6"/>
          </w:tcPr>
          <w:p>
            <w:pPr>
              <w:spacing w:after="0"/>
              <w:rPr>
                <w:sz w:val="15"/>
                <w:szCs w:val="15"/>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Plans (Excluding Securities</w:t>
            </w:r>
          </w:p>
        </w:tc>
      </w:tr>
      <w:tr>
        <w:trPr>
          <w:trHeight w:val="196"/>
        </w:trPr>
        <w:tc>
          <w:tcPr>
            <w:tcW w:w="382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Plan Category</w:t>
            </w: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Reflected in the First Column)</w:t>
            </w:r>
          </w:p>
        </w:tc>
      </w:tr>
      <w:tr>
        <w:trPr>
          <w:trHeight w:val="56"/>
        </w:trPr>
        <w:tc>
          <w:tcPr>
            <w:tcW w:w="3820" w:type="dxa"/>
            <w:vAlign w:val="bottom"/>
            <w:shd w:val="clear" w:color="auto" w:fill="0063A6"/>
          </w:tcPr>
          <w:p>
            <w:pPr>
              <w:spacing w:after="0"/>
              <w:rPr>
                <w:sz w:val="4"/>
                <w:szCs w:val="4"/>
                <w:color w:val="auto"/>
              </w:rPr>
            </w:pPr>
          </w:p>
        </w:tc>
        <w:tc>
          <w:tcPr>
            <w:tcW w:w="2140" w:type="dxa"/>
            <w:vAlign w:val="bottom"/>
            <w:shd w:val="clear" w:color="auto" w:fill="0063A6"/>
          </w:tcPr>
          <w:p>
            <w:pPr>
              <w:spacing w:after="0"/>
              <w:rPr>
                <w:sz w:val="4"/>
                <w:szCs w:val="4"/>
                <w:color w:val="auto"/>
              </w:rPr>
            </w:pPr>
          </w:p>
        </w:tc>
        <w:tc>
          <w:tcPr>
            <w:tcW w:w="2220" w:type="dxa"/>
            <w:vAlign w:val="bottom"/>
            <w:shd w:val="clear" w:color="auto" w:fill="0063A6"/>
          </w:tcPr>
          <w:p>
            <w:pPr>
              <w:spacing w:after="0"/>
              <w:rPr>
                <w:sz w:val="4"/>
                <w:szCs w:val="4"/>
                <w:color w:val="auto"/>
              </w:rPr>
            </w:pPr>
          </w:p>
        </w:tc>
        <w:tc>
          <w:tcPr>
            <w:tcW w:w="3020" w:type="dxa"/>
            <w:vAlign w:val="bottom"/>
            <w:shd w:val="clear" w:color="auto" w:fill="0063A6"/>
          </w:tcPr>
          <w:p>
            <w:pPr>
              <w:spacing w:after="0"/>
              <w:rPr>
                <w:sz w:val="4"/>
                <w:szCs w:val="4"/>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shd w:val="clear" w:color="auto" w:fill="F2F2F2"/>
          </w:tcPr>
          <w:p>
            <w:pPr>
              <w:spacing w:after="0"/>
              <w:rPr>
                <w:sz w:val="22"/>
                <w:szCs w:val="22"/>
                <w:color w:val="auto"/>
              </w:rPr>
            </w:pPr>
          </w:p>
        </w:tc>
        <w:tc>
          <w:tcPr>
            <w:tcW w:w="3480" w:type="dxa"/>
            <w:vAlign w:val="bottom"/>
            <w:gridSpan w:val="3"/>
            <w:shd w:val="clear" w:color="auto" w:fill="F2F2F2"/>
          </w:tcPr>
          <w:p>
            <w:pPr>
              <w:spacing w:after="0"/>
              <w:rPr>
                <w:sz w:val="20"/>
                <w:szCs w:val="20"/>
                <w:color w:val="auto"/>
              </w:rPr>
            </w:pPr>
            <w:r>
              <w:rPr>
                <w:rFonts w:ascii="Arial" w:cs="Arial" w:eastAsia="Arial" w:hAnsi="Arial"/>
                <w:sz w:val="16"/>
                <w:szCs w:val="16"/>
                <w:color w:val="auto"/>
                <w:shd w:val="clear" w:color="auto" w:fill="F2F2F2"/>
              </w:rPr>
              <w:t>Equity compensation plans approved by security</w:t>
            </w:r>
          </w:p>
        </w:tc>
        <w:tc>
          <w:tcPr>
            <w:tcW w:w="188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1080" w:type="dxa"/>
            <w:vAlign w:val="bottom"/>
            <w:shd w:val="clear" w:color="auto" w:fill="F2F2F2"/>
          </w:tcPr>
          <w:p>
            <w:pPr>
              <w:spacing w:after="0"/>
              <w:rPr>
                <w:sz w:val="22"/>
                <w:szCs w:val="22"/>
                <w:color w:val="auto"/>
              </w:rPr>
            </w:pPr>
          </w:p>
        </w:tc>
        <w:tc>
          <w:tcPr>
            <w:tcW w:w="1080" w:type="dxa"/>
            <w:vAlign w:val="bottom"/>
            <w:shd w:val="clear" w:color="auto" w:fill="F2F2F2"/>
          </w:tcPr>
          <w:p>
            <w:pPr>
              <w:spacing w:after="0"/>
              <w:rPr>
                <w:sz w:val="22"/>
                <w:szCs w:val="22"/>
                <w:color w:val="auto"/>
              </w:rPr>
            </w:pPr>
          </w:p>
        </w:tc>
        <w:tc>
          <w:tcPr>
            <w:tcW w:w="1820" w:type="dxa"/>
            <w:vAlign w:val="bottom"/>
            <w:shd w:val="clear" w:color="auto" w:fill="F2F2F2"/>
          </w:tcPr>
          <w:p>
            <w:pPr>
              <w:spacing w:after="0"/>
              <w:rPr>
                <w:sz w:val="22"/>
                <w:szCs w:val="22"/>
                <w:color w:val="auto"/>
              </w:rPr>
            </w:pPr>
          </w:p>
        </w:tc>
        <w:tc>
          <w:tcPr>
            <w:tcW w:w="90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F2F2F2"/>
          </w:tcPr>
          <w:p>
            <w:pPr>
              <w:spacing w:after="0"/>
              <w:rPr>
                <w:sz w:val="12"/>
                <w:szCs w:val="12"/>
                <w:color w:val="auto"/>
              </w:rPr>
            </w:pPr>
          </w:p>
        </w:tc>
        <w:tc>
          <w:tcPr>
            <w:tcW w:w="540" w:type="dxa"/>
            <w:vAlign w:val="bottom"/>
            <w:vMerge w:val="restart"/>
            <w:shd w:val="clear" w:color="auto" w:fill="F2F2F2"/>
          </w:tcPr>
          <w:p>
            <w:pPr>
              <w:spacing w:after="0"/>
              <w:rPr>
                <w:sz w:val="20"/>
                <w:szCs w:val="20"/>
                <w:color w:val="auto"/>
              </w:rPr>
            </w:pPr>
            <w:r>
              <w:rPr>
                <w:rFonts w:ascii="Arial" w:cs="Arial" w:eastAsia="Arial" w:hAnsi="Arial"/>
                <w:sz w:val="16"/>
                <w:szCs w:val="16"/>
                <w:color w:val="auto"/>
                <w:w w:val="99"/>
                <w:shd w:val="clear" w:color="auto" w:fill="F2F2F2"/>
              </w:rPr>
              <w:t>holders</w:t>
            </w:r>
          </w:p>
        </w:tc>
        <w:tc>
          <w:tcPr>
            <w:tcW w:w="120" w:type="dxa"/>
            <w:vAlign w:val="bottom"/>
            <w:shd w:val="clear" w:color="auto" w:fill="F2F2F2"/>
          </w:tcPr>
          <w:p>
            <w:pPr>
              <w:jc w:val="right"/>
              <w:spacing w:after="0"/>
              <w:rPr>
                <w:sz w:val="20"/>
                <w:szCs w:val="20"/>
                <w:color w:val="auto"/>
              </w:rPr>
            </w:pPr>
            <w:r>
              <w:rPr>
                <w:rFonts w:ascii="Arial" w:cs="Arial" w:eastAsia="Arial" w:hAnsi="Arial"/>
                <w:sz w:val="11"/>
                <w:szCs w:val="11"/>
                <w:color w:val="auto"/>
                <w:w w:val="74"/>
                <w:shd w:val="clear" w:color="auto" w:fill="F2F2F2"/>
              </w:rPr>
              <w:t>(1)</w:t>
            </w:r>
          </w:p>
        </w:tc>
        <w:tc>
          <w:tcPr>
            <w:tcW w:w="2820" w:type="dxa"/>
            <w:vAlign w:val="bottom"/>
            <w:vMerge w:val="restart"/>
            <w:shd w:val="clear" w:color="auto" w:fill="F2F2F2"/>
          </w:tcPr>
          <w:p>
            <w:pPr>
              <w:spacing w:after="0"/>
              <w:rPr>
                <w:sz w:val="12"/>
                <w:szCs w:val="12"/>
                <w:color w:val="auto"/>
              </w:rPr>
            </w:pPr>
          </w:p>
        </w:tc>
        <w:tc>
          <w:tcPr>
            <w:tcW w:w="1880" w:type="dxa"/>
            <w:vAlign w:val="bottom"/>
            <w:vMerge w:val="restart"/>
            <w:shd w:val="clear" w:color="auto" w:fill="F2F2F2"/>
          </w:tcPr>
          <w:p>
            <w:pPr>
              <w:jc w:val="right"/>
              <w:ind w:right="179"/>
              <w:spacing w:after="0"/>
              <w:rPr>
                <w:sz w:val="20"/>
                <w:szCs w:val="20"/>
                <w:color w:val="auto"/>
              </w:rPr>
            </w:pPr>
            <w:r>
              <w:rPr>
                <w:rFonts w:ascii="Arial" w:cs="Arial" w:eastAsia="Arial" w:hAnsi="Arial"/>
                <w:sz w:val="16"/>
                <w:szCs w:val="16"/>
                <w:color w:val="auto"/>
              </w:rPr>
              <w:t>25,025,423</w:t>
            </w:r>
          </w:p>
        </w:tc>
        <w:tc>
          <w:tcPr>
            <w:tcW w:w="920" w:type="dxa"/>
            <w:vAlign w:val="bottom"/>
            <w:vMerge w:val="restart"/>
            <w:shd w:val="clear" w:color="auto" w:fill="F2F2F2"/>
          </w:tcPr>
          <w:p>
            <w:pPr>
              <w:jc w:val="right"/>
              <w:ind w:right="462"/>
              <w:spacing w:after="0"/>
              <w:rPr>
                <w:sz w:val="20"/>
                <w:szCs w:val="20"/>
                <w:color w:val="auto"/>
              </w:rPr>
            </w:pPr>
            <w:r>
              <w:rPr>
                <w:rFonts w:ascii="Arial" w:cs="Arial" w:eastAsia="Arial" w:hAnsi="Arial"/>
                <w:sz w:val="12"/>
                <w:szCs w:val="12"/>
                <w:color w:val="auto"/>
              </w:rPr>
              <w:t>(2)</w:t>
            </w:r>
          </w:p>
        </w:tc>
        <w:tc>
          <w:tcPr>
            <w:tcW w:w="1080" w:type="dxa"/>
            <w:vAlign w:val="bottom"/>
            <w:vMerge w:val="restart"/>
            <w:shd w:val="clear" w:color="auto" w:fill="F2F2F2"/>
          </w:tcPr>
          <w:p>
            <w:pPr>
              <w:ind w:left="50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F2F2F2"/>
          </w:tcPr>
          <w:p>
            <w:pPr>
              <w:jc w:val="right"/>
              <w:ind w:right="442"/>
              <w:spacing w:after="0"/>
              <w:rPr>
                <w:sz w:val="20"/>
                <w:szCs w:val="20"/>
                <w:color w:val="auto"/>
              </w:rPr>
            </w:pPr>
            <w:r>
              <w:rPr>
                <w:rFonts w:ascii="Arial" w:cs="Arial" w:eastAsia="Arial" w:hAnsi="Arial"/>
                <w:sz w:val="12"/>
                <w:szCs w:val="12"/>
                <w:color w:val="auto"/>
              </w:rPr>
              <w:t>(3)</w:t>
            </w:r>
          </w:p>
        </w:tc>
        <w:tc>
          <w:tcPr>
            <w:tcW w:w="1820" w:type="dxa"/>
            <w:vAlign w:val="bottom"/>
            <w:vMerge w:val="restart"/>
            <w:shd w:val="clear" w:color="auto" w:fill="F2F2F2"/>
          </w:tcPr>
          <w:p>
            <w:pPr>
              <w:jc w:val="right"/>
              <w:ind w:right="339"/>
              <w:spacing w:after="0"/>
              <w:rPr>
                <w:sz w:val="20"/>
                <w:szCs w:val="20"/>
                <w:color w:val="auto"/>
              </w:rPr>
            </w:pPr>
            <w:r>
              <w:rPr>
                <w:rFonts w:ascii="Arial" w:cs="Arial" w:eastAsia="Arial" w:hAnsi="Arial"/>
                <w:sz w:val="16"/>
                <w:szCs w:val="16"/>
                <w:color w:val="auto"/>
              </w:rPr>
              <w:t>104,929,698</w:t>
            </w:r>
          </w:p>
        </w:tc>
        <w:tc>
          <w:tcPr>
            <w:tcW w:w="900" w:type="dxa"/>
            <w:vAlign w:val="bottom"/>
            <w:vMerge w:val="restart"/>
            <w:shd w:val="clear" w:color="auto" w:fill="F2F2F2"/>
          </w:tcPr>
          <w:p>
            <w:pPr>
              <w:jc w:val="right"/>
              <w:ind w:right="142"/>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60"/>
        </w:trPr>
        <w:tc>
          <w:tcPr>
            <w:tcW w:w="40" w:type="dxa"/>
            <w:vAlign w:val="bottom"/>
            <w:shd w:val="clear" w:color="auto" w:fill="F2F2F2"/>
          </w:tcPr>
          <w:p>
            <w:pPr>
              <w:spacing w:after="0"/>
              <w:rPr>
                <w:sz w:val="5"/>
                <w:szCs w:val="5"/>
                <w:color w:val="auto"/>
              </w:rPr>
            </w:pPr>
          </w:p>
        </w:tc>
        <w:tc>
          <w:tcPr>
            <w:tcW w:w="540" w:type="dxa"/>
            <w:vAlign w:val="bottom"/>
            <w:vMerge w:val="continue"/>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2820" w:type="dxa"/>
            <w:vAlign w:val="bottom"/>
            <w:vMerge w:val="continue"/>
            <w:shd w:val="clear" w:color="auto" w:fill="F2F2F2"/>
          </w:tcPr>
          <w:p>
            <w:pPr>
              <w:spacing w:after="0"/>
              <w:rPr>
                <w:sz w:val="5"/>
                <w:szCs w:val="5"/>
                <w:color w:val="auto"/>
              </w:rPr>
            </w:pPr>
          </w:p>
        </w:tc>
        <w:tc>
          <w:tcPr>
            <w:tcW w:w="1880" w:type="dxa"/>
            <w:vAlign w:val="bottom"/>
            <w:vMerge w:val="continue"/>
            <w:shd w:val="clear" w:color="auto" w:fill="F2F2F2"/>
          </w:tcPr>
          <w:p>
            <w:pPr>
              <w:spacing w:after="0"/>
              <w:rPr>
                <w:sz w:val="5"/>
                <w:szCs w:val="5"/>
                <w:color w:val="auto"/>
              </w:rPr>
            </w:pPr>
          </w:p>
        </w:tc>
        <w:tc>
          <w:tcPr>
            <w:tcW w:w="920" w:type="dxa"/>
            <w:vAlign w:val="bottom"/>
            <w:vMerge w:val="continue"/>
            <w:shd w:val="clear" w:color="auto" w:fill="F2F2F2"/>
          </w:tcPr>
          <w:p>
            <w:pPr>
              <w:spacing w:after="0"/>
              <w:rPr>
                <w:sz w:val="5"/>
                <w:szCs w:val="5"/>
                <w:color w:val="auto"/>
              </w:rPr>
            </w:pPr>
          </w:p>
        </w:tc>
        <w:tc>
          <w:tcPr>
            <w:tcW w:w="1080" w:type="dxa"/>
            <w:vAlign w:val="bottom"/>
            <w:vMerge w:val="continue"/>
            <w:shd w:val="clear" w:color="auto" w:fill="F2F2F2"/>
          </w:tcPr>
          <w:p>
            <w:pPr>
              <w:spacing w:after="0"/>
              <w:rPr>
                <w:sz w:val="5"/>
                <w:szCs w:val="5"/>
                <w:color w:val="auto"/>
              </w:rPr>
            </w:pPr>
          </w:p>
        </w:tc>
        <w:tc>
          <w:tcPr>
            <w:tcW w:w="1080" w:type="dxa"/>
            <w:vAlign w:val="bottom"/>
            <w:vMerge w:val="continue"/>
            <w:shd w:val="clear" w:color="auto" w:fill="F2F2F2"/>
          </w:tcPr>
          <w:p>
            <w:pPr>
              <w:spacing w:after="0"/>
              <w:rPr>
                <w:sz w:val="5"/>
                <w:szCs w:val="5"/>
                <w:color w:val="auto"/>
              </w:rPr>
            </w:pPr>
          </w:p>
        </w:tc>
        <w:tc>
          <w:tcPr>
            <w:tcW w:w="1820" w:type="dxa"/>
            <w:vAlign w:val="bottom"/>
            <w:vMerge w:val="continue"/>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40" w:type="dxa"/>
            <w:vAlign w:val="bottom"/>
            <w:shd w:val="clear" w:color="auto" w:fill="F2F2F2"/>
          </w:tcPr>
          <w:p>
            <w:pPr>
              <w:spacing w:after="0"/>
              <w:rPr>
                <w:sz w:val="5"/>
                <w:szCs w:val="5"/>
                <w:color w:val="auto"/>
              </w:rPr>
            </w:pPr>
          </w:p>
        </w:tc>
        <w:tc>
          <w:tcPr>
            <w:tcW w:w="54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2820" w:type="dxa"/>
            <w:vAlign w:val="bottom"/>
            <w:shd w:val="clear" w:color="auto" w:fill="F2F2F2"/>
          </w:tcPr>
          <w:p>
            <w:pPr>
              <w:spacing w:after="0"/>
              <w:rPr>
                <w:sz w:val="5"/>
                <w:szCs w:val="5"/>
                <w:color w:val="auto"/>
              </w:rPr>
            </w:pPr>
          </w:p>
        </w:tc>
        <w:tc>
          <w:tcPr>
            <w:tcW w:w="1880" w:type="dxa"/>
            <w:vAlign w:val="bottom"/>
            <w:vMerge w:val="continue"/>
            <w:shd w:val="clear" w:color="auto" w:fill="F2F2F2"/>
          </w:tcPr>
          <w:p>
            <w:pPr>
              <w:spacing w:after="0"/>
              <w:rPr>
                <w:sz w:val="5"/>
                <w:szCs w:val="5"/>
                <w:color w:val="auto"/>
              </w:rPr>
            </w:pPr>
          </w:p>
        </w:tc>
        <w:tc>
          <w:tcPr>
            <w:tcW w:w="920" w:type="dxa"/>
            <w:vAlign w:val="bottom"/>
            <w:shd w:val="clear" w:color="auto" w:fill="F2F2F2"/>
          </w:tcPr>
          <w:p>
            <w:pPr>
              <w:spacing w:after="0"/>
              <w:rPr>
                <w:sz w:val="5"/>
                <w:szCs w:val="5"/>
                <w:color w:val="auto"/>
              </w:rPr>
            </w:pPr>
          </w:p>
        </w:tc>
        <w:tc>
          <w:tcPr>
            <w:tcW w:w="1080" w:type="dxa"/>
            <w:vAlign w:val="bottom"/>
            <w:vMerge w:val="continue"/>
            <w:shd w:val="clear" w:color="auto" w:fill="F2F2F2"/>
          </w:tcPr>
          <w:p>
            <w:pPr>
              <w:spacing w:after="0"/>
              <w:rPr>
                <w:sz w:val="5"/>
                <w:szCs w:val="5"/>
                <w:color w:val="auto"/>
              </w:rPr>
            </w:pPr>
          </w:p>
        </w:tc>
        <w:tc>
          <w:tcPr>
            <w:tcW w:w="1080" w:type="dxa"/>
            <w:vAlign w:val="bottom"/>
            <w:shd w:val="clear" w:color="auto" w:fill="F2F2F2"/>
          </w:tcPr>
          <w:p>
            <w:pPr>
              <w:spacing w:after="0"/>
              <w:rPr>
                <w:sz w:val="5"/>
                <w:szCs w:val="5"/>
                <w:color w:val="auto"/>
              </w:rPr>
            </w:pPr>
          </w:p>
        </w:tc>
        <w:tc>
          <w:tcPr>
            <w:tcW w:w="1820" w:type="dxa"/>
            <w:vAlign w:val="bottom"/>
            <w:vMerge w:val="continue"/>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40" w:type="dxa"/>
            <w:vAlign w:val="bottom"/>
            <w:shd w:val="clear" w:color="auto" w:fill="F2F2F2"/>
          </w:tcPr>
          <w:p>
            <w:pPr>
              <w:spacing w:after="0"/>
              <w:rPr>
                <w:sz w:val="2"/>
                <w:szCs w:val="2"/>
                <w:color w:val="auto"/>
              </w:rPr>
            </w:pPr>
          </w:p>
        </w:tc>
        <w:tc>
          <w:tcPr>
            <w:tcW w:w="540" w:type="dxa"/>
            <w:vAlign w:val="bottom"/>
            <w:shd w:val="clear" w:color="auto" w:fill="F2F2F2"/>
          </w:tcPr>
          <w:p>
            <w:pPr>
              <w:spacing w:after="0"/>
              <w:rPr>
                <w:sz w:val="2"/>
                <w:szCs w:val="2"/>
                <w:color w:val="auto"/>
              </w:rPr>
            </w:pPr>
          </w:p>
        </w:tc>
        <w:tc>
          <w:tcPr>
            <w:tcW w:w="120" w:type="dxa"/>
            <w:vAlign w:val="bottom"/>
            <w:shd w:val="clear" w:color="auto" w:fill="F2F2F2"/>
          </w:tcPr>
          <w:p>
            <w:pPr>
              <w:spacing w:after="0"/>
              <w:rPr>
                <w:sz w:val="2"/>
                <w:szCs w:val="2"/>
                <w:color w:val="auto"/>
              </w:rPr>
            </w:pPr>
          </w:p>
        </w:tc>
        <w:tc>
          <w:tcPr>
            <w:tcW w:w="2820" w:type="dxa"/>
            <w:vAlign w:val="bottom"/>
            <w:shd w:val="clear" w:color="auto" w:fill="F2F2F2"/>
          </w:tcPr>
          <w:p>
            <w:pPr>
              <w:spacing w:after="0"/>
              <w:rPr>
                <w:sz w:val="2"/>
                <w:szCs w:val="2"/>
                <w:color w:val="auto"/>
              </w:rPr>
            </w:pPr>
          </w:p>
        </w:tc>
        <w:tc>
          <w:tcPr>
            <w:tcW w:w="1880" w:type="dxa"/>
            <w:vAlign w:val="bottom"/>
            <w:shd w:val="clear" w:color="auto" w:fill="F2F2F2"/>
          </w:tcPr>
          <w:p>
            <w:pPr>
              <w:spacing w:after="0"/>
              <w:rPr>
                <w:sz w:val="2"/>
                <w:szCs w:val="2"/>
                <w:color w:val="auto"/>
              </w:rPr>
            </w:pPr>
          </w:p>
        </w:tc>
        <w:tc>
          <w:tcPr>
            <w:tcW w:w="920" w:type="dxa"/>
            <w:vAlign w:val="bottom"/>
            <w:shd w:val="clear" w:color="auto" w:fill="F2F2F2"/>
          </w:tcPr>
          <w:p>
            <w:pPr>
              <w:spacing w:after="0"/>
              <w:rPr>
                <w:sz w:val="2"/>
                <w:szCs w:val="2"/>
                <w:color w:val="auto"/>
              </w:rPr>
            </w:pPr>
          </w:p>
        </w:tc>
        <w:tc>
          <w:tcPr>
            <w:tcW w:w="1080" w:type="dxa"/>
            <w:vAlign w:val="bottom"/>
            <w:shd w:val="clear" w:color="auto" w:fill="F2F2F2"/>
          </w:tcPr>
          <w:p>
            <w:pPr>
              <w:spacing w:after="0"/>
              <w:rPr>
                <w:sz w:val="2"/>
                <w:szCs w:val="2"/>
                <w:color w:val="auto"/>
              </w:rPr>
            </w:pPr>
          </w:p>
        </w:tc>
        <w:tc>
          <w:tcPr>
            <w:tcW w:w="1080" w:type="dxa"/>
            <w:vAlign w:val="bottom"/>
            <w:shd w:val="clear" w:color="auto" w:fill="F2F2F2"/>
          </w:tcPr>
          <w:p>
            <w:pPr>
              <w:spacing w:after="0"/>
              <w:rPr>
                <w:sz w:val="2"/>
                <w:szCs w:val="2"/>
                <w:color w:val="auto"/>
              </w:rPr>
            </w:pPr>
          </w:p>
        </w:tc>
        <w:tc>
          <w:tcPr>
            <w:tcW w:w="1820" w:type="dxa"/>
            <w:vAlign w:val="bottom"/>
            <w:shd w:val="clear" w:color="auto" w:fill="F2F2F2"/>
          </w:tcPr>
          <w:p>
            <w:pPr>
              <w:spacing w:after="0"/>
              <w:rPr>
                <w:sz w:val="2"/>
                <w:szCs w:val="2"/>
                <w:color w:val="auto"/>
              </w:rPr>
            </w:pPr>
          </w:p>
        </w:tc>
        <w:tc>
          <w:tcPr>
            <w:tcW w:w="90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540" w:hanging="332"/>
        <w:spacing w:after="0" w:line="251" w:lineRule="auto"/>
        <w:tabs>
          <w:tab w:leader="none" w:pos="333" w:val="left"/>
        </w:tabs>
        <w:numPr>
          <w:ilvl w:val="0"/>
          <w:numId w:val="92"/>
        </w:numPr>
        <w:rPr>
          <w:rFonts w:ascii="Arial" w:cs="Arial" w:eastAsia="Arial" w:hAnsi="Arial"/>
          <w:sz w:val="9"/>
          <w:szCs w:val="9"/>
          <w:color w:val="auto"/>
        </w:rPr>
      </w:pPr>
      <w:r>
        <w:rPr>
          <w:rFonts w:ascii="Arial" w:cs="Arial" w:eastAsia="Arial" w:hAnsi="Arial"/>
          <w:sz w:val="14"/>
          <w:szCs w:val="14"/>
          <w:color w:val="auto"/>
        </w:rPr>
        <w:t>Includes our 2008 Equity Incentive Plan (“</w:t>
      </w:r>
      <w:r>
        <w:rPr>
          <w:rFonts w:ascii="Arial" w:cs="Arial" w:eastAsia="Arial" w:hAnsi="Arial"/>
          <w:sz w:val="14"/>
          <w:szCs w:val="14"/>
          <w:b w:val="1"/>
          <w:bCs w:val="1"/>
          <w:i w:val="1"/>
          <w:iCs w:val="1"/>
          <w:color w:val="auto"/>
        </w:rPr>
        <w:t>2008 Plan</w:t>
      </w:r>
      <w:r>
        <w:rPr>
          <w:rFonts w:ascii="Arial" w:cs="Arial" w:eastAsia="Arial" w:hAnsi="Arial"/>
          <w:sz w:val="14"/>
          <w:szCs w:val="14"/>
          <w:color w:val="auto"/>
        </w:rPr>
        <w:t>”), 2017 Equity Incentive Plan ("</w:t>
      </w:r>
      <w:r>
        <w:rPr>
          <w:rFonts w:ascii="Arial" w:cs="Arial" w:eastAsia="Arial" w:hAnsi="Arial"/>
          <w:sz w:val="14"/>
          <w:szCs w:val="14"/>
          <w:b w:val="1"/>
          <w:bCs w:val="1"/>
          <w:i w:val="1"/>
          <w:iCs w:val="1"/>
          <w:color w:val="auto"/>
        </w:rPr>
        <w:t>2017 Plan</w:t>
      </w:r>
      <w:r>
        <w:rPr>
          <w:rFonts w:ascii="Arial" w:cs="Arial" w:eastAsia="Arial" w:hAnsi="Arial"/>
          <w:sz w:val="14"/>
          <w:szCs w:val="14"/>
          <w:color w:val="auto"/>
        </w:rPr>
        <w:t>"), and 2018 Equity Incentive Plan (“</w:t>
      </w:r>
      <w:r>
        <w:rPr>
          <w:rFonts w:ascii="Arial" w:cs="Arial" w:eastAsia="Arial" w:hAnsi="Arial"/>
          <w:sz w:val="14"/>
          <w:szCs w:val="14"/>
          <w:b w:val="1"/>
          <w:bCs w:val="1"/>
          <w:i w:val="1"/>
          <w:iCs w:val="1"/>
          <w:color w:val="auto"/>
        </w:rPr>
        <w:t>2018 Plan</w:t>
      </w:r>
      <w:r>
        <w:rPr>
          <w:rFonts w:ascii="Arial" w:cs="Arial" w:eastAsia="Arial" w:hAnsi="Arial"/>
          <w:sz w:val="14"/>
          <w:szCs w:val="14"/>
          <w:color w:val="auto"/>
        </w:rPr>
        <w:t>”). Our 2008 Plan was terminated effective March 7, 2017 and our 2017 Plan was terminated effective March 20, 2018.</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92"/>
        </w:numPr>
        <w:rPr>
          <w:rFonts w:ascii="Arial" w:cs="Arial" w:eastAsia="Arial" w:hAnsi="Arial"/>
          <w:sz w:val="9"/>
          <w:szCs w:val="9"/>
          <w:color w:val="auto"/>
        </w:rPr>
      </w:pPr>
      <w:r>
        <w:rPr>
          <w:rFonts w:ascii="Arial" w:cs="Arial" w:eastAsia="Arial" w:hAnsi="Arial"/>
          <w:sz w:val="14"/>
          <w:szCs w:val="14"/>
          <w:color w:val="auto"/>
        </w:rPr>
        <w:t>Includes 25,025,423 shares subject to RSUs and RSAs outstanding as of December 31, 2025 that were issued under the 2018 Plan.</w:t>
      </w:r>
    </w:p>
    <w:p>
      <w:pPr>
        <w:spacing w:after="0" w:line="1" w:lineRule="exact"/>
        <w:rPr>
          <w:rFonts w:ascii="Arial" w:cs="Arial" w:eastAsia="Arial" w:hAnsi="Arial"/>
          <w:sz w:val="9"/>
          <w:szCs w:val="9"/>
          <w:color w:val="auto"/>
        </w:rPr>
      </w:pPr>
    </w:p>
    <w:p>
      <w:pPr>
        <w:ind w:left="340" w:right="320" w:hanging="332"/>
        <w:spacing w:after="0" w:line="241" w:lineRule="auto"/>
        <w:tabs>
          <w:tab w:leader="none" w:pos="333" w:val="left"/>
        </w:tabs>
        <w:numPr>
          <w:ilvl w:val="0"/>
          <w:numId w:val="92"/>
        </w:numPr>
        <w:rPr>
          <w:rFonts w:ascii="Arial" w:cs="Arial" w:eastAsia="Arial" w:hAnsi="Arial"/>
          <w:sz w:val="9"/>
          <w:szCs w:val="9"/>
          <w:color w:val="auto"/>
        </w:rPr>
      </w:pPr>
      <w:r>
        <w:rPr>
          <w:rFonts w:ascii="Arial" w:cs="Arial" w:eastAsia="Arial" w:hAnsi="Arial"/>
          <w:sz w:val="14"/>
          <w:szCs w:val="14"/>
          <w:color w:val="auto"/>
        </w:rPr>
        <w:t>RSUs and RSAs do not have an exercise price. As of December 31, 2025, the company did not have any outstanding options or warrants except as otherwise noted in footnote 5 below.</w:t>
      </w:r>
    </w:p>
    <w:p>
      <w:pPr>
        <w:ind w:left="320" w:hanging="312"/>
        <w:spacing w:after="0" w:line="187" w:lineRule="auto"/>
        <w:tabs>
          <w:tab w:leader="none" w:pos="3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As of December 31, 2025, an aggregate of 129,955,121 shares of Class A common stock were available for issuance under our 2018 Plan.</w:t>
      </w:r>
    </w:p>
    <w:p>
      <w:pPr>
        <w:ind w:left="340" w:right="80" w:hanging="332"/>
        <w:spacing w:after="0" w:line="222" w:lineRule="auto"/>
        <w:tabs>
          <w:tab w:leader="none" w:pos="333"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This table does not include equity awards that have been assumed by the company in connection with the acquisition of other companies. As of December 31, 2025, the following assumed equity awards were outstanding: 3,672 shares issuable upon exercise of outstanding options. The weighted average exercise price of such outstanding options was $5.70 per share. No additional equity awards may be granted under any assumed arrangement.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1680"/>
        <w:spacing w:after="0" w:line="268" w:lineRule="auto"/>
        <w:rPr>
          <w:sz w:val="20"/>
          <w:szCs w:val="20"/>
          <w:color w:val="auto"/>
        </w:rPr>
      </w:pPr>
      <w:r>
        <w:rPr>
          <w:rFonts w:ascii="Arial" w:cs="Arial" w:eastAsia="Arial" w:hAnsi="Arial"/>
          <w:sz w:val="31"/>
          <w:szCs w:val="31"/>
          <w:color w:val="0063A6"/>
        </w:rPr>
        <w:t>SECURITY OWNERSHIP OF CERTAIN BENEFICIAL OWNERS AND MANAGEMENT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20, 2026 for:</w:t>
      </w:r>
    </w:p>
    <w:p>
      <w:pPr>
        <w:spacing w:after="0" w:line="167"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6"/>
          <w:szCs w:val="16"/>
          <w:color w:val="0063A6"/>
        </w:rPr>
      </w:pPr>
      <w:r>
        <w:rPr>
          <w:rFonts w:ascii="Arial" w:cs="Arial" w:eastAsia="Arial" w:hAnsi="Arial"/>
          <w:sz w:val="16"/>
          <w:szCs w:val="16"/>
          <w:color w:val="auto"/>
        </w:rPr>
        <w:t>each of our directors;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3"/>
        </w:numPr>
        <w:rPr>
          <w:rFonts w:ascii="Arial" w:cs="Arial" w:eastAsia="Arial" w:hAnsi="Arial"/>
          <w:sz w:val="16"/>
          <w:szCs w:val="16"/>
          <w:color w:val="0063A6"/>
        </w:rPr>
      </w:pPr>
      <w:r>
        <w:rPr>
          <w:rFonts w:ascii="Arial" w:cs="Arial" w:eastAsia="Arial" w:hAnsi="Arial"/>
          <w:sz w:val="16"/>
          <w:szCs w:val="16"/>
          <w:color w:val="auto"/>
        </w:rPr>
        <w:t>each of our named executive officers;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3"/>
        </w:numPr>
        <w:rPr>
          <w:rFonts w:ascii="Arial" w:cs="Arial" w:eastAsia="Arial" w:hAnsi="Arial"/>
          <w:sz w:val="16"/>
          <w:szCs w:val="16"/>
          <w:color w:val="0063A6"/>
        </w:rPr>
      </w:pPr>
      <w:r>
        <w:rPr>
          <w:rFonts w:ascii="Arial" w:cs="Arial" w:eastAsia="Arial" w:hAnsi="Arial"/>
          <w:sz w:val="16"/>
          <w:szCs w:val="16"/>
          <w:color w:val="auto"/>
        </w:rPr>
        <w:t>all of our current directors and executive officers as a group;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3"/>
        </w:numPr>
        <w:rPr>
          <w:rFonts w:ascii="Arial" w:cs="Arial" w:eastAsia="Arial" w:hAnsi="Arial"/>
          <w:sz w:val="16"/>
          <w:szCs w:val="16"/>
          <w:color w:val="0063A6"/>
        </w:rPr>
      </w:pPr>
      <w:r>
        <w:rPr>
          <w:rFonts w:ascii="Arial" w:cs="Arial" w:eastAsia="Arial" w:hAnsi="Arial"/>
          <w:sz w:val="16"/>
          <w:szCs w:val="16"/>
          <w:color w:val="auto"/>
        </w:rPr>
        <w:t>each person or group known by us to be the beneficial owner of more than 5% of our Class A or Class B common stock.</w:t>
      </w:r>
    </w:p>
    <w:p>
      <w:pPr>
        <w:spacing w:after="0" w:line="15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based our calculation of the percentage of beneficial ownership on 163,263,829 shares of our Class A common stock, 75,374,718 shares of our Class B common stock, and no shares of our Class C common stock outstanding as of March 20, 2026. We have deemed shares of our common stock subject to stock options that are currently exercisable or exercisable within 60 days of March 20, 2026 or issuable pursuant to RSUs which are subject to vesting and settlement conditions expected to occur within 60 days of March 20, 2026,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200" w:lineRule="exact"/>
        <w:rPr>
          <w:sz w:val="20"/>
          <w:szCs w:val="20"/>
          <w:color w:val="auto"/>
        </w:rPr>
      </w:pPr>
    </w:p>
    <w:p>
      <w:pPr>
        <w:spacing w:after="0" w:line="311" w:lineRule="exact"/>
        <w:rPr>
          <w:sz w:val="20"/>
          <w:szCs w:val="20"/>
          <w:color w:val="auto"/>
        </w:rPr>
      </w:pPr>
    </w:p>
    <w:p>
      <w:pPr>
        <w:ind w:left="580" w:hanging="554"/>
        <w:spacing w:after="0"/>
        <w:tabs>
          <w:tab w:leader="none" w:pos="580"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1740"/>
        <w:spacing w:after="0" w:line="268" w:lineRule="auto"/>
        <w:rPr>
          <w:sz w:val="20"/>
          <w:szCs w:val="20"/>
          <w:color w:val="auto"/>
        </w:rPr>
      </w:pPr>
      <w:r>
        <w:rPr>
          <w:rFonts w:ascii="Arial" w:cs="Arial" w:eastAsia="Arial" w:hAnsi="Arial"/>
          <w:sz w:val="31"/>
          <w:szCs w:val="31"/>
          <w:color w:val="0063A6"/>
        </w:rPr>
        <w:t>SECURITY OWNERSHIP OF CERTAIN BENEFICIAL OWNERS AND MANAGEMENT (continued)</w:t>
      </w:r>
    </w:p>
    <w:p>
      <w:pPr>
        <w:spacing w:after="0" w:line="6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312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420" w:type="dxa"/>
            <w:vAlign w:val="bottom"/>
            <w:shd w:val="clear" w:color="auto" w:fill="0063A6"/>
          </w:tcPr>
          <w:p>
            <w:pPr>
              <w:spacing w:after="0"/>
              <w:rPr>
                <w:sz w:val="24"/>
                <w:szCs w:val="24"/>
                <w:color w:val="auto"/>
              </w:rPr>
            </w:pPr>
          </w:p>
        </w:tc>
        <w:tc>
          <w:tcPr>
            <w:tcW w:w="4440" w:type="dxa"/>
            <w:vAlign w:val="bottom"/>
            <w:gridSpan w:val="3"/>
            <w:shd w:val="clear" w:color="auto" w:fill="0063A6"/>
          </w:tcPr>
          <w:p>
            <w:pPr>
              <w:ind w:left="1260"/>
              <w:spacing w:after="0"/>
              <w:rPr>
                <w:sz w:val="20"/>
                <w:szCs w:val="20"/>
                <w:color w:val="auto"/>
              </w:rPr>
            </w:pPr>
            <w:r>
              <w:rPr>
                <w:rFonts w:ascii="Arial" w:cs="Arial" w:eastAsia="Arial" w:hAnsi="Arial"/>
                <w:sz w:val="14"/>
                <w:szCs w:val="14"/>
                <w:b w:val="1"/>
                <w:bCs w:val="1"/>
                <w:color w:val="FFFFFF"/>
              </w:rPr>
              <w:t>Amount and nature of beneficial ownership</w:t>
            </w:r>
          </w:p>
        </w:tc>
        <w:tc>
          <w:tcPr>
            <w:tcW w:w="1020" w:type="dxa"/>
            <w:vAlign w:val="bottom"/>
            <w:shd w:val="clear" w:color="auto" w:fill="0063A6"/>
          </w:tcPr>
          <w:p>
            <w:pPr>
              <w:spacing w:after="0"/>
              <w:rPr>
                <w:sz w:val="24"/>
                <w:szCs w:val="24"/>
                <w:color w:val="auto"/>
              </w:rPr>
            </w:pPr>
          </w:p>
        </w:tc>
        <w:tc>
          <w:tcPr>
            <w:tcW w:w="1360" w:type="dxa"/>
            <w:vAlign w:val="bottom"/>
            <w:shd w:val="clear" w:color="auto" w:fill="0063A6"/>
          </w:tcPr>
          <w:p>
            <w:pPr>
              <w:spacing w:after="0"/>
              <w:rPr>
                <w:sz w:val="24"/>
                <w:szCs w:val="24"/>
                <w:color w:val="auto"/>
              </w:rPr>
            </w:pPr>
          </w:p>
        </w:tc>
      </w:tr>
      <w:tr>
        <w:trPr>
          <w:trHeight w:val="314"/>
        </w:trPr>
        <w:tc>
          <w:tcPr>
            <w:tcW w:w="4420" w:type="dxa"/>
            <w:vAlign w:val="bottom"/>
            <w:shd w:val="clear" w:color="auto" w:fill="0063A6"/>
          </w:tcPr>
          <w:p>
            <w:pPr>
              <w:spacing w:after="0"/>
              <w:rPr>
                <w:sz w:val="24"/>
                <w:szCs w:val="24"/>
                <w:color w:val="auto"/>
              </w:rPr>
            </w:pPr>
          </w:p>
        </w:tc>
        <w:tc>
          <w:tcPr>
            <w:tcW w:w="17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A</w:t>
            </w:r>
          </w:p>
        </w:tc>
        <w:tc>
          <w:tcPr>
            <w:tcW w:w="1020" w:type="dxa"/>
            <w:vAlign w:val="bottom"/>
            <w:shd w:val="clear" w:color="auto" w:fill="0063A6"/>
          </w:tcPr>
          <w:p>
            <w:pPr>
              <w:spacing w:after="0"/>
              <w:rPr>
                <w:sz w:val="24"/>
                <w:szCs w:val="24"/>
                <w:color w:val="auto"/>
              </w:rPr>
            </w:pPr>
          </w:p>
        </w:tc>
        <w:tc>
          <w:tcPr>
            <w:tcW w:w="17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B</w:t>
            </w:r>
          </w:p>
        </w:tc>
        <w:tc>
          <w:tcPr>
            <w:tcW w:w="1020" w:type="dxa"/>
            <w:vAlign w:val="bottom"/>
            <w:shd w:val="clear" w:color="auto" w:fill="0063A6"/>
          </w:tcPr>
          <w:p>
            <w:pPr>
              <w:spacing w:after="0"/>
              <w:rPr>
                <w:sz w:val="24"/>
                <w:szCs w:val="24"/>
                <w:color w:val="auto"/>
              </w:rPr>
            </w:pP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 of total</w:t>
            </w:r>
          </w:p>
        </w:tc>
      </w:tr>
      <w:tr>
        <w:trPr>
          <w:trHeight w:val="248"/>
        </w:trPr>
        <w:tc>
          <w:tcPr>
            <w:tcW w:w="442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p>
        </w:tc>
        <w:tc>
          <w:tcPr>
            <w:tcW w:w="1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7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r>
              <w:rPr>
                <w:rFonts w:ascii="Arial" w:cs="Arial" w:eastAsia="Arial" w:hAnsi="Arial"/>
                <w:sz w:val="18"/>
                <w:szCs w:val="18"/>
                <w:b w:val="1"/>
                <w:bCs w:val="1"/>
                <w:color w:val="FFFFFF"/>
                <w:vertAlign w:val="superscript"/>
              </w:rPr>
              <w:t>†</w:t>
            </w:r>
          </w:p>
        </w:tc>
        <w:tc>
          <w:tcPr>
            <w:tcW w:w="1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18"/>
                <w:szCs w:val="18"/>
                <w:b w:val="1"/>
                <w:bCs w:val="1"/>
                <w:color w:val="FFFFFF"/>
                <w:vertAlign w:val="superscript"/>
              </w:rPr>
              <w:t>#</w:t>
            </w:r>
          </w:p>
        </w:tc>
      </w:tr>
      <w:tr>
        <w:trPr>
          <w:trHeight w:val="317"/>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1700" w:type="dxa"/>
            <w:vAlign w:val="bottom"/>
            <w:shd w:val="clear" w:color="auto" w:fill="F2F2F2"/>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1720" w:type="dxa"/>
            <w:vAlign w:val="bottom"/>
            <w:shd w:val="clear" w:color="auto" w:fill="F2F2F2"/>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1360" w:type="dxa"/>
            <w:vAlign w:val="bottom"/>
            <w:shd w:val="clear" w:color="auto" w:fill="F2F2F2"/>
          </w:tcPr>
          <w:p>
            <w:pPr>
              <w:spacing w:after="0"/>
              <w:rPr>
                <w:sz w:val="24"/>
                <w:szCs w:val="24"/>
                <w:color w:val="auto"/>
              </w:rPr>
            </w:pPr>
          </w:p>
        </w:tc>
      </w:tr>
      <w:tr>
        <w:trPr>
          <w:trHeight w:val="102"/>
        </w:trPr>
        <w:tc>
          <w:tcPr>
            <w:tcW w:w="4420" w:type="dxa"/>
            <w:vAlign w:val="bottom"/>
            <w:shd w:val="clear" w:color="auto" w:fill="F2F2F2"/>
          </w:tcPr>
          <w:p>
            <w:pPr>
              <w:spacing w:after="0"/>
              <w:rPr>
                <w:sz w:val="8"/>
                <w:szCs w:val="8"/>
                <w:color w:val="auto"/>
              </w:rPr>
            </w:pPr>
          </w:p>
        </w:tc>
        <w:tc>
          <w:tcPr>
            <w:tcW w:w="1700" w:type="dxa"/>
            <w:vAlign w:val="bottom"/>
            <w:shd w:val="clear" w:color="auto" w:fill="F2F2F2"/>
          </w:tcPr>
          <w:p>
            <w:pPr>
              <w:spacing w:after="0"/>
              <w:rPr>
                <w:sz w:val="8"/>
                <w:szCs w:val="8"/>
                <w:color w:val="auto"/>
              </w:rPr>
            </w:pPr>
          </w:p>
        </w:tc>
        <w:tc>
          <w:tcPr>
            <w:tcW w:w="1020" w:type="dxa"/>
            <w:vAlign w:val="bottom"/>
            <w:shd w:val="clear" w:color="auto" w:fill="F2F2F2"/>
          </w:tcPr>
          <w:p>
            <w:pPr>
              <w:spacing w:after="0"/>
              <w:rPr>
                <w:sz w:val="8"/>
                <w:szCs w:val="8"/>
                <w:color w:val="auto"/>
              </w:rPr>
            </w:pPr>
          </w:p>
        </w:tc>
        <w:tc>
          <w:tcPr>
            <w:tcW w:w="1720" w:type="dxa"/>
            <w:vAlign w:val="bottom"/>
            <w:shd w:val="clear" w:color="auto" w:fill="F2F2F2"/>
          </w:tcPr>
          <w:p>
            <w:pPr>
              <w:spacing w:after="0"/>
              <w:rPr>
                <w:sz w:val="8"/>
                <w:szCs w:val="8"/>
                <w:color w:val="auto"/>
              </w:rPr>
            </w:pPr>
          </w:p>
        </w:tc>
        <w:tc>
          <w:tcPr>
            <w:tcW w:w="1020" w:type="dxa"/>
            <w:vAlign w:val="bottom"/>
            <w:shd w:val="clear" w:color="auto" w:fill="F2F2F2"/>
          </w:tcPr>
          <w:p>
            <w:pPr>
              <w:spacing w:after="0"/>
              <w:rPr>
                <w:sz w:val="8"/>
                <w:szCs w:val="8"/>
                <w:color w:val="auto"/>
              </w:rPr>
            </w:pPr>
          </w:p>
        </w:tc>
        <w:tc>
          <w:tcPr>
            <w:tcW w:w="1360" w:type="dxa"/>
            <w:vAlign w:val="bottom"/>
            <w:shd w:val="clear" w:color="auto" w:fill="F2F2F2"/>
          </w:tcPr>
          <w:p>
            <w:pPr>
              <w:spacing w:after="0"/>
              <w:rPr>
                <w:sz w:val="8"/>
                <w:szCs w:val="8"/>
                <w:color w:val="auto"/>
              </w:rPr>
            </w:pPr>
          </w:p>
        </w:tc>
      </w:tr>
      <w:tr>
        <w:trPr>
          <w:trHeight w:val="366"/>
        </w:trPr>
        <w:tc>
          <w:tcPr>
            <w:tcW w:w="4420" w:type="dxa"/>
            <w:vAlign w:val="bottom"/>
          </w:tcPr>
          <w:p>
            <w:pPr>
              <w:ind w:left="20"/>
              <w:spacing w:after="0"/>
              <w:rPr>
                <w:sz w:val="20"/>
                <w:szCs w:val="20"/>
                <w:color w:val="auto"/>
              </w:rPr>
            </w:pPr>
            <w:r>
              <w:rPr>
                <w:rFonts w:ascii="Arial" w:cs="Arial" w:eastAsia="Arial" w:hAnsi="Arial"/>
                <w:sz w:val="16"/>
                <w:szCs w:val="16"/>
                <w:color w:val="auto"/>
              </w:rPr>
              <w:t>Andrew W. Houston</w:t>
            </w:r>
            <w:r>
              <w:rPr>
                <w:rFonts w:ascii="Arial" w:cs="Arial" w:eastAsia="Arial" w:hAnsi="Arial"/>
                <w:sz w:val="21"/>
                <w:szCs w:val="21"/>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6"/>
                <w:szCs w:val="16"/>
                <w:color w:val="auto"/>
              </w:rPr>
              <w:t>9,427,838</w:t>
            </w:r>
          </w:p>
        </w:tc>
        <w:tc>
          <w:tcPr>
            <w:tcW w:w="1020" w:type="dxa"/>
            <w:vAlign w:val="bottom"/>
          </w:tcPr>
          <w:p>
            <w:pPr>
              <w:jc w:val="center"/>
              <w:spacing w:after="0"/>
              <w:rPr>
                <w:sz w:val="20"/>
                <w:szCs w:val="20"/>
                <w:color w:val="auto"/>
              </w:rPr>
            </w:pPr>
            <w:r>
              <w:rPr>
                <w:rFonts w:ascii="Arial" w:cs="Arial" w:eastAsia="Arial" w:hAnsi="Arial"/>
                <w:sz w:val="16"/>
                <w:szCs w:val="16"/>
                <w:color w:val="auto"/>
              </w:rPr>
              <w:t>5.77</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74,616,889</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98.99</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82.40</w:t>
            </w:r>
          </w:p>
        </w:tc>
      </w:tr>
      <w:tr>
        <w:trPr>
          <w:trHeight w:val="39"/>
        </w:trPr>
        <w:tc>
          <w:tcPr>
            <w:tcW w:w="4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Ross Tennenbaum</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36,406</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Timothy Regan</w:t>
            </w:r>
          </w:p>
        </w:tc>
        <w:tc>
          <w:tcPr>
            <w:tcW w:w="1700" w:type="dxa"/>
            <w:vAlign w:val="bottom"/>
          </w:tcPr>
          <w:p>
            <w:pPr>
              <w:jc w:val="center"/>
              <w:spacing w:after="0"/>
              <w:rPr>
                <w:sz w:val="20"/>
                <w:szCs w:val="20"/>
                <w:color w:val="auto"/>
              </w:rPr>
            </w:pPr>
            <w:r>
              <w:rPr>
                <w:rFonts w:ascii="Arial" w:cs="Arial" w:eastAsia="Arial" w:hAnsi="Arial"/>
                <w:sz w:val="16"/>
                <w:szCs w:val="16"/>
                <w:color w:val="auto"/>
              </w:rPr>
              <w:t>92,067</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William Yoon</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13,460</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Ashraf Alkarmi</w:t>
            </w:r>
          </w:p>
        </w:tc>
        <w:tc>
          <w:tcPr>
            <w:tcW w:w="1700" w:type="dxa"/>
            <w:vAlign w:val="bottom"/>
          </w:tcPr>
          <w:p>
            <w:pPr>
              <w:jc w:val="center"/>
              <w:spacing w:after="0"/>
              <w:rPr>
                <w:sz w:val="20"/>
                <w:szCs w:val="20"/>
                <w:color w:val="auto"/>
              </w:rPr>
            </w:pPr>
            <w:r>
              <w:rPr>
                <w:rFonts w:ascii="Arial" w:cs="Arial" w:eastAsia="Arial" w:hAnsi="Arial"/>
                <w:sz w:val="16"/>
                <w:szCs w:val="16"/>
                <w:color w:val="auto"/>
              </w:rPr>
              <w:t>44,830</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Ali Dasdan</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41,684</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Lisa Campbell</w:t>
            </w:r>
          </w:p>
        </w:tc>
        <w:tc>
          <w:tcPr>
            <w:tcW w:w="1700" w:type="dxa"/>
            <w:vAlign w:val="bottom"/>
          </w:tcPr>
          <w:p>
            <w:pPr>
              <w:jc w:val="center"/>
              <w:spacing w:after="0"/>
              <w:rPr>
                <w:sz w:val="20"/>
                <w:szCs w:val="20"/>
                <w:color w:val="auto"/>
              </w:rPr>
            </w:pPr>
            <w:r>
              <w:rPr>
                <w:rFonts w:ascii="Arial" w:cs="Arial" w:eastAsia="Arial" w:hAnsi="Arial"/>
                <w:sz w:val="16"/>
                <w:szCs w:val="16"/>
                <w:color w:val="auto"/>
              </w:rPr>
              <w:t>10,777</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color w:val="auto"/>
              </w:rPr>
              <w:t>Paul E. Jacobs</w:t>
            </w:r>
            <w:r>
              <w:rPr>
                <w:rFonts w:ascii="Arial" w:cs="Arial" w:eastAsia="Arial" w:hAnsi="Arial"/>
                <w:sz w:val="21"/>
                <w:szCs w:val="21"/>
                <w:color w:val="auto"/>
                <w:vertAlign w:val="superscript"/>
              </w:rPr>
              <w:t>(2)</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313,459</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Karen Peacock</w:t>
            </w:r>
          </w:p>
        </w:tc>
        <w:tc>
          <w:tcPr>
            <w:tcW w:w="1700" w:type="dxa"/>
            <w:vAlign w:val="bottom"/>
          </w:tcPr>
          <w:p>
            <w:pPr>
              <w:jc w:val="center"/>
              <w:spacing w:after="0"/>
              <w:rPr>
                <w:sz w:val="20"/>
                <w:szCs w:val="20"/>
                <w:color w:val="auto"/>
              </w:rPr>
            </w:pPr>
            <w:r>
              <w:rPr>
                <w:rFonts w:ascii="Arial" w:cs="Arial" w:eastAsia="Arial" w:hAnsi="Arial"/>
                <w:sz w:val="16"/>
                <w:szCs w:val="16"/>
                <w:color w:val="auto"/>
              </w:rPr>
              <w:t>12,852</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Michael Seibel</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22,775</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Abhay Parasnis</w:t>
            </w:r>
          </w:p>
        </w:tc>
        <w:tc>
          <w:tcPr>
            <w:tcW w:w="1700" w:type="dxa"/>
            <w:vAlign w:val="bottom"/>
          </w:tcPr>
          <w:p>
            <w:pPr>
              <w:jc w:val="center"/>
              <w:spacing w:after="0"/>
              <w:rPr>
                <w:sz w:val="20"/>
                <w:szCs w:val="20"/>
                <w:color w:val="auto"/>
              </w:rPr>
            </w:pPr>
            <w:r>
              <w:rPr>
                <w:rFonts w:ascii="Arial" w:cs="Arial" w:eastAsia="Arial" w:hAnsi="Arial"/>
                <w:sz w:val="16"/>
                <w:szCs w:val="16"/>
                <w:color w:val="auto"/>
              </w:rPr>
              <w:t>30,297</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Andrew Moore</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Warren Jenson</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2,739</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5"/>
        </w:trPr>
        <w:tc>
          <w:tcPr>
            <w:tcW w:w="4420" w:type="dxa"/>
            <w:vAlign w:val="bottom"/>
            <w:shd w:val="clear" w:color="auto" w:fill="F2F2F2"/>
          </w:tcPr>
          <w:p>
            <w:pPr>
              <w:ind w:left="20"/>
              <w:spacing w:after="0" w:line="175" w:lineRule="exact"/>
              <w:rPr>
                <w:sz w:val="20"/>
                <w:szCs w:val="20"/>
                <w:color w:val="auto"/>
              </w:rPr>
            </w:pPr>
            <w:r>
              <w:rPr>
                <w:rFonts w:ascii="Arial" w:cs="Arial" w:eastAsia="Arial" w:hAnsi="Arial"/>
                <w:sz w:val="16"/>
                <w:szCs w:val="16"/>
                <w:color w:val="auto"/>
              </w:rPr>
              <w:t>All current directors and executive officers as a group (14</w:t>
            </w:r>
          </w:p>
        </w:tc>
        <w:tc>
          <w:tcPr>
            <w:tcW w:w="1700" w:type="dxa"/>
            <w:vAlign w:val="bottom"/>
            <w:shd w:val="clear" w:color="auto" w:fill="F2F2F2"/>
          </w:tcPr>
          <w:p>
            <w:pPr>
              <w:spacing w:after="0"/>
              <w:rPr>
                <w:sz w:val="15"/>
                <w:szCs w:val="15"/>
                <w:color w:val="auto"/>
              </w:rPr>
            </w:pPr>
          </w:p>
        </w:tc>
        <w:tc>
          <w:tcPr>
            <w:tcW w:w="1020" w:type="dxa"/>
            <w:vAlign w:val="bottom"/>
            <w:shd w:val="clear" w:color="auto" w:fill="F2F2F2"/>
          </w:tcPr>
          <w:p>
            <w:pPr>
              <w:spacing w:after="0"/>
              <w:rPr>
                <w:sz w:val="15"/>
                <w:szCs w:val="15"/>
                <w:color w:val="auto"/>
              </w:rPr>
            </w:pPr>
          </w:p>
        </w:tc>
        <w:tc>
          <w:tcPr>
            <w:tcW w:w="1720" w:type="dxa"/>
            <w:vAlign w:val="bottom"/>
            <w:shd w:val="clear" w:color="auto" w:fill="F2F2F2"/>
          </w:tcPr>
          <w:p>
            <w:pPr>
              <w:spacing w:after="0"/>
              <w:rPr>
                <w:sz w:val="15"/>
                <w:szCs w:val="15"/>
                <w:color w:val="auto"/>
              </w:rPr>
            </w:pPr>
          </w:p>
        </w:tc>
        <w:tc>
          <w:tcPr>
            <w:tcW w:w="1020" w:type="dxa"/>
            <w:vAlign w:val="bottom"/>
            <w:shd w:val="clear" w:color="auto" w:fill="F2F2F2"/>
          </w:tcPr>
          <w:p>
            <w:pPr>
              <w:spacing w:after="0"/>
              <w:rPr>
                <w:sz w:val="15"/>
                <w:szCs w:val="15"/>
                <w:color w:val="auto"/>
              </w:rPr>
            </w:pPr>
          </w:p>
        </w:tc>
        <w:tc>
          <w:tcPr>
            <w:tcW w:w="1360" w:type="dxa"/>
            <w:vAlign w:val="bottom"/>
            <w:shd w:val="clear" w:color="auto" w:fill="F2F2F2"/>
          </w:tcPr>
          <w:p>
            <w:pPr>
              <w:spacing w:after="0"/>
              <w:rPr>
                <w:sz w:val="15"/>
                <w:szCs w:val="15"/>
                <w:color w:val="auto"/>
              </w:rPr>
            </w:pPr>
          </w:p>
        </w:tc>
      </w:tr>
      <w:tr>
        <w:trPr>
          <w:trHeight w:val="215"/>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color w:val="auto"/>
              </w:rPr>
              <w:t>persons)</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10,049,184</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6.16</w:t>
            </w:r>
          </w:p>
        </w:tc>
        <w:tc>
          <w:tcPr>
            <w:tcW w:w="1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74,616,889</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98.99</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82.47</w:t>
            </w:r>
          </w:p>
        </w:tc>
      </w:tr>
      <w:tr>
        <w:trPr>
          <w:trHeight w:val="29"/>
        </w:trPr>
        <w:tc>
          <w:tcPr>
            <w:tcW w:w="4420" w:type="dxa"/>
            <w:vAlign w:val="bottom"/>
            <w:shd w:val="clear" w:color="auto" w:fill="F2F2F2"/>
          </w:tcPr>
          <w:p>
            <w:pPr>
              <w:spacing w:after="0"/>
              <w:rPr>
                <w:sz w:val="2"/>
                <w:szCs w:val="2"/>
                <w:color w:val="auto"/>
              </w:rPr>
            </w:pPr>
          </w:p>
        </w:tc>
        <w:tc>
          <w:tcPr>
            <w:tcW w:w="1700" w:type="dxa"/>
            <w:vAlign w:val="bottom"/>
            <w:shd w:val="clear" w:color="auto" w:fill="F2F2F2"/>
          </w:tcPr>
          <w:p>
            <w:pPr>
              <w:spacing w:after="0"/>
              <w:rPr>
                <w:sz w:val="2"/>
                <w:szCs w:val="2"/>
                <w:color w:val="auto"/>
              </w:rPr>
            </w:pPr>
          </w:p>
        </w:tc>
        <w:tc>
          <w:tcPr>
            <w:tcW w:w="1020" w:type="dxa"/>
            <w:vAlign w:val="bottom"/>
            <w:shd w:val="clear" w:color="auto" w:fill="F2F2F2"/>
          </w:tcPr>
          <w:p>
            <w:pPr>
              <w:spacing w:after="0"/>
              <w:rPr>
                <w:sz w:val="2"/>
                <w:szCs w:val="2"/>
                <w:color w:val="auto"/>
              </w:rPr>
            </w:pPr>
          </w:p>
        </w:tc>
        <w:tc>
          <w:tcPr>
            <w:tcW w:w="1720" w:type="dxa"/>
            <w:vAlign w:val="bottom"/>
            <w:shd w:val="clear" w:color="auto" w:fill="F2F2F2"/>
          </w:tcPr>
          <w:p>
            <w:pPr>
              <w:spacing w:after="0"/>
              <w:rPr>
                <w:sz w:val="2"/>
                <w:szCs w:val="2"/>
                <w:color w:val="auto"/>
              </w:rPr>
            </w:pPr>
          </w:p>
        </w:tc>
        <w:tc>
          <w:tcPr>
            <w:tcW w:w="1020" w:type="dxa"/>
            <w:vAlign w:val="bottom"/>
            <w:shd w:val="clear" w:color="auto" w:fill="F2F2F2"/>
          </w:tcPr>
          <w:p>
            <w:pPr>
              <w:spacing w:after="0"/>
              <w:rPr>
                <w:sz w:val="2"/>
                <w:szCs w:val="2"/>
                <w:color w:val="auto"/>
              </w:rPr>
            </w:pPr>
          </w:p>
        </w:tc>
        <w:tc>
          <w:tcPr>
            <w:tcW w:w="1360" w:type="dxa"/>
            <w:vAlign w:val="bottom"/>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-264795</wp:posOffset>
            </wp:positionV>
            <wp:extent cx="17145" cy="265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-264795</wp:posOffset>
            </wp:positionV>
            <wp:extent cx="17145" cy="265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-264795</wp:posOffset>
            </wp:positionV>
            <wp:extent cx="17145" cy="265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-264795</wp:posOffset>
            </wp:positionV>
            <wp:extent cx="17145" cy="265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-264795</wp:posOffset>
            </wp:positionV>
            <wp:extent cx="17145" cy="265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-573405</wp:posOffset>
            </wp:positionV>
            <wp:extent cx="17145"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-573405</wp:posOffset>
            </wp:positionV>
            <wp:extent cx="1714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-573405</wp:posOffset>
            </wp:positionV>
            <wp:extent cx="17145"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-573405</wp:posOffset>
            </wp:positionV>
            <wp:extent cx="17145"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-573405</wp:posOffset>
            </wp:positionV>
            <wp:extent cx="17145"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-882015</wp:posOffset>
            </wp:positionV>
            <wp:extent cx="1714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-882015</wp:posOffset>
            </wp:positionV>
            <wp:extent cx="1714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-882015</wp:posOffset>
            </wp:positionV>
            <wp:extent cx="1714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-882015</wp:posOffset>
            </wp:positionV>
            <wp:extent cx="1714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-882015</wp:posOffset>
            </wp:positionV>
            <wp:extent cx="1714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-1191260</wp:posOffset>
            </wp:positionV>
            <wp:extent cx="1714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-1191260</wp:posOffset>
            </wp:positionV>
            <wp:extent cx="17145"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-1191260</wp:posOffset>
            </wp:positionV>
            <wp:extent cx="17145"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-1191260</wp:posOffset>
            </wp:positionV>
            <wp:extent cx="17145"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-1191260</wp:posOffset>
            </wp:positionV>
            <wp:extent cx="1714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-1499870</wp:posOffset>
            </wp:positionV>
            <wp:extent cx="1714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-1499870</wp:posOffset>
            </wp:positionV>
            <wp:extent cx="1714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-1499870</wp:posOffset>
            </wp:positionV>
            <wp:extent cx="1714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-1499870</wp:posOffset>
            </wp:positionV>
            <wp:extent cx="1714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-1499870</wp:posOffset>
            </wp:positionV>
            <wp:extent cx="17145"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-1807845</wp:posOffset>
            </wp:positionV>
            <wp:extent cx="17145"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-1807845</wp:posOffset>
            </wp:positionV>
            <wp:extent cx="1714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-1807845</wp:posOffset>
            </wp:positionV>
            <wp:extent cx="1714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-1807845</wp:posOffset>
            </wp:positionV>
            <wp:extent cx="1714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-1807845</wp:posOffset>
            </wp:positionV>
            <wp:extent cx="1714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-2116455</wp:posOffset>
            </wp:positionV>
            <wp:extent cx="17145"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-2116455</wp:posOffset>
            </wp:positionV>
            <wp:extent cx="1714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-2116455</wp:posOffset>
            </wp:positionV>
            <wp:extent cx="1714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-2116455</wp:posOffset>
            </wp:positionV>
            <wp:extent cx="17145"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-2116455</wp:posOffset>
            </wp:positionV>
            <wp:extent cx="17145"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36195</wp:posOffset>
            </wp:positionV>
            <wp:extent cx="3188970" cy="1543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188970" cy="154305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880" w:type="dxa"/>
            <w:vAlign w:val="bottom"/>
            <w:shd w:val="clear" w:color="auto" w:fill="0063A6"/>
          </w:tcPr>
          <w:p>
            <w:pPr>
              <w:spacing w:after="0"/>
              <w:rPr>
                <w:sz w:val="24"/>
                <w:szCs w:val="24"/>
                <w:color w:val="auto"/>
              </w:rPr>
            </w:pPr>
          </w:p>
        </w:tc>
        <w:tc>
          <w:tcPr>
            <w:tcW w:w="4100" w:type="dxa"/>
            <w:vAlign w:val="bottom"/>
            <w:gridSpan w:val="3"/>
            <w:shd w:val="clear" w:color="auto" w:fill="0063A6"/>
          </w:tcPr>
          <w:p>
            <w:pPr>
              <w:ind w:left="1020"/>
              <w:spacing w:after="0"/>
              <w:rPr>
                <w:sz w:val="20"/>
                <w:szCs w:val="20"/>
                <w:color w:val="auto"/>
              </w:rPr>
            </w:pPr>
            <w:r>
              <w:rPr>
                <w:rFonts w:ascii="Arial" w:cs="Arial" w:eastAsia="Arial" w:hAnsi="Arial"/>
                <w:sz w:val="14"/>
                <w:szCs w:val="14"/>
                <w:b w:val="1"/>
                <w:bCs w:val="1"/>
                <w:color w:val="FFFFFF"/>
              </w:rPr>
              <w:t>Amount and nature of beneficial ownership</w:t>
            </w:r>
          </w:p>
        </w:tc>
        <w:tc>
          <w:tcPr>
            <w:tcW w:w="900" w:type="dxa"/>
            <w:vAlign w:val="bottom"/>
            <w:shd w:val="clear" w:color="auto" w:fill="0063A6"/>
          </w:tcPr>
          <w:p>
            <w:pPr>
              <w:spacing w:after="0"/>
              <w:rPr>
                <w:sz w:val="24"/>
                <w:szCs w:val="24"/>
                <w:color w:val="auto"/>
              </w:rPr>
            </w:pPr>
          </w:p>
        </w:tc>
        <w:tc>
          <w:tcPr>
            <w:tcW w:w="1360" w:type="dxa"/>
            <w:vAlign w:val="bottom"/>
            <w:shd w:val="clear" w:color="auto" w:fill="0063A6"/>
          </w:tcPr>
          <w:p>
            <w:pPr>
              <w:spacing w:after="0"/>
              <w:rPr>
                <w:sz w:val="24"/>
                <w:szCs w:val="24"/>
                <w:color w:val="auto"/>
              </w:rPr>
            </w:pPr>
          </w:p>
        </w:tc>
      </w:tr>
      <w:tr>
        <w:trPr>
          <w:trHeight w:val="314"/>
        </w:trPr>
        <w:tc>
          <w:tcPr>
            <w:tcW w:w="4880" w:type="dxa"/>
            <w:vAlign w:val="bottom"/>
            <w:shd w:val="clear" w:color="auto" w:fill="0063A6"/>
          </w:tcPr>
          <w:p>
            <w:pPr>
              <w:spacing w:after="0"/>
              <w:rPr>
                <w:sz w:val="24"/>
                <w:szCs w:val="24"/>
                <w:color w:val="auto"/>
              </w:rPr>
            </w:pP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A</w:t>
            </w:r>
          </w:p>
        </w:tc>
        <w:tc>
          <w:tcPr>
            <w:tcW w:w="900" w:type="dxa"/>
            <w:vAlign w:val="bottom"/>
            <w:shd w:val="clear" w:color="auto" w:fill="0063A6"/>
          </w:tcPr>
          <w:p>
            <w:pPr>
              <w:spacing w:after="0"/>
              <w:rPr>
                <w:sz w:val="24"/>
                <w:szCs w:val="24"/>
                <w:color w:val="auto"/>
              </w:rPr>
            </w:pP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B</w:t>
            </w:r>
          </w:p>
        </w:tc>
        <w:tc>
          <w:tcPr>
            <w:tcW w:w="900" w:type="dxa"/>
            <w:vAlign w:val="bottom"/>
            <w:shd w:val="clear" w:color="auto" w:fill="0063A6"/>
          </w:tcPr>
          <w:p>
            <w:pPr>
              <w:spacing w:after="0"/>
              <w:rPr>
                <w:sz w:val="24"/>
                <w:szCs w:val="24"/>
                <w:color w:val="auto"/>
              </w:rPr>
            </w:pP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 of total</w:t>
            </w:r>
          </w:p>
        </w:tc>
      </w:tr>
      <w:tr>
        <w:trPr>
          <w:trHeight w:val="248"/>
        </w:trPr>
        <w:tc>
          <w:tcPr>
            <w:tcW w:w="48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6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r>
              <w:rPr>
                <w:rFonts w:ascii="Arial" w:cs="Arial" w:eastAsia="Arial" w:hAnsi="Arial"/>
                <w:sz w:val="18"/>
                <w:szCs w:val="18"/>
                <w:b w:val="1"/>
                <w:bCs w:val="1"/>
                <w:color w:val="FFFFFF"/>
                <w:vertAlign w:val="superscript"/>
              </w:rPr>
              <w:t>†</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18"/>
                <w:szCs w:val="18"/>
                <w:b w:val="1"/>
                <w:bCs w:val="1"/>
                <w:color w:val="FFFFFF"/>
                <w:vertAlign w:val="superscript"/>
              </w:rPr>
              <w:t>#</w:t>
            </w:r>
          </w:p>
        </w:tc>
      </w:tr>
      <w:tr>
        <w:trPr>
          <w:trHeight w:val="223"/>
        </w:trPr>
        <w:tc>
          <w:tcPr>
            <w:tcW w:w="4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Greater than 5% stockholders</w:t>
            </w:r>
          </w:p>
        </w:tc>
        <w:tc>
          <w:tcPr>
            <w:tcW w:w="1600" w:type="dxa"/>
            <w:vAlign w:val="bottom"/>
            <w:tcBorders>
              <w:bottom w:val="single" w:sz="8" w:color="F2F2F2"/>
            </w:tcBorders>
            <w:shd w:val="clear" w:color="auto" w:fill="F2F2F2"/>
          </w:tcPr>
          <w:p>
            <w:pPr>
              <w:spacing w:after="0"/>
              <w:rPr>
                <w:sz w:val="19"/>
                <w:szCs w:val="19"/>
                <w:color w:val="auto"/>
              </w:rPr>
            </w:pPr>
          </w:p>
        </w:tc>
        <w:tc>
          <w:tcPr>
            <w:tcW w:w="900" w:type="dxa"/>
            <w:vAlign w:val="bottom"/>
            <w:tcBorders>
              <w:bottom w:val="single" w:sz="8" w:color="F2F2F2"/>
            </w:tcBorders>
            <w:shd w:val="clear" w:color="auto" w:fill="F2F2F2"/>
          </w:tcPr>
          <w:p>
            <w:pPr>
              <w:spacing w:after="0"/>
              <w:rPr>
                <w:sz w:val="19"/>
                <w:szCs w:val="19"/>
                <w:color w:val="auto"/>
              </w:rPr>
            </w:pPr>
          </w:p>
        </w:tc>
        <w:tc>
          <w:tcPr>
            <w:tcW w:w="1600" w:type="dxa"/>
            <w:vAlign w:val="bottom"/>
            <w:tcBorders>
              <w:bottom w:val="single" w:sz="8" w:color="F2F2F2"/>
            </w:tcBorders>
            <w:shd w:val="clear" w:color="auto" w:fill="F2F2F2"/>
          </w:tcPr>
          <w:p>
            <w:pPr>
              <w:spacing w:after="0"/>
              <w:rPr>
                <w:sz w:val="19"/>
                <w:szCs w:val="19"/>
                <w:color w:val="auto"/>
              </w:rPr>
            </w:pPr>
          </w:p>
        </w:tc>
        <w:tc>
          <w:tcPr>
            <w:tcW w:w="900" w:type="dxa"/>
            <w:vAlign w:val="bottom"/>
            <w:tcBorders>
              <w:bottom w:val="single" w:sz="8" w:color="F2F2F2"/>
            </w:tcBorders>
            <w:shd w:val="clear" w:color="auto" w:fill="F2F2F2"/>
          </w:tcPr>
          <w:p>
            <w:pPr>
              <w:spacing w:after="0"/>
              <w:rPr>
                <w:sz w:val="19"/>
                <w:szCs w:val="19"/>
                <w:color w:val="auto"/>
              </w:rPr>
            </w:pPr>
          </w:p>
        </w:tc>
        <w:tc>
          <w:tcPr>
            <w:tcW w:w="1360" w:type="dxa"/>
            <w:vAlign w:val="bottom"/>
            <w:tcBorders>
              <w:bottom w:val="single" w:sz="8" w:color="F2F2F2"/>
            </w:tcBorders>
            <w:shd w:val="clear" w:color="auto" w:fill="F2F2F2"/>
          </w:tcPr>
          <w:p>
            <w:pPr>
              <w:spacing w:after="0"/>
              <w:rPr>
                <w:sz w:val="19"/>
                <w:szCs w:val="19"/>
                <w:color w:val="auto"/>
              </w:rPr>
            </w:pPr>
          </w:p>
        </w:tc>
      </w:tr>
      <w:tr>
        <w:trPr>
          <w:trHeight w:val="366"/>
        </w:trPr>
        <w:tc>
          <w:tcPr>
            <w:tcW w:w="4880" w:type="dxa"/>
            <w:vAlign w:val="bottom"/>
          </w:tcPr>
          <w:p>
            <w:pPr>
              <w:ind w:left="60"/>
              <w:spacing w:after="0"/>
              <w:rPr>
                <w:sz w:val="20"/>
                <w:szCs w:val="20"/>
                <w:color w:val="auto"/>
              </w:rPr>
            </w:pPr>
            <w:r>
              <w:rPr>
                <w:rFonts w:ascii="Arial" w:cs="Arial" w:eastAsia="Arial" w:hAnsi="Arial"/>
                <w:sz w:val="16"/>
                <w:szCs w:val="16"/>
                <w:color w:val="auto"/>
              </w:rPr>
              <w:t>Entities affiliated with The Vanguard Group</w:t>
            </w:r>
            <w:r>
              <w:rPr>
                <w:rFonts w:ascii="Arial" w:cs="Arial" w:eastAsia="Arial" w:hAnsi="Arial"/>
                <w:sz w:val="21"/>
                <w:szCs w:val="21"/>
                <w:color w:val="auto"/>
                <w:vertAlign w:val="superscript"/>
              </w:rPr>
              <w:t>(3)</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27,494,824</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16.59</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2.99</w:t>
            </w:r>
          </w:p>
        </w:tc>
      </w:tr>
      <w:tr>
        <w:trPr>
          <w:trHeight w:val="39"/>
        </w:trPr>
        <w:tc>
          <w:tcPr>
            <w:tcW w:w="48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385"/>
        </w:trPr>
        <w:tc>
          <w:tcPr>
            <w:tcW w:w="4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Entities affiliated with BlackRock, Inc.</w:t>
            </w:r>
            <w:r>
              <w:rPr>
                <w:rFonts w:ascii="Arial" w:cs="Arial" w:eastAsia="Arial" w:hAnsi="Arial"/>
                <w:sz w:val="21"/>
                <w:szCs w:val="21"/>
                <w:color w:val="auto"/>
                <w:vertAlign w:val="superscript"/>
              </w:rPr>
              <w:t>(4)</w:t>
            </w:r>
          </w:p>
        </w:tc>
        <w:tc>
          <w:tcPr>
            <w:tcW w:w="16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21,859,416</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13.19</w:t>
            </w:r>
          </w:p>
        </w:tc>
        <w:tc>
          <w:tcPr>
            <w:tcW w:w="16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2.37</w:t>
            </w:r>
          </w:p>
        </w:tc>
      </w:tr>
      <w:tr>
        <w:trPr>
          <w:trHeight w:val="243"/>
        </w:trPr>
        <w:tc>
          <w:tcPr>
            <w:tcW w:w="4880" w:type="dxa"/>
            <w:vAlign w:val="bottom"/>
          </w:tcPr>
          <w:p>
            <w:pPr>
              <w:ind w:left="60"/>
              <w:spacing w:after="0"/>
              <w:rPr>
                <w:sz w:val="20"/>
                <w:szCs w:val="20"/>
                <w:color w:val="auto"/>
              </w:rPr>
            </w:pPr>
            <w:r>
              <w:rPr>
                <w:rFonts w:ascii="Arial" w:cs="Arial" w:eastAsia="Arial" w:hAnsi="Arial"/>
                <w:sz w:val="16"/>
                <w:szCs w:val="16"/>
                <w:color w:val="auto"/>
              </w:rPr>
              <w:t>LSV Asset Management</w:t>
            </w:r>
            <w:r>
              <w:rPr>
                <w:rFonts w:ascii="Arial" w:cs="Arial" w:eastAsia="Arial" w:hAnsi="Arial"/>
                <w:sz w:val="21"/>
                <w:szCs w:val="21"/>
                <w:color w:val="auto"/>
                <w:vertAlign w:val="superscript"/>
              </w:rPr>
              <w:t>(5)</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11,613,642</w:t>
            </w:r>
          </w:p>
        </w:tc>
        <w:tc>
          <w:tcPr>
            <w:tcW w:w="900" w:type="dxa"/>
            <w:vAlign w:val="bottom"/>
          </w:tcPr>
          <w:p>
            <w:pPr>
              <w:jc w:val="center"/>
              <w:spacing w:after="0"/>
              <w:rPr>
                <w:sz w:val="20"/>
                <w:szCs w:val="20"/>
                <w:color w:val="auto"/>
              </w:rPr>
            </w:pPr>
            <w:r>
              <w:rPr>
                <w:rFonts w:ascii="Arial" w:cs="Arial" w:eastAsia="Arial" w:hAnsi="Arial"/>
                <w:sz w:val="16"/>
                <w:szCs w:val="16"/>
                <w:color w:val="auto"/>
              </w:rPr>
              <w:t>7.01</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1.26</w:t>
            </w:r>
          </w:p>
        </w:tc>
      </w:tr>
      <w:tr>
        <w:trPr>
          <w:trHeight w:val="243"/>
        </w:trPr>
        <w:tc>
          <w:tcPr>
            <w:tcW w:w="4880" w:type="dxa"/>
            <w:vAlign w:val="bottom"/>
            <w:shd w:val="clear" w:color="auto" w:fill="F2F2F2"/>
          </w:tcPr>
          <w:p>
            <w:pPr>
              <w:ind w:left="60"/>
              <w:spacing w:after="0"/>
              <w:rPr>
                <w:sz w:val="20"/>
                <w:szCs w:val="20"/>
                <w:color w:val="auto"/>
              </w:rPr>
            </w:pPr>
            <w:r>
              <w:rPr>
                <w:rFonts w:ascii="Arial" w:cs="Arial" w:eastAsia="Arial" w:hAnsi="Arial"/>
                <w:sz w:val="16"/>
                <w:szCs w:val="16"/>
                <w:color w:val="auto"/>
              </w:rPr>
              <w:t>Renaissance Technologies LLC</w:t>
            </w:r>
            <w:r>
              <w:rPr>
                <w:rFonts w:ascii="Arial" w:cs="Arial" w:eastAsia="Arial" w:hAnsi="Arial"/>
                <w:sz w:val="21"/>
                <w:szCs w:val="21"/>
                <w:color w:val="auto"/>
                <w:vertAlign w:val="superscript"/>
              </w:rPr>
              <w:t>(6)</w:t>
            </w:r>
          </w:p>
        </w:tc>
        <w:tc>
          <w:tcPr>
            <w:tcW w:w="16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8,376,364</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5.06</w:t>
            </w:r>
          </w:p>
        </w:tc>
        <w:tc>
          <w:tcPr>
            <w:tcW w:w="16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0.91</w:t>
            </w:r>
          </w:p>
        </w:tc>
      </w:tr>
    </w:tbl>
    <w:p>
      <w:pPr>
        <w:spacing w:after="0" w:line="99" w:lineRule="exact"/>
        <w:rPr>
          <w:sz w:val="20"/>
          <w:szCs w:val="20"/>
          <w:color w:val="auto"/>
        </w:rPr>
      </w:pPr>
    </w:p>
    <w:p>
      <w:pPr>
        <w:ind w:left="340" w:right="380" w:hanging="332"/>
        <w:spacing w:after="0" w:line="262" w:lineRule="auto"/>
        <w:tabs>
          <w:tab w:leader="none" w:pos="339"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340" w:right="140" w:hanging="332"/>
        <w:spacing w:after="0" w:line="251" w:lineRule="auto"/>
        <w:tabs>
          <w:tab w:leader="none" w:pos="339" w:val="left"/>
        </w:tabs>
        <w:numPr>
          <w:ilvl w:val="0"/>
          <w:numId w:val="96"/>
        </w:numPr>
        <w:rPr>
          <w:rFonts w:ascii="Arial" w:cs="Arial" w:eastAsia="Arial" w:hAnsi="Arial"/>
          <w:sz w:val="14"/>
          <w:szCs w:val="14"/>
          <w:color w:val="auto"/>
        </w:rPr>
      </w:pPr>
      <w:r>
        <w:rPr>
          <w:rFonts w:ascii="Arial" w:cs="Arial" w:eastAsia="Arial" w:hAnsi="Arial"/>
          <w:sz w:val="14"/>
          <w:szCs w:val="14"/>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2"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283" w:lineRule="exact"/>
        <w:rPr>
          <w:sz w:val="20"/>
          <w:szCs w:val="20"/>
          <w:color w:val="auto"/>
        </w:rPr>
      </w:pPr>
    </w:p>
    <w:p>
      <w:pPr>
        <w:ind w:left="340" w:right="20" w:hanging="332"/>
        <w:spacing w:after="0" w:line="233" w:lineRule="auto"/>
        <w:tabs>
          <w:tab w:leader="none" w:pos="333"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Consists of (i) 716,728 shares of Class A Common Stock and 7,608,764 shares of Class B Common Stock held by the Houston Remainder Trust u/a/ 12/30/2010, for which Mr. Houston serves as trustee, (ii) 66,507,625 shares of Class B Common Stock were held by Andrew Houston Revocable Trust u/a/d 9/7/2011, for which Mr. Houston serves as trustee, (iii) 500,500 shares of Class B common stock held by the Houston 2012 Irrevocable Children’s Trust dated 4/12/2012, for which Mr. Houston serves as trustee, (iv) 444,444 shares of Class A Common Stock held by the Erin Yu Revocable Trust u/a/d 1/18/2024, for which Mr. Houston's spouse serves as a trustee, and (v) 8,266,666 shares of Class A common stock underlying RSAs subject to Mr. Houston’s Co-Founder Grant.</w:t>
      </w:r>
    </w:p>
    <w:p>
      <w:pPr>
        <w:ind w:left="340" w:right="20" w:hanging="332"/>
        <w:spacing w:after="0" w:line="251" w:lineRule="auto"/>
        <w:tabs>
          <w:tab w:leader="none" w:pos="333" w:val="left"/>
        </w:tabs>
        <w:numPr>
          <w:ilvl w:val="0"/>
          <w:numId w:val="98"/>
        </w:numPr>
        <w:rPr>
          <w:rFonts w:ascii="Arial" w:cs="Arial" w:eastAsia="Arial" w:hAnsi="Arial"/>
          <w:sz w:val="9"/>
          <w:szCs w:val="9"/>
          <w:color w:val="auto"/>
        </w:rPr>
      </w:pPr>
      <w:r>
        <w:rPr>
          <w:rFonts w:ascii="Arial" w:cs="Arial" w:eastAsia="Arial" w:hAnsi="Arial"/>
          <w:sz w:val="14"/>
          <w:szCs w:val="14"/>
          <w:color w:val="auto"/>
        </w:rPr>
        <w:t>Consists of (i) 178,058 shares of Class A common stock held by the Paul E. Jacobs Trust dated November 7, 2014, for which Dr. Jacobs serves as trustee, and (ii) 135,401 shares of Class A common stock held by Dr. Jacobs.</w:t>
      </w:r>
    </w:p>
    <w:p>
      <w:pPr>
        <w:ind w:left="340" w:right="100" w:hanging="332"/>
        <w:spacing w:after="0" w:line="231" w:lineRule="auto"/>
        <w:tabs>
          <w:tab w:leader="none" w:pos="333"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December 31, 2024 according to a Schedule 13G/A filed with the SEC by The Vanguard Group, Inc.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on January 30, 2025. Vanguard has beneficial ownership of 27,494,824 shares of Class A common stock. The Schedule 13G/A reports that Vanguard has shared voting power with respect to 120,622 shares of Class A common stock, sole dispositive power with respect to 27,094,978 shares of Class A common stock and shared dispositive power over 399,846 shares of Class A common stock. The address for Vanguard is 100 Vanguard Blvd., Malvern, PA 19355.</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5320"/>
        <w:spacing w:after="0"/>
        <w:tabs>
          <w:tab w:leader="none" w:pos="110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1700"/>
        <w:spacing w:after="0" w:line="252" w:lineRule="auto"/>
        <w:rPr>
          <w:sz w:val="20"/>
          <w:szCs w:val="20"/>
          <w:color w:val="auto"/>
        </w:rPr>
      </w:pPr>
      <w:r>
        <w:rPr>
          <w:rFonts w:ascii="Arial" w:cs="Arial" w:eastAsia="Arial" w:hAnsi="Arial"/>
          <w:sz w:val="31"/>
          <w:szCs w:val="31"/>
          <w:color w:val="0063A6"/>
        </w:rPr>
        <w:t>SECURITY OWNERSHIP OF CERTAIN BENEFICIAL OWNERS AND MANAGEMENT (continued)</w:t>
      </w:r>
    </w:p>
    <w:p>
      <w:pPr>
        <w:ind w:left="340" w:right="20" w:hanging="332"/>
        <w:spacing w:after="0" w:line="225" w:lineRule="auto"/>
        <w:tabs>
          <w:tab w:leader="none" w:pos="333"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March 31, 2025 according to a Schedule 13G/A filed with the SEC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on April 23, 2025. BlackRock has beneficial ownership of 21,859,416 shares of Class A common stock. The address for BlackRock is 50 Hudson Yards, New York, New York 10001.</w:t>
      </w:r>
    </w:p>
    <w:p>
      <w:pPr>
        <w:spacing w:after="0" w:line="1" w:lineRule="exact"/>
        <w:rPr>
          <w:rFonts w:ascii="Arial" w:cs="Arial" w:eastAsia="Arial" w:hAnsi="Arial"/>
          <w:sz w:val="19"/>
          <w:szCs w:val="19"/>
          <w:color w:val="auto"/>
          <w:vertAlign w:val="superscript"/>
        </w:rPr>
      </w:pPr>
    </w:p>
    <w:p>
      <w:pPr>
        <w:ind w:left="340" w:right="60" w:hanging="332"/>
        <w:spacing w:after="0" w:line="227" w:lineRule="auto"/>
        <w:tabs>
          <w:tab w:leader="none" w:pos="333"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September 30, 2025 according to a Schedule 13G filed with the SEC by LSV Asset Management on November 7, 2025. LSV Asset Management has beneficial ownership of 11,613,642 shares of Class A common stock. The address for LSV Asset Management is 155 North Wacker Drive, Suite 4600 Chicago, Illinois 60606.</w:t>
      </w:r>
    </w:p>
    <w:p>
      <w:pPr>
        <w:spacing w:after="0" w:line="1" w:lineRule="exact"/>
        <w:rPr>
          <w:rFonts w:ascii="Arial" w:cs="Arial" w:eastAsia="Arial" w:hAnsi="Arial"/>
          <w:sz w:val="19"/>
          <w:szCs w:val="19"/>
          <w:color w:val="auto"/>
          <w:vertAlign w:val="superscript"/>
        </w:rPr>
      </w:pPr>
    </w:p>
    <w:p>
      <w:pPr>
        <w:ind w:left="340" w:hanging="332"/>
        <w:spacing w:after="0" w:line="233" w:lineRule="auto"/>
        <w:tabs>
          <w:tab w:leader="none" w:pos="333"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December 31, 2025 according to a Schedule 13G/A filed with the SEC by Renaissance Technologies LLC ("</w:t>
      </w:r>
      <w:r>
        <w:rPr>
          <w:rFonts w:ascii="Arial" w:cs="Arial" w:eastAsia="Arial" w:hAnsi="Arial"/>
          <w:sz w:val="14"/>
          <w:szCs w:val="14"/>
          <w:b w:val="1"/>
          <w:bCs w:val="1"/>
          <w:i w:val="1"/>
          <w:iCs w:val="1"/>
          <w:color w:val="auto"/>
        </w:rPr>
        <w:t>Renaissance Technologies</w:t>
      </w:r>
      <w:r>
        <w:rPr>
          <w:rFonts w:ascii="Arial" w:cs="Arial" w:eastAsia="Arial" w:hAnsi="Arial"/>
          <w:sz w:val="14"/>
          <w:szCs w:val="14"/>
          <w:color w:val="auto"/>
        </w:rPr>
        <w:t>") on February 12, 2026. Renaissance Technologies has beneficial ownership of 8,376,364 shares of Class A common stock. The address for Renaissance Technologies is 800 Third Avenue New York, New York 10022.</w:t>
      </w:r>
    </w:p>
    <w:p>
      <w:pPr>
        <w:spacing w:after="0" w:line="200" w:lineRule="exact"/>
        <w:rPr>
          <w:sz w:val="20"/>
          <w:szCs w:val="20"/>
          <w:color w:val="auto"/>
        </w:rPr>
      </w:pPr>
    </w:p>
    <w:p>
      <w:pPr>
        <w:spacing w:after="0" w:line="300" w:lineRule="exact"/>
        <w:rPr>
          <w:sz w:val="20"/>
          <w:szCs w:val="20"/>
          <w:color w:val="auto"/>
        </w:rPr>
      </w:pPr>
    </w:p>
    <w:p>
      <w:pPr>
        <w:ind w:left="580" w:hanging="554"/>
        <w:spacing w:after="0"/>
        <w:tabs>
          <w:tab w:leader="none" w:pos="580" w:val="left"/>
        </w:tabs>
        <w:numPr>
          <w:ilvl w:val="0"/>
          <w:numId w:val="10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CERTAIN RELATIONSHIPS, RELATED PARTY AND OTHER TRANSACTIONS</w:t>
      </w:r>
    </w:p>
    <w:p>
      <w:pPr>
        <w:spacing w:after="0" w:line="200" w:lineRule="exact"/>
        <w:rPr>
          <w:sz w:val="20"/>
          <w:szCs w:val="20"/>
          <w:color w:val="auto"/>
        </w:rPr>
      </w:pPr>
    </w:p>
    <w:p>
      <w:pPr>
        <w:spacing w:after="0" w:line="27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Since the beginning of our last fiscal year we have not engaged in any transactions that would require disclosure under Item 404(a) of Regulation S-K, and are not aware of any such transactions currently proposed.</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Policies and Procedures for Related Person Transactions</w:t>
      </w:r>
    </w:p>
    <w:p>
      <w:pPr>
        <w:spacing w:after="0" w:line="21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28"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 (i) whether the transaction is on terms no less favorable than terms generally available to an unaffiliated third party and (ii) the extent of the related person’s interest in the transaction. The policy grants standing pre-approval of certain transactions, including (i) executive compensation governed by our standard compensation and benefits policies, (ii) director compensation arrangements governed by our standard director compensation policies, (iii) transactions with another company at which a related person’s only relationship is as an employee (other than an executive officer), director, or beneficial owner of less than 10% equity interest of that company, if the aggregate amount involved does not exceed the greater of $200,000 or 2% of the recipient’s consolidated gross revenues, (iv) charitable contributions, grants or endowments by us to a charitable organization, foundation or university where the related person’s only relationship is as an employee (other than an executive officer), or director, if the aggregate amount involved does not exceed the lesser of $1,000,000 or 2% of the charitable organization’s total annual receipts, (v) any transaction available to all U.S. employees generally, and (vi) transactions where a related person’s interest arises solely from the ownership of our common stock and all holders of our common stock received the same benefit on a pro rata basis.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OTHER MATTERS</w:t>
      </w:r>
    </w:p>
    <w:p>
      <w:pPr>
        <w:spacing w:after="0" w:line="336" w:lineRule="exact"/>
        <w:rPr>
          <w:sz w:val="20"/>
          <w:szCs w:val="20"/>
          <w:color w:val="auto"/>
        </w:rPr>
      </w:pPr>
    </w:p>
    <w:p>
      <w:pPr>
        <w:spacing w:after="0"/>
        <w:rPr>
          <w:sz w:val="20"/>
          <w:szCs w:val="20"/>
          <w:color w:val="auto"/>
        </w:rPr>
      </w:pPr>
      <w:r>
        <w:rPr>
          <w:rFonts w:ascii="Arial" w:cs="Arial" w:eastAsia="Arial" w:hAnsi="Arial"/>
          <w:sz w:val="26"/>
          <w:szCs w:val="26"/>
          <w:color w:val="0063A6"/>
        </w:rPr>
        <w:t>Section 16(a) Beneficial Ownership Reporting Compliance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2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2025, all executive officers, directors and greater than 10% stockholders complied with all applicable SEC filing requirements.</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63A6"/>
        </w:rPr>
        <w:t>Fiscal Year 2025 Annual Report and SEC Filings</w:t>
      </w: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financial statements for our fiscal year ended December 31, 2025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0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[_____], 2026</w:t>
      </w:r>
    </w:p>
    <w:p>
      <w:pPr>
        <w:spacing w:after="0" w:line="200" w:lineRule="exact"/>
        <w:rPr>
          <w:sz w:val="20"/>
          <w:szCs w:val="20"/>
          <w:color w:val="auto"/>
        </w:rPr>
      </w:pPr>
    </w:p>
    <w:p>
      <w:pPr>
        <w:spacing w:after="0" w:line="363" w:lineRule="exact"/>
        <w:rPr>
          <w:sz w:val="20"/>
          <w:szCs w:val="20"/>
          <w:color w:val="auto"/>
        </w:rPr>
      </w:pPr>
    </w:p>
    <w:p>
      <w:pPr>
        <w:ind w:left="580" w:hanging="554"/>
        <w:spacing w:after="0"/>
        <w:tabs>
          <w:tab w:leader="none" w:pos="580"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APPENDIX A</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color w:val="0063A6"/>
        </w:rPr>
        <w:t>Reconciliation of GAAP financial measures to non-GAAP financial measures</w:t>
      </w:r>
    </w:p>
    <w:p>
      <w:pPr>
        <w:spacing w:after="0" w:line="21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This proxy statement contains information regarding two non-GAAP financial measures: non-GAAP operating margin and free cash flow, each of which are not calculated in accordance with GAAP. Non-GAAP operating margin is calculated as our non-GAAP income (loss) from operations divided by revenue. Non-GAAP income (loss) from operations differs from GAAP in that it excludes stock-based compensation expense, amortization of acquired intangible assets, other acquisition-related expenses, which include third-party diligence costs and expenses related to key employee holdback agreements, net (gain) loss on real estate assets, and expenses related to our reduction in workforce. Free cash flow differs from GAAP net cash provided by operating activities in that it treats capital expenditures as a reduction to net cash provided by operating activities.</w:t>
      </w:r>
    </w:p>
    <w:p>
      <w:pPr>
        <w:spacing w:after="0" w:line="12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believe that these non-GAAP financial measures are appropriate to enhance an overall understanding of our fiscal 2025 performance in relation to the principal elements of Dropbox’s annual executive compensation program considered by the talent and compensation committee, as described in the section titled “Executive Compensation</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use of non-GAAP operating margin and free cash flow has certain limitations as they do not reflect all items of income, expense, and cash expenditures, as applicable, that affect Dropbox’s operations.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w:t>
      </w:r>
    </w:p>
    <w:p>
      <w:pPr>
        <w:spacing w:after="0" w:line="1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Stockholders should review the reconciliation of non-GAAP operating margin and free cash flow to their most directly comparable GAAP financial measures, as provided in the following tables (in millions, except for percentages, which may not foot due to rounding):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49465" cy="22371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23710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840" w:type="dxa"/>
            <w:vAlign w:val="bottom"/>
            <w:tcBorders>
              <w:bottom w:val="single" w:sz="8" w:color="0063A6"/>
            </w:tcBorders>
            <w:shd w:val="clear" w:color="auto" w:fill="0063A6"/>
          </w:tcPr>
          <w:p>
            <w:pPr>
              <w:spacing w:after="0"/>
              <w:rPr>
                <w:sz w:val="24"/>
                <w:szCs w:val="24"/>
                <w:color w:val="auto"/>
              </w:rPr>
            </w:pPr>
          </w:p>
        </w:tc>
        <w:tc>
          <w:tcPr>
            <w:tcW w:w="3400" w:type="dxa"/>
            <w:vAlign w:val="bottom"/>
            <w:tcBorders>
              <w:bottom w:val="single" w:sz="8" w:color="0063A6"/>
            </w:tcBorders>
            <w:gridSpan w:val="2"/>
            <w:shd w:val="clear" w:color="auto" w:fill="0063A6"/>
          </w:tcPr>
          <w:p>
            <w:pPr>
              <w:ind w:left="460"/>
              <w:spacing w:after="0"/>
              <w:rPr>
                <w:sz w:val="20"/>
                <w:szCs w:val="20"/>
                <w:color w:val="auto"/>
              </w:rPr>
            </w:pPr>
            <w:r>
              <w:rPr>
                <w:rFonts w:ascii="Arial" w:cs="Arial" w:eastAsia="Arial" w:hAnsi="Arial"/>
                <w:sz w:val="14"/>
                <w:szCs w:val="14"/>
                <w:b w:val="1"/>
                <w:bCs w:val="1"/>
                <w:color w:val="FFFFFF"/>
              </w:rPr>
              <w:t>Twelve Months Ended December 31,</w:t>
            </w:r>
          </w:p>
        </w:tc>
      </w:tr>
      <w:tr>
        <w:trPr>
          <w:trHeight w:val="304"/>
        </w:trPr>
        <w:tc>
          <w:tcPr>
            <w:tcW w:w="7840" w:type="dxa"/>
            <w:vAlign w:val="bottom"/>
            <w:tcBorders>
              <w:bottom w:val="single" w:sz="8" w:color="E5EFFD"/>
            </w:tcBorders>
            <w:shd w:val="clear" w:color="auto" w:fill="E5EFFD"/>
          </w:tcPr>
          <w:p>
            <w:pPr>
              <w:spacing w:after="0"/>
              <w:rPr>
                <w:sz w:val="24"/>
                <w:szCs w:val="24"/>
                <w:color w:val="auto"/>
              </w:rPr>
            </w:pPr>
          </w:p>
        </w:tc>
        <w:tc>
          <w:tcPr>
            <w:tcW w:w="1700" w:type="dxa"/>
            <w:vAlign w:val="bottom"/>
            <w:tcBorders>
              <w:bottom w:val="single" w:sz="8" w:color="E5EFFD"/>
            </w:tcBorders>
            <w:shd w:val="clear" w:color="auto" w:fill="E5EFFD"/>
          </w:tcPr>
          <w:p>
            <w:pPr>
              <w:jc w:val="center"/>
              <w:spacing w:after="0"/>
              <w:rPr>
                <w:sz w:val="20"/>
                <w:szCs w:val="20"/>
                <w:color w:val="auto"/>
              </w:rPr>
            </w:pPr>
            <w:r>
              <w:rPr>
                <w:rFonts w:ascii="Arial" w:cs="Arial" w:eastAsia="Arial" w:hAnsi="Arial"/>
                <w:sz w:val="14"/>
                <w:szCs w:val="14"/>
                <w:b w:val="1"/>
                <w:bCs w:val="1"/>
                <w:color w:val="0063A6"/>
              </w:rPr>
              <w:t>2025</w:t>
            </w:r>
          </w:p>
        </w:tc>
        <w:tc>
          <w:tcPr>
            <w:tcW w:w="1700" w:type="dxa"/>
            <w:vAlign w:val="bottom"/>
            <w:tcBorders>
              <w:bottom w:val="single" w:sz="8" w:color="E5EFFD"/>
            </w:tcBorders>
            <w:shd w:val="clear" w:color="auto" w:fill="E5EFFD"/>
          </w:tcPr>
          <w:p>
            <w:pPr>
              <w:jc w:val="center"/>
              <w:spacing w:after="0"/>
              <w:rPr>
                <w:sz w:val="20"/>
                <w:szCs w:val="20"/>
                <w:color w:val="auto"/>
              </w:rPr>
            </w:pPr>
            <w:r>
              <w:rPr>
                <w:rFonts w:ascii="Arial" w:cs="Arial" w:eastAsia="Arial" w:hAnsi="Arial"/>
                <w:sz w:val="14"/>
                <w:szCs w:val="14"/>
                <w:b w:val="1"/>
                <w:bCs w:val="1"/>
                <w:color w:val="0063A6"/>
              </w:rPr>
              <w:t>2024</w:t>
            </w:r>
          </w:p>
        </w:tc>
      </w:tr>
      <w:tr>
        <w:trPr>
          <w:trHeight w:val="250"/>
        </w:trPr>
        <w:tc>
          <w:tcPr>
            <w:tcW w:w="78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color w:val="auto"/>
              </w:rPr>
              <w:t>GAAP income from operations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$689.1</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$486.2</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i w:val="1"/>
                <w:iCs w:val="1"/>
                <w:color w:val="auto"/>
              </w:rPr>
              <w:t>GAAP operating margin</w:t>
            </w:r>
          </w:p>
        </w:tc>
        <w:tc>
          <w:tcPr>
            <w:tcW w:w="1700" w:type="dxa"/>
            <w:vAlign w:val="bottom"/>
          </w:tcPr>
          <w:p>
            <w:pPr>
              <w:jc w:val="center"/>
              <w:spacing w:after="0"/>
              <w:rPr>
                <w:sz w:val="20"/>
                <w:szCs w:val="20"/>
                <w:color w:val="auto"/>
              </w:rPr>
            </w:pPr>
            <w:r>
              <w:rPr>
                <w:rFonts w:ascii="Arial" w:cs="Arial" w:eastAsia="Arial" w:hAnsi="Arial"/>
                <w:sz w:val="16"/>
                <w:szCs w:val="16"/>
                <w:color w:val="auto"/>
              </w:rPr>
              <w:t>27.3%</w:t>
            </w:r>
          </w:p>
        </w:tc>
        <w:tc>
          <w:tcPr>
            <w:tcW w:w="1700" w:type="dxa"/>
            <w:vAlign w:val="bottom"/>
          </w:tcPr>
          <w:p>
            <w:pPr>
              <w:jc w:val="center"/>
              <w:spacing w:after="0"/>
              <w:rPr>
                <w:sz w:val="20"/>
                <w:szCs w:val="20"/>
                <w:color w:val="auto"/>
              </w:rPr>
            </w:pPr>
            <w:r>
              <w:rPr>
                <w:rFonts w:ascii="Arial" w:cs="Arial" w:eastAsia="Arial" w:hAnsi="Arial"/>
                <w:sz w:val="16"/>
                <w:szCs w:val="16"/>
                <w:color w:val="auto"/>
              </w:rPr>
              <w:t>19.1%</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309"/>
        </w:trPr>
        <w:tc>
          <w:tcPr>
            <w:tcW w:w="7840" w:type="dxa"/>
            <w:vAlign w:val="bottom"/>
            <w:shd w:val="clear" w:color="auto" w:fill="F2F2F2"/>
          </w:tcPr>
          <w:p>
            <w:pPr>
              <w:ind w:left="40"/>
              <w:spacing w:after="0"/>
              <w:rPr>
                <w:sz w:val="20"/>
                <w:szCs w:val="20"/>
                <w:color w:val="auto"/>
              </w:rPr>
            </w:pPr>
            <w:r>
              <w:rPr>
                <w:rFonts w:ascii="Arial" w:cs="Arial" w:eastAsia="Arial" w:hAnsi="Arial"/>
                <w:sz w:val="16"/>
                <w:szCs w:val="16"/>
                <w:color w:val="auto"/>
              </w:rPr>
              <w:t>Plus:</w:t>
            </w:r>
          </w:p>
        </w:tc>
        <w:tc>
          <w:tcPr>
            <w:tcW w:w="1700" w:type="dxa"/>
            <w:vAlign w:val="bottom"/>
            <w:shd w:val="clear" w:color="auto" w:fill="F2F2F2"/>
          </w:tcPr>
          <w:p>
            <w:pPr>
              <w:spacing w:after="0"/>
              <w:rPr>
                <w:sz w:val="24"/>
                <w:szCs w:val="24"/>
                <w:color w:val="auto"/>
              </w:rPr>
            </w:pPr>
          </w:p>
        </w:tc>
        <w:tc>
          <w:tcPr>
            <w:tcW w:w="1700" w:type="dxa"/>
            <w:vAlign w:val="bottom"/>
            <w:shd w:val="clear" w:color="auto" w:fill="F2F2F2"/>
          </w:tcPr>
          <w:p>
            <w:pPr>
              <w:spacing w:after="0"/>
              <w:rPr>
                <w:sz w:val="24"/>
                <w:szCs w:val="24"/>
                <w:color w:val="auto"/>
              </w:rPr>
            </w:pPr>
          </w:p>
        </w:tc>
      </w:tr>
      <w:tr>
        <w:trPr>
          <w:trHeight w:val="123"/>
        </w:trPr>
        <w:tc>
          <w:tcPr>
            <w:tcW w:w="7840" w:type="dxa"/>
            <w:vAlign w:val="bottom"/>
            <w:shd w:val="clear" w:color="auto" w:fill="F2F2F2"/>
          </w:tcPr>
          <w:p>
            <w:pPr>
              <w:spacing w:after="0"/>
              <w:rPr>
                <w:sz w:val="10"/>
                <w:szCs w:val="10"/>
                <w:color w:val="auto"/>
              </w:rPr>
            </w:pPr>
          </w:p>
        </w:tc>
        <w:tc>
          <w:tcPr>
            <w:tcW w:w="1700" w:type="dxa"/>
            <w:vAlign w:val="bottom"/>
            <w:shd w:val="clear" w:color="auto" w:fill="F2F2F2"/>
          </w:tcPr>
          <w:p>
            <w:pPr>
              <w:spacing w:after="0"/>
              <w:rPr>
                <w:sz w:val="10"/>
                <w:szCs w:val="10"/>
                <w:color w:val="auto"/>
              </w:rPr>
            </w:pPr>
          </w:p>
        </w:tc>
        <w:tc>
          <w:tcPr>
            <w:tcW w:w="1700" w:type="dxa"/>
            <w:vAlign w:val="bottom"/>
            <w:shd w:val="clear" w:color="auto" w:fill="F2F2F2"/>
          </w:tcPr>
          <w:p>
            <w:pPr>
              <w:spacing w:after="0"/>
              <w:rPr>
                <w:sz w:val="10"/>
                <w:szCs w:val="10"/>
                <w:color w:val="auto"/>
              </w:rPr>
            </w:pP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700" w:type="dxa"/>
            <w:vAlign w:val="bottom"/>
          </w:tcPr>
          <w:p>
            <w:pPr>
              <w:jc w:val="center"/>
              <w:spacing w:after="0"/>
              <w:rPr>
                <w:sz w:val="20"/>
                <w:szCs w:val="20"/>
                <w:color w:val="auto"/>
              </w:rPr>
            </w:pPr>
            <w:r>
              <w:rPr>
                <w:rFonts w:ascii="Arial" w:cs="Arial" w:eastAsia="Arial" w:hAnsi="Arial"/>
                <w:sz w:val="16"/>
                <w:szCs w:val="16"/>
                <w:color w:val="auto"/>
              </w:rPr>
              <w:t>300.8</w:t>
            </w:r>
          </w:p>
        </w:tc>
        <w:tc>
          <w:tcPr>
            <w:tcW w:w="1700" w:type="dxa"/>
            <w:vAlign w:val="bottom"/>
          </w:tcPr>
          <w:p>
            <w:pPr>
              <w:jc w:val="center"/>
              <w:spacing w:after="0"/>
              <w:rPr>
                <w:sz w:val="20"/>
                <w:szCs w:val="20"/>
                <w:color w:val="auto"/>
              </w:rPr>
            </w:pPr>
            <w:r>
              <w:rPr>
                <w:rFonts w:ascii="Arial" w:cs="Arial" w:eastAsia="Arial" w:hAnsi="Arial"/>
                <w:sz w:val="16"/>
                <w:szCs w:val="16"/>
                <w:color w:val="auto"/>
              </w:rPr>
              <w:t>346.5</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78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6"/>
                <w:szCs w:val="16"/>
                <w:color w:val="auto"/>
              </w:rPr>
              <w:t>Acquisition-related and other expenses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8.0</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21.7</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Amortization of acquired intangible assets</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23.6</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25.8</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78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6"/>
                <w:szCs w:val="16"/>
                <w:color w:val="auto"/>
              </w:rPr>
              <w:t>Net (gain) loss on real estate assets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(1.3)</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0.1</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Workforce reduction expense</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3.7</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47.2</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78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color w:val="auto"/>
              </w:rPr>
              <w:t>Non-GAAP income from operations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1,023.9</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927.5</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Non-GAAP operating margin</w:t>
            </w:r>
          </w:p>
        </w:tc>
        <w:tc>
          <w:tcPr>
            <w:tcW w:w="1700" w:type="dxa"/>
            <w:vAlign w:val="bottom"/>
          </w:tcPr>
          <w:p>
            <w:pPr>
              <w:jc w:val="center"/>
              <w:spacing w:after="0"/>
              <w:rPr>
                <w:sz w:val="20"/>
                <w:szCs w:val="20"/>
                <w:color w:val="auto"/>
              </w:rPr>
            </w:pPr>
            <w:r>
              <w:rPr>
                <w:rFonts w:ascii="Arial" w:cs="Arial" w:eastAsia="Arial" w:hAnsi="Arial"/>
                <w:sz w:val="16"/>
                <w:szCs w:val="16"/>
                <w:color w:val="auto"/>
              </w:rPr>
              <w:t>40.6%</w:t>
            </w:r>
          </w:p>
        </w:tc>
        <w:tc>
          <w:tcPr>
            <w:tcW w:w="1700" w:type="dxa"/>
            <w:vAlign w:val="bottom"/>
          </w:tcPr>
          <w:p>
            <w:pPr>
              <w:jc w:val="center"/>
              <w:spacing w:after="0"/>
              <w:rPr>
                <w:sz w:val="20"/>
                <w:szCs w:val="20"/>
                <w:color w:val="auto"/>
              </w:rPr>
            </w:pPr>
            <w:r>
              <w:rPr>
                <w:rFonts w:ascii="Arial" w:cs="Arial" w:eastAsia="Arial" w:hAnsi="Arial"/>
                <w:sz w:val="16"/>
                <w:szCs w:val="16"/>
                <w:color w:val="auto"/>
              </w:rPr>
              <w:t>36.4%</w:t>
            </w:r>
          </w:p>
        </w:tc>
      </w:tr>
      <w:tr>
        <w:trPr>
          <w:trHeight w:val="642"/>
        </w:trPr>
        <w:tc>
          <w:tcPr>
            <w:tcW w:w="7840" w:type="dxa"/>
            <w:vAlign w:val="bottom"/>
          </w:tcPr>
          <w:p>
            <w:pPr>
              <w:spacing w:after="0"/>
              <w:rPr>
                <w:sz w:val="20"/>
                <w:szCs w:val="20"/>
                <w:color w:val="auto"/>
              </w:rPr>
            </w:pPr>
            <w:r>
              <w:rPr>
                <w:rFonts w:ascii="Arial" w:cs="Arial" w:eastAsia="Arial" w:hAnsi="Arial"/>
                <w:sz w:val="16"/>
                <w:szCs w:val="16"/>
                <w:b w:val="1"/>
                <w:bCs w:val="1"/>
                <w:color w:val="0063A6"/>
              </w:rPr>
              <w:t>Free cash flow</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7840" w:type="dxa"/>
            <w:vAlign w:val="bottom"/>
          </w:tcPr>
          <w:p>
            <w:pPr>
              <w:spacing w:after="0"/>
              <w:rPr>
                <w:sz w:val="20"/>
                <w:szCs w:val="20"/>
                <w:color w:val="auto"/>
              </w:rPr>
            </w:pPr>
          </w:p>
        </w:tc>
        <w:tc>
          <w:tcPr>
            <w:tcW w:w="3400" w:type="dxa"/>
            <w:vAlign w:val="bottom"/>
            <w:gridSpan w:val="2"/>
          </w:tcPr>
          <w:p>
            <w:pPr>
              <w:spacing w:after="0"/>
              <w:rPr>
                <w:sz w:val="20"/>
                <w:szCs w:val="20"/>
                <w:color w:val="auto"/>
              </w:rPr>
            </w:pPr>
          </w:p>
        </w:tc>
      </w:tr>
      <w:tr>
        <w:trPr>
          <w:trHeight w:val="268"/>
        </w:trPr>
        <w:tc>
          <w:tcPr>
            <w:tcW w:w="7840" w:type="dxa"/>
            <w:vAlign w:val="bottom"/>
            <w:shd w:val="clear" w:color="auto" w:fill="0063A6"/>
          </w:tcPr>
          <w:p>
            <w:pPr>
              <w:spacing w:after="0"/>
              <w:rPr>
                <w:sz w:val="23"/>
                <w:szCs w:val="23"/>
                <w:color w:val="auto"/>
              </w:rPr>
            </w:pPr>
          </w:p>
        </w:tc>
        <w:tc>
          <w:tcPr>
            <w:tcW w:w="3400" w:type="dxa"/>
            <w:vAlign w:val="bottom"/>
            <w:gridSpan w:val="2"/>
            <w:shd w:val="clear" w:color="auto" w:fill="0063A6"/>
          </w:tcPr>
          <w:p>
            <w:pPr>
              <w:ind w:left="460"/>
              <w:spacing w:after="0"/>
              <w:rPr>
                <w:sz w:val="20"/>
                <w:szCs w:val="20"/>
                <w:color w:val="auto"/>
              </w:rPr>
            </w:pPr>
            <w:r>
              <w:rPr>
                <w:rFonts w:ascii="Arial" w:cs="Arial" w:eastAsia="Arial" w:hAnsi="Arial"/>
                <w:sz w:val="14"/>
                <w:szCs w:val="14"/>
                <w:b w:val="1"/>
                <w:bCs w:val="1"/>
                <w:color w:val="FFFFFF"/>
              </w:rPr>
              <w:t>Twelve Months Ended December 31,</w:t>
            </w:r>
          </w:p>
        </w:tc>
      </w:tr>
      <w:tr>
        <w:trPr>
          <w:trHeight w:val="360"/>
        </w:trPr>
        <w:tc>
          <w:tcPr>
            <w:tcW w:w="7840" w:type="dxa"/>
            <w:vAlign w:val="bottom"/>
            <w:tcBorders>
              <w:bottom w:val="single" w:sz="8" w:color="0063A6"/>
            </w:tcBorders>
            <w:shd w:val="clear" w:color="auto" w:fill="0063A6"/>
          </w:tcPr>
          <w:p>
            <w:pPr>
              <w:spacing w:after="0"/>
              <w:rPr>
                <w:sz w:val="24"/>
                <w:szCs w:val="24"/>
                <w:color w:val="auto"/>
              </w:rPr>
            </w:pP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2025</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2024</w:t>
            </w:r>
          </w:p>
        </w:tc>
      </w:tr>
      <w:tr>
        <w:trPr>
          <w:trHeight w:val="230"/>
        </w:trPr>
        <w:tc>
          <w:tcPr>
            <w:tcW w:w="7840" w:type="dxa"/>
            <w:vAlign w:val="bottom"/>
            <w:shd w:val="clear" w:color="auto" w:fill="F2F2F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$951.8</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$894.1</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Less:</w:t>
            </w: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7"/>
        </w:trPr>
        <w:tc>
          <w:tcPr>
            <w:tcW w:w="7840" w:type="dxa"/>
            <w:vAlign w:val="bottom"/>
            <w:shd w:val="clear" w:color="auto" w:fill="F2F2F2"/>
          </w:tcPr>
          <w:p>
            <w:pPr>
              <w:ind w:left="280"/>
              <w:spacing w:after="0"/>
              <w:rPr>
                <w:sz w:val="20"/>
                <w:szCs w:val="20"/>
                <w:color w:val="auto"/>
              </w:rPr>
            </w:pPr>
            <w:r>
              <w:rPr>
                <w:rFonts w:ascii="Arial" w:cs="Arial" w:eastAsia="Arial" w:hAnsi="Arial"/>
                <w:sz w:val="16"/>
                <w:szCs w:val="16"/>
                <w:color w:val="auto"/>
              </w:rPr>
              <w:t>Capital expenditures</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(21.0)</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(22.5)</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1700" w:type="dxa"/>
            <w:vAlign w:val="bottom"/>
          </w:tcPr>
          <w:p>
            <w:pPr>
              <w:jc w:val="center"/>
              <w:spacing w:after="0"/>
              <w:rPr>
                <w:sz w:val="20"/>
                <w:szCs w:val="20"/>
                <w:color w:val="auto"/>
              </w:rPr>
            </w:pPr>
            <w:r>
              <w:rPr>
                <w:rFonts w:ascii="Arial" w:cs="Arial" w:eastAsia="Arial" w:hAnsi="Arial"/>
                <w:sz w:val="16"/>
                <w:szCs w:val="16"/>
                <w:color w:val="auto"/>
              </w:rPr>
              <w:t>930.8</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871.6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9683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31"/>
          <w:szCs w:val="31"/>
          <w:color w:val="0063A6"/>
        </w:rPr>
        <w:t>APPENDIX B</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21"/>
          <w:szCs w:val="21"/>
          <w:b w:val="1"/>
          <w:bCs w:val="1"/>
          <w:color w:val="EE0000"/>
        </w:rPr>
        <w:t>PRELIMINARY DRAFT SUBJECT TO COMPLETION</w:t>
      </w:r>
    </w:p>
    <w:p>
      <w:pPr>
        <w:spacing w:after="0" w:line="261" w:lineRule="exact"/>
        <w:rPr>
          <w:sz w:val="20"/>
          <w:szCs w:val="20"/>
          <w:color w:val="auto"/>
        </w:rPr>
      </w:pPr>
    </w:p>
    <w:p>
      <w:pPr>
        <w:ind w:left="3300"/>
        <w:spacing w:after="0"/>
        <w:rPr>
          <w:sz w:val="20"/>
          <w:szCs w:val="20"/>
          <w:color w:val="auto"/>
        </w:rPr>
      </w:pPr>
      <w:r>
        <w:rPr>
          <w:rFonts w:ascii="Arial" w:cs="Arial" w:eastAsia="Arial" w:hAnsi="Arial"/>
          <w:sz w:val="16"/>
          <w:szCs w:val="16"/>
          <w:b w:val="1"/>
          <w:bCs w:val="1"/>
          <w:u w:val="single" w:color="auto"/>
          <w:color w:val="0000FF"/>
        </w:rPr>
        <w:t>AMENDED AND RESTATED</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000000"/>
        </w:rPr>
        <w:t>ARTICLES OF INCORPORATION</w:t>
      </w:r>
    </w:p>
    <w:p>
      <w:pPr>
        <w:spacing w:after="0" w:line="35"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DROPBOX,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NAME OF CORPORATION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name of the corporation is Dropbox, Inc.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xml:space="preserve">”). </w:t>
      </w:r>
      <w:r>
        <w:rPr>
          <w:rFonts w:ascii="Arial" w:cs="Arial" w:eastAsia="Arial" w:hAnsi="Arial"/>
          <w:sz w:val="16"/>
          <w:szCs w:val="16"/>
          <w:color w:val="FF0000"/>
        </w:rPr>
        <w:t>The Corporation is the resulting entity in the conversion of</w:t>
      </w:r>
      <w:r>
        <w:rPr>
          <w:rFonts w:ascii="Arial" w:cs="Arial" w:eastAsia="Arial" w:hAnsi="Arial"/>
          <w:sz w:val="16"/>
          <w:szCs w:val="16"/>
          <w:color w:val="auto"/>
        </w:rPr>
        <w:t xml:space="preserve"> </w:t>
      </w:r>
      <w:r>
        <w:rPr>
          <w:rFonts w:ascii="Arial" w:cs="Arial" w:eastAsia="Arial" w:hAnsi="Arial"/>
          <w:sz w:val="16"/>
          <w:szCs w:val="16"/>
          <w:color w:val="008000"/>
          <w:strike w:val="1"/>
        </w:rPr>
        <w:t>Dropbox,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-46990</wp:posOffset>
            </wp:positionV>
            <wp:extent cx="28416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41625" cy="8255"/>
                    </a:xfrm>
                    <a:prstGeom prst="rect">
                      <a:avLst/>
                    </a:prstGeom>
                    <a:noFill/>
                  </pic:spPr>
                </pic:pic>
              </a:graphicData>
            </a:graphic>
          </wp:anchor>
        </w:drawing>
      </w:r>
    </w:p>
    <w:p>
      <w:pPr>
        <w:spacing w:after="0" w:line="15"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008000"/>
          <w:strike w:val="1"/>
        </w:rPr>
        <w:t xml:space="preserve">Delaware corporation </w:t>
      </w:r>
      <w:r>
        <w:rPr>
          <w:rFonts w:ascii="Arial" w:cs="Arial" w:eastAsia="Arial" w:hAnsi="Arial"/>
          <w:sz w:val="16"/>
          <w:szCs w:val="16"/>
          <w:color w:val="FF0000"/>
          <w:strike w:val="1"/>
        </w:rPr>
        <w:t>(the “</w:t>
      </w:r>
      <w:r>
        <w:rPr>
          <w:rFonts w:ascii="Arial" w:cs="Arial" w:eastAsia="Arial" w:hAnsi="Arial"/>
          <w:sz w:val="16"/>
          <w:szCs w:val="16"/>
          <w:b w:val="1"/>
          <w:bCs w:val="1"/>
          <w:i w:val="1"/>
          <w:iCs w:val="1"/>
          <w:color w:val="FF0000"/>
          <w:strike w:val="1"/>
        </w:rPr>
        <w:t>Delaware Corporation</w:t>
      </w:r>
      <w:r>
        <w:rPr>
          <w:rFonts w:ascii="Arial" w:cs="Arial" w:eastAsia="Arial" w:hAnsi="Arial"/>
          <w:sz w:val="16"/>
          <w:szCs w:val="16"/>
          <w:color w:val="FF0000"/>
          <w:strike w:val="1"/>
        </w:rPr>
        <w:t>”), into a Nevada corporation (the “</w:t>
      </w:r>
      <w:r>
        <w:rPr>
          <w:rFonts w:ascii="Arial" w:cs="Arial" w:eastAsia="Arial" w:hAnsi="Arial"/>
          <w:sz w:val="16"/>
          <w:szCs w:val="16"/>
          <w:b w:val="1"/>
          <w:bCs w:val="1"/>
          <w:i w:val="1"/>
          <w:iCs w:val="1"/>
          <w:color w:val="FF0000"/>
          <w:strike w:val="1"/>
        </w:rPr>
        <w:t>Conversion</w:t>
      </w:r>
      <w:r>
        <w:rPr>
          <w:rFonts w:ascii="Arial" w:cs="Arial" w:eastAsia="Arial" w:hAnsi="Arial"/>
          <w:sz w:val="16"/>
          <w:szCs w:val="16"/>
          <w:color w:val="FF0000"/>
          <w:strike w:val="1"/>
        </w:rPr>
        <w:t>”) and is a continuation of the existence thereof pursuant</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to Chapter 92A of the Nevada Revised Statutes (as amended </w:t>
      </w:r>
      <w:r>
        <w:rPr>
          <w:rFonts w:ascii="Arial" w:cs="Arial" w:eastAsia="Arial" w:hAnsi="Arial"/>
          <w:sz w:val="16"/>
          <w:szCs w:val="16"/>
          <w:color w:val="008000"/>
          <w:strike w:val="1"/>
        </w:rPr>
        <w:t>from time to time, the “</w:t>
      </w:r>
      <w:r>
        <w:rPr>
          <w:rFonts w:ascii="Arial" w:cs="Arial" w:eastAsia="Arial" w:hAnsi="Arial"/>
          <w:sz w:val="16"/>
          <w:szCs w:val="16"/>
          <w:b w:val="1"/>
          <w:bCs w:val="1"/>
          <w:i w:val="1"/>
          <w:iCs w:val="1"/>
          <w:color w:val="FF0000"/>
          <w:strike w:val="1"/>
        </w:rPr>
        <w:t>NRS</w:t>
      </w:r>
      <w:r>
        <w:rPr>
          <w:rFonts w:ascii="Arial" w:cs="Arial" w:eastAsia="Arial" w:hAnsi="Arial"/>
          <w:sz w:val="16"/>
          <w:szCs w:val="16"/>
          <w:color w:val="FF0000"/>
          <w:strike w:val="1"/>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REGISTERED AGENT AND REGISTERED OFFICE</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64" w:lineRule="exact"/>
        <w:rPr>
          <w:sz w:val="20"/>
          <w:szCs w:val="20"/>
          <w:color w:val="auto"/>
        </w:rPr>
      </w:pPr>
    </w:p>
    <w:p>
      <w:pPr>
        <w:ind w:left="5180"/>
        <w:spacing w:after="0"/>
        <w:rPr>
          <w:sz w:val="20"/>
          <w:szCs w:val="20"/>
          <w:color w:val="auto"/>
        </w:rPr>
      </w:pPr>
      <w:r>
        <w:rPr>
          <w:rFonts w:ascii="Arial" w:cs="Arial" w:eastAsia="Arial" w:hAnsi="Arial"/>
          <w:sz w:val="16"/>
          <w:szCs w:val="16"/>
          <w:b w:val="1"/>
          <w:bCs w:val="1"/>
          <w:u w:val="single" w:color="auto"/>
          <w:color w:val="auto"/>
        </w:rPr>
        <w:t>ARTICLE III</w:t>
      </w:r>
    </w:p>
    <w:p>
      <w:pPr>
        <w:spacing w:after="0" w:line="35"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PURPOSE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purpose of the Corporation is to engage in any lawful act or activity for which a corporation may be organized under the NRS </w:t>
      </w:r>
      <w:r>
        <w:rPr>
          <w:rFonts w:ascii="Arial" w:cs="Arial" w:eastAsia="Arial" w:hAnsi="Arial"/>
          <w:sz w:val="16"/>
          <w:szCs w:val="16"/>
          <w:color w:val="0000FF"/>
        </w:rPr>
        <w:t>(as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6566535</wp:posOffset>
            </wp:positionH>
            <wp:positionV relativeFrom="paragraph">
              <wp:posOffset>-4445</wp:posOffset>
            </wp:positionV>
            <wp:extent cx="5632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below)</w:t>
      </w:r>
      <w:r>
        <w:rPr>
          <w:rFonts w:ascii="Arial" w:cs="Arial" w:eastAsia="Arial" w:hAnsi="Arial"/>
          <w:sz w:val="16"/>
          <w:szCs w:val="16"/>
          <w:color w:val="000000"/>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AUTHORIZED SHARES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 xml:space="preserve">This Corporation is authorized to issue two classes of stock to be designated, respectively,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The total number of shares of Common Stock authorized to be issued is 3,675,000,000, 2,400,000,000 shares of which are designated Class A Common Stock, par value $0.00001 per share (the “</w:t>
      </w:r>
      <w:r>
        <w:rPr>
          <w:rFonts w:ascii="Arial" w:cs="Arial" w:eastAsia="Arial" w:hAnsi="Arial"/>
          <w:sz w:val="16"/>
          <w:szCs w:val="16"/>
          <w:b w:val="1"/>
          <w:bCs w:val="1"/>
          <w:i w:val="1"/>
          <w:iCs w:val="1"/>
          <w:color w:val="auto"/>
        </w:rPr>
        <w:t>Class A Common Stock</w:t>
      </w:r>
      <w:r>
        <w:rPr>
          <w:rFonts w:ascii="Arial" w:cs="Arial" w:eastAsia="Arial" w:hAnsi="Arial"/>
          <w:sz w:val="16"/>
          <w:szCs w:val="16"/>
          <w:color w:val="auto"/>
        </w:rPr>
        <w:t>”), 475,000,000 shares of which are designated Class B Common Stock, par value $0.00001 per share (the “</w:t>
      </w:r>
      <w:r>
        <w:rPr>
          <w:rFonts w:ascii="Arial" w:cs="Arial" w:eastAsia="Arial" w:hAnsi="Arial"/>
          <w:sz w:val="16"/>
          <w:szCs w:val="16"/>
          <w:b w:val="1"/>
          <w:bCs w:val="1"/>
          <w:i w:val="1"/>
          <w:iCs w:val="1"/>
          <w:color w:val="auto"/>
        </w:rPr>
        <w:t>Class B Common Stock</w:t>
      </w:r>
      <w:r>
        <w:rPr>
          <w:rFonts w:ascii="Arial" w:cs="Arial" w:eastAsia="Arial" w:hAnsi="Arial"/>
          <w:sz w:val="16"/>
          <w:szCs w:val="16"/>
          <w:color w:val="auto"/>
        </w:rPr>
        <w:t>”) and 800,000,000 shares of which are designated Class C Common Stock, par value $0.00001 per share (the “</w:t>
      </w:r>
      <w:r>
        <w:rPr>
          <w:rFonts w:ascii="Arial" w:cs="Arial" w:eastAsia="Arial" w:hAnsi="Arial"/>
          <w:sz w:val="16"/>
          <w:szCs w:val="16"/>
          <w:b w:val="1"/>
          <w:bCs w:val="1"/>
          <w:i w:val="1"/>
          <w:iCs w:val="1"/>
          <w:color w:val="auto"/>
        </w:rPr>
        <w:t>Class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 Common Stock</w:t>
      </w:r>
      <w:r>
        <w:rPr>
          <w:rFonts w:ascii="Arial" w:cs="Arial" w:eastAsia="Arial" w:hAnsi="Arial"/>
          <w:sz w:val="16"/>
          <w:szCs w:val="16"/>
          <w:color w:val="auto"/>
        </w:rPr>
        <w:t>”). The total number of shares of Preferred Stock authorized to be issued is 240,000,000 shares, par value $0.00001 per share.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rights, powers, preferences, privileges, restrictions and other matters relating to the Common Stock are as follows:</w:t>
      </w:r>
    </w:p>
    <w:p>
      <w:pPr>
        <w:spacing w:after="0" w:line="221" w:lineRule="exact"/>
        <w:rPr>
          <w:sz w:val="20"/>
          <w:szCs w:val="20"/>
          <w:color w:val="auto"/>
        </w:rPr>
      </w:pPr>
    </w:p>
    <w:p>
      <w:pPr>
        <w:ind w:left="980" w:hanging="324"/>
        <w:spacing w:after="0"/>
        <w:tabs>
          <w:tab w:leader="none" w:pos="98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For purposes of </w:t>
      </w:r>
      <w:r>
        <w:rPr>
          <w:rFonts w:ascii="Arial" w:cs="Arial" w:eastAsia="Arial" w:hAnsi="Arial"/>
          <w:sz w:val="16"/>
          <w:szCs w:val="16"/>
          <w:color w:val="FF0000"/>
          <w:strike w:val="1"/>
        </w:rPr>
        <w:t>this</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Article V</w:t>
      </w:r>
      <w:r>
        <w:rPr>
          <w:rFonts w:ascii="Arial" w:cs="Arial" w:eastAsia="Arial" w:hAnsi="Arial"/>
          <w:sz w:val="16"/>
          <w:szCs w:val="16"/>
          <w:u w:val="single" w:color="auto"/>
          <w:color w:val="0000FF"/>
        </w:rPr>
        <w:t>these Articles (as defined below)</w:t>
      </w:r>
      <w:r>
        <w:rPr>
          <w:rFonts w:ascii="Arial" w:cs="Arial" w:eastAsia="Arial" w:hAnsi="Arial"/>
          <w:sz w:val="16"/>
          <w:szCs w:val="16"/>
          <w:color w:val="auto"/>
        </w:rPr>
        <w:t>, the following definitions apply;</w:t>
      </w:r>
    </w:p>
    <w:p>
      <w:pPr>
        <w:spacing w:after="0" w:line="22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xml:space="preserve">”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w:t>
      </w:r>
      <w:r>
        <w:rPr>
          <w:rFonts w:ascii="Arial" w:cs="Arial" w:eastAsia="Arial" w:hAnsi="Arial"/>
          <w:sz w:val="16"/>
          <w:szCs w:val="16"/>
          <w:u w:val="single" w:color="auto"/>
          <w:color w:val="auto"/>
        </w:rPr>
        <w:t>Section V.1.1</w:t>
      </w:r>
      <w:r>
        <w:rPr>
          <w:rFonts w:ascii="Arial" w:cs="Arial" w:eastAsia="Arial" w:hAnsi="Arial"/>
          <w:sz w:val="16"/>
          <w:szCs w:val="16"/>
          <w:color w:val="auto"/>
        </w:rPr>
        <w:t>,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color w:val="auto"/>
        </w:rPr>
        <w:t>1.2</w:t>
        <w:tab/>
        <w:t>“</w:t>
      </w:r>
      <w:r>
        <w:rPr>
          <w:rFonts w:ascii="Arial" w:cs="Arial" w:eastAsia="Arial" w:hAnsi="Arial"/>
          <w:sz w:val="16"/>
          <w:szCs w:val="16"/>
          <w:b w:val="1"/>
          <w:bCs w:val="1"/>
          <w:i w:val="1"/>
          <w:iCs w:val="1"/>
          <w:color w:val="auto"/>
        </w:rPr>
        <w:t>Articles</w:t>
      </w:r>
      <w:r>
        <w:rPr>
          <w:rFonts w:ascii="Arial" w:cs="Arial" w:eastAsia="Arial" w:hAnsi="Arial"/>
          <w:sz w:val="16"/>
          <w:szCs w:val="16"/>
          <w:color w:val="auto"/>
        </w:rPr>
        <w:t xml:space="preserve">” means these </w:t>
      </w:r>
      <w:r>
        <w:rPr>
          <w:rFonts w:ascii="Arial" w:cs="Arial" w:eastAsia="Arial" w:hAnsi="Arial"/>
          <w:sz w:val="16"/>
          <w:szCs w:val="16"/>
          <w:u w:val="single" w:color="auto"/>
          <w:color w:val="0000FF"/>
        </w:rPr>
        <w:t>Amended and Restated</w:t>
      </w:r>
      <w:r>
        <w:rPr>
          <w:rFonts w:ascii="Arial" w:cs="Arial" w:eastAsia="Arial" w:hAnsi="Arial"/>
          <w:sz w:val="16"/>
          <w:szCs w:val="16"/>
          <w:color w:val="auto"/>
        </w:rPr>
        <w:t xml:space="preserve"> Articles of Incorporation of the Corporation, as </w:t>
      </w:r>
      <w:r>
        <w:rPr>
          <w:rFonts w:ascii="Arial" w:cs="Arial" w:eastAsia="Arial" w:hAnsi="Arial"/>
          <w:sz w:val="16"/>
          <w:szCs w:val="16"/>
          <w:u w:val="single" w:color="auto"/>
          <w:color w:val="0000FF"/>
        </w:rPr>
        <w:t>further</w:t>
      </w:r>
      <w:r>
        <w:rPr>
          <w:rFonts w:ascii="Arial" w:cs="Arial" w:eastAsia="Arial" w:hAnsi="Arial"/>
          <w:sz w:val="16"/>
          <w:szCs w:val="16"/>
          <w:color w:val="auto"/>
        </w:rPr>
        <w:t xml:space="preserve"> amended </w:t>
      </w:r>
      <w:r>
        <w:rPr>
          <w:rFonts w:ascii="Arial" w:cs="Arial" w:eastAsia="Arial" w:hAnsi="Arial"/>
          <w:sz w:val="16"/>
          <w:szCs w:val="16"/>
          <w:u w:val="single" w:color="auto"/>
          <w:color w:val="0000FF"/>
        </w:rPr>
        <w:t>and/or restated</w:t>
      </w:r>
      <w:r>
        <w:rPr>
          <w:rFonts w:ascii="Arial" w:cs="Arial" w:eastAsia="Arial" w:hAnsi="Arial"/>
          <w:sz w:val="16"/>
          <w:szCs w:val="16"/>
          <w:color w:val="auto"/>
        </w:rPr>
        <w:t xml:space="preserve">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time to time.</w:t>
      </w:r>
    </w:p>
    <w:p>
      <w:pPr>
        <w:spacing w:after="0" w:line="219"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color w:val="auto"/>
        </w:rPr>
        <w:t>1.3</w:t>
        <w:tab/>
        <w:t>“</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means a sale, lease, exclusive license or other disposition of all or substantially all of the assets of the Corporation.</w:t>
      </w:r>
    </w:p>
    <w:p>
      <w:pPr>
        <w:spacing w:after="0" w:line="22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color w:val="auto"/>
        </w:rPr>
        <w:t>1.4</w:t>
        <w:tab/>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Corporation.</w:t>
      </w:r>
    </w:p>
    <w:p>
      <w:pPr>
        <w:spacing w:after="0" w:line="23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i w:val="1"/>
          <w:iCs w:val="1"/>
          <w:color w:val="auto"/>
        </w:rPr>
        <w:t>Controlled Company Exemption</w:t>
      </w:r>
      <w:r>
        <w:rPr>
          <w:rFonts w:ascii="Arial" w:cs="Arial" w:eastAsia="Arial" w:hAnsi="Arial"/>
          <w:sz w:val="16"/>
          <w:szCs w:val="16"/>
          <w:color w:val="auto"/>
        </w:rPr>
        <w:t>” means, if and to the extent otherwise applicable to the Corporation, the exemptions from the Listing Standards available to any company that constitutes a “controlled company” within the meaning of the Listing Standards.</w:t>
      </w:r>
    </w:p>
    <w:p>
      <w:pPr>
        <w:spacing w:after="0" w:line="156"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6"/>
          <w:szCs w:val="16"/>
          <w:u w:val="single" w:color="auto"/>
          <w:color w:val="0000FF"/>
        </w:rPr>
        <w:t>1.6 “</w:t>
      </w:r>
      <w:r>
        <w:rPr>
          <w:rFonts w:ascii="Arial" w:cs="Arial" w:eastAsia="Arial" w:hAnsi="Arial"/>
          <w:sz w:val="16"/>
          <w:szCs w:val="16"/>
          <w:b w:val="1"/>
          <w:bCs w:val="1"/>
          <w:i w:val="1"/>
          <w:iCs w:val="1"/>
          <w:u w:val="single" w:color="auto"/>
          <w:color w:val="0000FF"/>
        </w:rPr>
        <w:t>Conversion</w:t>
      </w:r>
      <w:r>
        <w:rPr>
          <w:rFonts w:ascii="Arial" w:cs="Arial" w:eastAsia="Arial" w:hAnsi="Arial"/>
          <w:sz w:val="16"/>
          <w:szCs w:val="16"/>
          <w:u w:val="single" w:color="auto"/>
          <w:color w:val="0000FF"/>
        </w:rPr>
        <w:t>” means the conversion of the Delaware Corporation into the Corporation on March 5, 2025, and the continuation of the existence thereof pursuant to the NRS.</w:t>
      </w:r>
    </w:p>
    <w:p>
      <w:pPr>
        <w:spacing w:after="0" w:line="14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u w:val="single" w:color="auto"/>
          <w:color w:val="0000FF"/>
        </w:rPr>
        <w:t>1.7</w:t>
        <w:tab/>
        <w:t>“</w:t>
      </w:r>
      <w:r>
        <w:rPr>
          <w:rFonts w:ascii="Arial" w:cs="Arial" w:eastAsia="Arial" w:hAnsi="Arial"/>
          <w:sz w:val="16"/>
          <w:szCs w:val="16"/>
          <w:b w:val="1"/>
          <w:bCs w:val="1"/>
          <w:i w:val="1"/>
          <w:iCs w:val="1"/>
          <w:u w:val="single" w:color="auto"/>
          <w:color w:val="0000FF"/>
        </w:rPr>
        <w:t>Delaware Corporation</w:t>
      </w:r>
      <w:r>
        <w:rPr>
          <w:rFonts w:ascii="Arial" w:cs="Arial" w:eastAsia="Arial" w:hAnsi="Arial"/>
          <w:sz w:val="16"/>
          <w:szCs w:val="16"/>
          <w:u w:val="single" w:color="auto"/>
          <w:color w:val="0000FF"/>
        </w:rPr>
        <w:t xml:space="preserve">” means </w:t>
      </w:r>
      <w:r>
        <w:rPr>
          <w:rFonts w:ascii="Arial" w:cs="Arial" w:eastAsia="Arial" w:hAnsi="Arial"/>
          <w:sz w:val="16"/>
          <w:szCs w:val="16"/>
          <w:u w:val="single" w:color="auto"/>
          <w:color w:val="008000"/>
        </w:rPr>
        <w:t>Dropbox, Inc., a Delaware corporation</w:t>
      </w:r>
      <w:r>
        <w:rPr>
          <w:rFonts w:ascii="Arial" w:cs="Arial" w:eastAsia="Arial" w:hAnsi="Arial"/>
          <w:sz w:val="16"/>
          <w:szCs w:val="16"/>
          <w:u w:val="single" w:color="auto"/>
          <w:color w:val="0000FF"/>
        </w:rPr>
        <w:t>, which was converted into the Corporation.</w:t>
      </w:r>
    </w:p>
    <w:p>
      <w:pPr>
        <w:spacing w:after="0" w:line="23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6"/>
          <w:szCs w:val="16"/>
          <w:color w:val="0000FF"/>
        </w:rPr>
        <w:t xml:space="preserve">1.8 </w:t>
      </w:r>
      <w:r>
        <w:rPr>
          <w:rFonts w:ascii="Arial" w:cs="Arial" w:eastAsia="Arial" w:hAnsi="Arial"/>
          <w:sz w:val="16"/>
          <w:szCs w:val="16"/>
          <w:color w:val="FF0000"/>
          <w:strike w:val="1"/>
        </w:rPr>
        <w:t>1.6</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Disability</w:t>
      </w:r>
      <w:r>
        <w:rPr>
          <w:rFonts w:ascii="Arial" w:cs="Arial" w:eastAsia="Arial" w:hAnsi="Arial"/>
          <w:sz w:val="16"/>
          <w:szCs w:val="16"/>
          <w:color w:val="000000"/>
        </w:rPr>
        <w:t>” or “</w:t>
      </w:r>
      <w:r>
        <w:rPr>
          <w:rFonts w:ascii="Arial" w:cs="Arial" w:eastAsia="Arial" w:hAnsi="Arial"/>
          <w:sz w:val="16"/>
          <w:szCs w:val="16"/>
          <w:b w:val="1"/>
          <w:bCs w:val="1"/>
          <w:i w:val="1"/>
          <w:iCs w:val="1"/>
          <w:color w:val="000000"/>
        </w:rPr>
        <w:t>Disabled</w:t>
      </w:r>
      <w:r>
        <w:rPr>
          <w:rFonts w:ascii="Arial" w:cs="Arial" w:eastAsia="Arial" w:hAnsi="Arial"/>
          <w:sz w:val="16"/>
          <w:szCs w:val="16"/>
          <w:color w:val="000000"/>
        </w:rPr>
        <w:t>” means, with respect to a Founder, the permanent and total disability of such Founder such that such</w:t>
      </w:r>
      <w:r>
        <w:rPr>
          <w:rFonts w:ascii="Arial" w:cs="Arial" w:eastAsia="Arial" w:hAnsi="Arial"/>
          <w:sz w:val="16"/>
          <w:szCs w:val="16"/>
          <w:color w:val="0000FF"/>
        </w:rPr>
        <w:t xml:space="preserve"> </w:t>
      </w:r>
      <w:r>
        <w:rPr>
          <w:rFonts w:ascii="Arial" w:cs="Arial" w:eastAsia="Arial" w:hAnsi="Arial"/>
          <w:sz w:val="16"/>
          <w:szCs w:val="16"/>
          <w:color w:val="000000"/>
        </w:rPr>
        <w:t>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-1133475</wp:posOffset>
            </wp:positionV>
            <wp:extent cx="274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64"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color w:val="0000FF"/>
        </w:rPr>
        <w:t>1.9</w:t>
      </w:r>
      <w:r>
        <w:rPr>
          <w:sz w:val="20"/>
          <w:szCs w:val="20"/>
          <w:color w:val="auto"/>
        </w:rPr>
        <w:tab/>
      </w:r>
      <w:r>
        <w:rPr>
          <w:rFonts w:ascii="Arial" w:cs="Arial" w:eastAsia="Arial" w:hAnsi="Arial"/>
          <w:sz w:val="16"/>
          <w:szCs w:val="16"/>
          <w:color w:val="FF0000"/>
          <w:strike w:val="1"/>
        </w:rPr>
        <w:t xml:space="preserve">1.7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Final Conversion Date</w:t>
      </w:r>
      <w:r>
        <w:rPr>
          <w:rFonts w:ascii="Arial" w:cs="Arial" w:eastAsia="Arial" w:hAnsi="Arial"/>
          <w:sz w:val="16"/>
          <w:szCs w:val="16"/>
          <w:color w:val="000000"/>
          <w:strike w:val="1"/>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2571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15" w:lineRule="exact"/>
        <w:rPr>
          <w:sz w:val="20"/>
          <w:szCs w:val="20"/>
          <w:color w:val="auto"/>
        </w:rPr>
      </w:pPr>
    </w:p>
    <w:p>
      <w:pPr>
        <w:ind w:left="2440" w:hanging="488"/>
        <w:spacing w:after="0"/>
        <w:tabs>
          <w:tab w:leader="none" w:pos="24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date specified by the holders of two-thirds of the then outstanding shares of Class B Common Stock, voting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separate class;</w:t>
      </w:r>
    </w:p>
    <w:p>
      <w:pPr>
        <w:spacing w:after="0" w:line="219" w:lineRule="exact"/>
        <w:rPr>
          <w:sz w:val="20"/>
          <w:szCs w:val="20"/>
          <w:color w:val="auto"/>
        </w:rPr>
      </w:pPr>
    </w:p>
    <w:p>
      <w:pPr>
        <w:ind w:firstLine="1952"/>
        <w:spacing w:after="0" w:line="286" w:lineRule="auto"/>
        <w:tabs>
          <w:tab w:leader="none" w:pos="234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first date on which the number of outstanding shares of Class B Common Stock represents less than five percent (5%) of the aggregate number of outstanding shares of Class A Common Stock and Class B Common Stock; or</w:t>
      </w:r>
    </w:p>
    <w:p>
      <w:pPr>
        <w:spacing w:after="0" w:line="155" w:lineRule="exact"/>
        <w:rPr>
          <w:rFonts w:ascii="Arial" w:cs="Arial" w:eastAsia="Arial" w:hAnsi="Arial"/>
          <w:sz w:val="16"/>
          <w:szCs w:val="16"/>
          <w:color w:val="auto"/>
        </w:rPr>
      </w:pPr>
    </w:p>
    <w:p>
      <w:pPr>
        <w:jc w:val="both"/>
        <w:ind w:firstLine="1952"/>
        <w:spacing w:after="0" w:line="275" w:lineRule="auto"/>
        <w:tabs>
          <w:tab w:leader="none" w:pos="231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date that is nine months after the death or Disability of the last to die or become Disabled of the Founders, provided, that such date may be extended but not for a total period of longer than eighteen (18) months from the last applicable death or Disability to a date approved by a majority of the Independent Directors then in office.</w:t>
      </w:r>
    </w:p>
    <w:p>
      <w:pPr>
        <w:spacing w:after="0" w:line="17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0000FF"/>
        </w:rPr>
        <w:t>1.10</w:t>
      </w:r>
      <w:r>
        <w:rPr>
          <w:sz w:val="20"/>
          <w:szCs w:val="20"/>
          <w:color w:val="auto"/>
        </w:rPr>
        <w:tab/>
      </w:r>
      <w:r>
        <w:rPr>
          <w:rFonts w:ascii="Arial" w:cs="Arial" w:eastAsia="Arial" w:hAnsi="Arial"/>
          <w:sz w:val="16"/>
          <w:szCs w:val="16"/>
          <w:color w:val="FF0000"/>
          <w:strike w:val="1"/>
        </w:rPr>
        <w:t xml:space="preserve">1.8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Founder</w:t>
      </w:r>
      <w:r>
        <w:rPr>
          <w:rFonts w:ascii="Arial" w:cs="Arial" w:eastAsia="Arial" w:hAnsi="Arial"/>
          <w:sz w:val="16"/>
          <w:szCs w:val="16"/>
          <w:color w:val="000000"/>
          <w:strike w:val="1"/>
        </w:rPr>
        <w:t>” means either Andrew Houston or Arash Ferdowsi.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14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0000FF"/>
        </w:rPr>
        <w:t>1.11</w:t>
      </w:r>
      <w:r>
        <w:rPr>
          <w:sz w:val="20"/>
          <w:szCs w:val="20"/>
          <w:color w:val="auto"/>
        </w:rPr>
        <w:tab/>
      </w:r>
      <w:r>
        <w:rPr>
          <w:rFonts w:ascii="Arial" w:cs="Arial" w:eastAsia="Arial" w:hAnsi="Arial"/>
          <w:sz w:val="16"/>
          <w:szCs w:val="16"/>
          <w:color w:val="FF0000"/>
          <w:strike w:val="1"/>
        </w:rPr>
        <w:t xml:space="preserve">1.9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Independent Directors</w:t>
      </w:r>
      <w:r>
        <w:rPr>
          <w:rFonts w:ascii="Arial" w:cs="Arial" w:eastAsia="Arial" w:hAnsi="Arial"/>
          <w:sz w:val="16"/>
          <w:szCs w:val="16"/>
          <w:color w:val="000000"/>
          <w:strike w:val="1"/>
        </w:rPr>
        <w:t>” means the members of the Board designated as independent directors in accordance with the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155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Standards.</w:t>
      </w:r>
    </w:p>
    <w:p>
      <w:pPr>
        <w:spacing w:after="0" w:line="21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0000FF"/>
        </w:rPr>
        <w:t>1.12</w:t>
      </w:r>
      <w:r>
        <w:rPr>
          <w:sz w:val="20"/>
          <w:szCs w:val="20"/>
          <w:color w:val="auto"/>
        </w:rPr>
        <w:tab/>
      </w:r>
      <w:r>
        <w:rPr>
          <w:rFonts w:ascii="Arial" w:cs="Arial" w:eastAsia="Arial" w:hAnsi="Arial"/>
          <w:sz w:val="16"/>
          <w:szCs w:val="16"/>
          <w:color w:val="FF0000"/>
          <w:strike w:val="1"/>
        </w:rPr>
        <w:t xml:space="preserve">1.10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IPO Date</w:t>
      </w:r>
      <w:r>
        <w:rPr>
          <w:rFonts w:ascii="Arial" w:cs="Arial" w:eastAsia="Arial" w:hAnsi="Arial"/>
          <w:sz w:val="16"/>
          <w:szCs w:val="16"/>
          <w:color w:val="000000"/>
          <w:strike w:val="1"/>
        </w:rPr>
        <w:t>” means March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14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1"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6"/>
          <w:szCs w:val="16"/>
          <w:color w:val="0000FF"/>
        </w:rPr>
        <w:t>1.13</w:t>
      </w:r>
      <w:r>
        <w:rPr>
          <w:sz w:val="20"/>
          <w:szCs w:val="20"/>
          <w:color w:val="auto"/>
        </w:rPr>
        <w:tab/>
      </w:r>
      <w:r>
        <w:rPr>
          <w:rFonts w:ascii="Arial" w:cs="Arial" w:eastAsia="Arial" w:hAnsi="Arial"/>
          <w:sz w:val="16"/>
          <w:szCs w:val="16"/>
          <w:color w:val="FF0000"/>
          <w:strike w:val="1"/>
        </w:rPr>
        <w:t xml:space="preserve">1.11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Liquidation Event</w:t>
      </w:r>
      <w:r>
        <w:rPr>
          <w:rFonts w:ascii="Arial" w:cs="Arial" w:eastAsia="Arial" w:hAnsi="Arial"/>
          <w:sz w:val="16"/>
          <w:szCs w:val="16"/>
          <w:color w:val="000000"/>
          <w:strike w:val="1"/>
        </w:rPr>
        <w:t>” means any liquidation, dissolution, or winding up of the Corporation, whether voluntary or involuntary,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31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any Acquisition or Asset Transfer.</w:t>
      </w:r>
    </w:p>
    <w:p>
      <w:pPr>
        <w:spacing w:after="0" w:line="20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6"/>
          <w:szCs w:val="16"/>
          <w:color w:val="0000FF"/>
        </w:rPr>
        <w:t xml:space="preserve">1.14 </w:t>
      </w:r>
      <w:r>
        <w:rPr>
          <w:rFonts w:ascii="Arial" w:cs="Arial" w:eastAsia="Arial" w:hAnsi="Arial"/>
          <w:sz w:val="16"/>
          <w:szCs w:val="16"/>
          <w:color w:val="FF0000"/>
          <w:strike w:val="1"/>
        </w:rPr>
        <w:t>1.12</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Listing Standards</w:t>
      </w:r>
      <w:r>
        <w:rPr>
          <w:rFonts w:ascii="Arial" w:cs="Arial" w:eastAsia="Arial" w:hAnsi="Arial"/>
          <w:sz w:val="16"/>
          <w:szCs w:val="16"/>
          <w:color w:val="000000"/>
        </w:rPr>
        <w:t>” means (i) the requirements of any national stock exchange under which the Corporation’s equity</w:t>
      </w:r>
      <w:r>
        <w:rPr>
          <w:rFonts w:ascii="Arial" w:cs="Arial" w:eastAsia="Arial" w:hAnsi="Arial"/>
          <w:sz w:val="16"/>
          <w:szCs w:val="16"/>
          <w:color w:val="0000FF"/>
        </w:rPr>
        <w:t xml:space="preserve"> </w:t>
      </w:r>
      <w:r>
        <w:rPr>
          <w:rFonts w:ascii="Arial" w:cs="Arial" w:eastAsia="Arial" w:hAnsi="Arial"/>
          <w:sz w:val="16"/>
          <w:szCs w:val="16"/>
          <w:color w:val="000000"/>
        </w:rPr>
        <w:t>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-403225</wp:posOffset>
            </wp:positionV>
            <wp:extent cx="4000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u w:val="single" w:color="auto"/>
          <w:color w:val="0000FF"/>
        </w:rPr>
        <w:t>1.15</w:t>
        <w:tab/>
        <w:t>“</w:t>
      </w:r>
      <w:r>
        <w:rPr>
          <w:rFonts w:ascii="Arial" w:cs="Arial" w:eastAsia="Arial" w:hAnsi="Arial"/>
          <w:sz w:val="16"/>
          <w:szCs w:val="16"/>
          <w:b w:val="1"/>
          <w:bCs w:val="1"/>
          <w:i w:val="1"/>
          <w:iCs w:val="1"/>
          <w:u w:val="single" w:color="auto"/>
          <w:color w:val="0000FF"/>
        </w:rPr>
        <w:t>NRS</w:t>
      </w:r>
      <w:r>
        <w:rPr>
          <w:rFonts w:ascii="Arial" w:cs="Arial" w:eastAsia="Arial" w:hAnsi="Arial"/>
          <w:sz w:val="16"/>
          <w:szCs w:val="16"/>
          <w:u w:val="single" w:color="auto"/>
          <w:color w:val="0000FF"/>
        </w:rPr>
        <w:t>” means Chapters 78 and 92A of the Nevada Revised Statutes, as amended from time to time, and any successor statutes.</w:t>
      </w:r>
    </w:p>
    <w:p>
      <w:pPr>
        <w:spacing w:after="0" w:line="22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6"/>
          <w:szCs w:val="16"/>
          <w:color w:val="0000FF"/>
        </w:rPr>
        <w:t>1.16</w:t>
      </w:r>
      <w:r>
        <w:rPr>
          <w:sz w:val="20"/>
          <w:szCs w:val="20"/>
          <w:color w:val="auto"/>
        </w:rPr>
        <w:tab/>
      </w:r>
      <w:r>
        <w:rPr>
          <w:rFonts w:ascii="Arial" w:cs="Arial" w:eastAsia="Arial" w:hAnsi="Arial"/>
          <w:sz w:val="16"/>
          <w:szCs w:val="16"/>
          <w:color w:val="FF0000"/>
          <w:strike w:val="1"/>
        </w:rPr>
        <w:t xml:space="preserve">1.13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Parent</w:t>
      </w:r>
      <w:r>
        <w:rPr>
          <w:rFonts w:ascii="Arial" w:cs="Arial" w:eastAsia="Arial" w:hAnsi="Arial"/>
          <w:sz w:val="16"/>
          <w:szCs w:val="16"/>
          <w:color w:val="000000"/>
          <w:strike w:val="1"/>
        </w:rPr>
        <w:t>” of an entity means any entity that directly or indirectly owns or controls a majority of the voting power of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403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securities of such entity.</w:t>
      </w:r>
    </w:p>
    <w:p>
      <w:pPr>
        <w:spacing w:after="0" w:line="20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6"/>
          <w:szCs w:val="16"/>
          <w:color w:val="0000FF"/>
        </w:rPr>
        <w:t>1.17</w:t>
      </w:r>
      <w:r>
        <w:rPr>
          <w:sz w:val="20"/>
          <w:szCs w:val="20"/>
          <w:color w:val="auto"/>
        </w:rPr>
        <w:tab/>
      </w:r>
      <w:r>
        <w:rPr>
          <w:rFonts w:ascii="Arial" w:cs="Arial" w:eastAsia="Arial" w:hAnsi="Arial"/>
          <w:sz w:val="16"/>
          <w:szCs w:val="16"/>
          <w:color w:val="FF0000"/>
          <w:strike w:val="1"/>
        </w:rPr>
        <w:t xml:space="preserve">1.14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Permitted Entity</w:t>
      </w:r>
      <w:r>
        <w:rPr>
          <w:rFonts w:ascii="Arial" w:cs="Arial" w:eastAsia="Arial" w:hAnsi="Arial"/>
          <w:sz w:val="16"/>
          <w:szCs w:val="16"/>
          <w:color w:val="000000"/>
          <w:strike w:val="1"/>
        </w:rPr>
        <w:t>” means, with respect to any Qualified Stockholder, any trust, account, plan, corporation, partnership,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5750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57505" cy="8255"/>
                    </a:xfrm>
                    <a:prstGeom prst="rect">
                      <a:avLst/>
                    </a:prstGeom>
                    <a:noFill/>
                  </pic:spPr>
                </pic:pic>
              </a:graphicData>
            </a:graphic>
          </wp:anchor>
        </w:drawing>
      </w:r>
    </w:p>
    <w:p>
      <w:pPr>
        <w:spacing w:after="0" w:line="1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limited liability company specified in </w:t>
      </w:r>
      <w:r>
        <w:rPr>
          <w:rFonts w:ascii="Arial" w:cs="Arial" w:eastAsia="Arial" w:hAnsi="Arial"/>
          <w:sz w:val="16"/>
          <w:szCs w:val="16"/>
          <w:u w:val="single" w:color="auto"/>
          <w:color w:val="auto"/>
        </w:rPr>
        <w:t>Section V.1.15(b)</w:t>
      </w:r>
      <w:r>
        <w:rPr>
          <w:rFonts w:ascii="Arial" w:cs="Arial" w:eastAsia="Arial" w:hAnsi="Arial"/>
          <w:sz w:val="16"/>
          <w:szCs w:val="16"/>
          <w:color w:val="auto"/>
        </w:rPr>
        <w:t xml:space="preserve"> with respect to such Qualified Stockholder, so long as such Permitted Entity meets the requirements of the exception set forth in </w:t>
      </w:r>
      <w:r>
        <w:rPr>
          <w:rFonts w:ascii="Arial" w:cs="Arial" w:eastAsia="Arial" w:hAnsi="Arial"/>
          <w:sz w:val="16"/>
          <w:szCs w:val="16"/>
          <w:u w:val="single" w:color="auto"/>
          <w:color w:val="auto"/>
        </w:rPr>
        <w:t>Section V.1.15</w:t>
      </w:r>
      <w:r>
        <w:rPr>
          <w:rFonts w:ascii="Arial" w:cs="Arial" w:eastAsia="Arial" w:hAnsi="Arial"/>
          <w:sz w:val="16"/>
          <w:szCs w:val="16"/>
          <w:color w:val="auto"/>
        </w:rPr>
        <w:t xml:space="preserve"> applicable to such Permitted Entity.</w:t>
      </w:r>
    </w:p>
    <w:p>
      <w:pPr>
        <w:spacing w:after="0" w:line="17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0000FF"/>
        </w:rPr>
        <w:t>1.18</w:t>
      </w:r>
      <w:r>
        <w:rPr>
          <w:sz w:val="20"/>
          <w:szCs w:val="20"/>
          <w:color w:val="auto"/>
        </w:rPr>
        <w:tab/>
      </w:r>
      <w:r>
        <w:rPr>
          <w:rFonts w:ascii="Arial" w:cs="Arial" w:eastAsia="Arial" w:hAnsi="Arial"/>
          <w:sz w:val="16"/>
          <w:szCs w:val="16"/>
          <w:color w:val="FF0000"/>
          <w:strike w:val="1"/>
        </w:rPr>
        <w:t xml:space="preserve">1.15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Permitted Transfer</w:t>
      </w:r>
      <w:r>
        <w:rPr>
          <w:rFonts w:ascii="Arial" w:cs="Arial" w:eastAsia="Arial" w:hAnsi="Arial"/>
          <w:sz w:val="16"/>
          <w:szCs w:val="16"/>
          <w:color w:val="000000"/>
          <w:strike w:val="1"/>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14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15" w:lineRule="exact"/>
        <w:rPr>
          <w:sz w:val="20"/>
          <w:szCs w:val="20"/>
          <w:color w:val="auto"/>
        </w:rPr>
      </w:pPr>
    </w:p>
    <w:p>
      <w:pPr>
        <w:jc w:val="both"/>
        <w:ind w:firstLine="1952"/>
        <w:spacing w:after="0" w:line="275" w:lineRule="auto"/>
        <w:tabs>
          <w:tab w:leader="none" w:pos="233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164" w:lineRule="exact"/>
        <w:rPr>
          <w:rFonts w:ascii="Arial" w:cs="Arial" w:eastAsia="Arial" w:hAnsi="Arial"/>
          <w:sz w:val="16"/>
          <w:szCs w:val="16"/>
          <w:color w:val="auto"/>
        </w:rPr>
      </w:pPr>
    </w:p>
    <w:p>
      <w:pPr>
        <w:ind w:right="20" w:firstLine="1952"/>
        <w:spacing w:after="0" w:line="286" w:lineRule="auto"/>
        <w:tabs>
          <w:tab w:leader="none" w:pos="235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169" w:lineRule="exact"/>
        <w:rPr>
          <w:rFonts w:ascii="Arial" w:cs="Arial" w:eastAsia="Arial" w:hAnsi="Arial"/>
          <w:sz w:val="16"/>
          <w:szCs w:val="16"/>
          <w:color w:val="auto"/>
        </w:rPr>
      </w:pPr>
    </w:p>
    <w:p>
      <w:pPr>
        <w:jc w:val="both"/>
        <w:ind w:firstLine="2600"/>
        <w:spacing w:after="0" w:line="260" w:lineRule="auto"/>
        <w:tabs>
          <w:tab w:leader="none" w:pos="297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91" w:lineRule="exact"/>
        <w:rPr>
          <w:rFonts w:ascii="Arial" w:cs="Arial" w:eastAsia="Arial" w:hAnsi="Arial"/>
          <w:sz w:val="16"/>
          <w:szCs w:val="16"/>
          <w:color w:val="auto"/>
        </w:rPr>
      </w:pPr>
    </w:p>
    <w:p>
      <w:pPr>
        <w:jc w:val="both"/>
        <w:ind w:firstLine="2600"/>
        <w:spacing w:after="0" w:line="260" w:lineRule="auto"/>
        <w:tabs>
          <w:tab w:leader="none" w:pos="300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91" w:lineRule="exact"/>
        <w:rPr>
          <w:rFonts w:ascii="Arial" w:cs="Arial" w:eastAsia="Arial" w:hAnsi="Arial"/>
          <w:sz w:val="16"/>
          <w:szCs w:val="16"/>
          <w:color w:val="auto"/>
        </w:rPr>
      </w:pPr>
    </w:p>
    <w:p>
      <w:pPr>
        <w:jc w:val="both"/>
        <w:ind w:firstLine="2600"/>
        <w:spacing w:after="0" w:line="261" w:lineRule="auto"/>
        <w:tabs>
          <w:tab w:leader="none" w:pos="301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pacing w:after="0" w:line="176" w:lineRule="exact"/>
        <w:rPr>
          <w:rFonts w:ascii="Arial" w:cs="Arial" w:eastAsia="Arial" w:hAnsi="Arial"/>
          <w:sz w:val="16"/>
          <w:szCs w:val="16"/>
          <w:color w:val="auto"/>
        </w:rPr>
      </w:pPr>
    </w:p>
    <w:p>
      <w:pPr>
        <w:jc w:val="both"/>
        <w:ind w:firstLine="2600"/>
        <w:spacing w:after="0" w:line="261" w:lineRule="auto"/>
        <w:tabs>
          <w:tab w:leader="none" w:pos="306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176" w:lineRule="exact"/>
        <w:rPr>
          <w:rFonts w:ascii="Arial" w:cs="Arial" w:eastAsia="Arial" w:hAnsi="Arial"/>
          <w:sz w:val="16"/>
          <w:szCs w:val="16"/>
          <w:color w:val="auto"/>
        </w:rPr>
      </w:pPr>
    </w:p>
    <w:p>
      <w:pPr>
        <w:jc w:val="both"/>
        <w:ind w:firstLine="2600"/>
        <w:spacing w:after="0" w:line="262" w:lineRule="auto"/>
        <w:tabs>
          <w:tab w:leader="none" w:pos="3041"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2600"/>
        <w:spacing w:after="0" w:line="259" w:lineRule="auto"/>
        <w:tabs>
          <w:tab w:leader="none" w:pos="301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16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000FF"/>
        </w:rPr>
        <w:t xml:space="preserve">1.19 </w:t>
      </w:r>
      <w:r>
        <w:rPr>
          <w:rFonts w:ascii="Arial" w:cs="Arial" w:eastAsia="Arial" w:hAnsi="Arial"/>
          <w:sz w:val="16"/>
          <w:szCs w:val="16"/>
          <w:color w:val="FF0000"/>
          <w:strike w:val="1"/>
        </w:rPr>
        <w:t>1.16</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Permitted Transferee</w:t>
      </w:r>
      <w:r>
        <w:rPr>
          <w:rFonts w:ascii="Arial" w:cs="Arial" w:eastAsia="Arial" w:hAnsi="Arial"/>
          <w:sz w:val="16"/>
          <w:szCs w:val="16"/>
          <w:color w:val="000000"/>
        </w:rPr>
        <w:t>” means a transferee of shares of Class B Common Stock, or rights or interests therein, received in a</w:t>
      </w:r>
      <w:r>
        <w:rPr>
          <w:rFonts w:ascii="Arial" w:cs="Arial" w:eastAsia="Arial" w:hAnsi="Arial"/>
          <w:sz w:val="16"/>
          <w:szCs w:val="16"/>
          <w:color w:val="0000FF"/>
        </w:rPr>
        <w:t xml:space="preserve"> </w:t>
      </w:r>
      <w:r>
        <w:rPr>
          <w:rFonts w:ascii="Arial" w:cs="Arial" w:eastAsia="Arial" w:hAnsi="Arial"/>
          <w:sz w:val="16"/>
          <w:szCs w:val="16"/>
          <w:color w:val="000000"/>
        </w:rPr>
        <w:t>Transfer that constitutes a Permitted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-165735</wp:posOffset>
            </wp:positionV>
            <wp:extent cx="331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13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6"/>
          <w:szCs w:val="16"/>
          <w:color w:val="0000FF"/>
        </w:rPr>
        <w:t>1.20</w:t>
      </w:r>
      <w:r>
        <w:rPr>
          <w:sz w:val="20"/>
          <w:szCs w:val="20"/>
          <w:color w:val="auto"/>
        </w:rPr>
        <w:tab/>
      </w:r>
      <w:r>
        <w:rPr>
          <w:rFonts w:ascii="Arial" w:cs="Arial" w:eastAsia="Arial" w:hAnsi="Arial"/>
          <w:sz w:val="16"/>
          <w:szCs w:val="16"/>
          <w:color w:val="FF0000"/>
          <w:strike w:val="1"/>
        </w:rPr>
        <w:t xml:space="preserve">1.17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Qualified Stockholder</w:t>
      </w:r>
      <w:r>
        <w:rPr>
          <w:rFonts w:ascii="Arial" w:cs="Arial" w:eastAsia="Arial" w:hAnsi="Arial"/>
          <w:sz w:val="16"/>
          <w:szCs w:val="16"/>
          <w:color w:val="000000"/>
          <w:strike w:val="1"/>
        </w:rPr>
        <w:t>” means (a) any registered holder of a share of the Delaware Corporation’s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403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immediately after the IPO Date; (b) the initial registered holder of any shares of the Delaware Corporation’s Class B Common Stock that are originally issued by the Delaware Corporation after the IPO Date or any shares of Class B Common Stock that are issued by the Corporation after the effectiveness of these Articles, in each case, pursuant to the exercise or conversion of options or warrants or settlement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that, in each case, were outstanding as the IPO Date or issued in connection with the Conversion, as applicable; (c) a Permitted Transferee; and (d) the initial registered holder of any shares of the Delaware Corporation’s Class B Common Stock that were originally issued by the Delaware Corporation after the IPO Date in compliance with the certificate of incorporation of the Delaware Corporation or any shares of Class B Common Stock that are issued by the Corporation in connection with the Conversion or otherwise issued by the Corporation after the effectiveness of these Articles in compliance with these Articles.</w:t>
      </w:r>
    </w:p>
    <w:p>
      <w:pPr>
        <w:spacing w:after="0" w:line="18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6"/>
          <w:szCs w:val="16"/>
          <w:color w:val="0000FF"/>
        </w:rPr>
        <w:t>1.21</w:t>
      </w:r>
      <w:r>
        <w:rPr>
          <w:sz w:val="20"/>
          <w:szCs w:val="20"/>
          <w:color w:val="auto"/>
        </w:rPr>
        <w:tab/>
      </w:r>
      <w:r>
        <w:rPr>
          <w:rFonts w:ascii="Arial" w:cs="Arial" w:eastAsia="Arial" w:hAnsi="Arial"/>
          <w:sz w:val="16"/>
          <w:szCs w:val="16"/>
          <w:color w:val="FF0000"/>
          <w:strike w:val="1"/>
        </w:rPr>
        <w:t xml:space="preserve">1.18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Transfer</w:t>
      </w:r>
      <w:r>
        <w:rPr>
          <w:rFonts w:ascii="Arial" w:cs="Arial" w:eastAsia="Arial" w:hAnsi="Arial"/>
          <w:sz w:val="16"/>
          <w:szCs w:val="16"/>
          <w:color w:val="000000"/>
          <w:strike w:val="1"/>
        </w:rPr>
        <w:t>” of a share of Class B Common Stock means, directly or indirectly, any sale, assignment, transfer, conveyance,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5750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7505" cy="8890"/>
                    </a:xfrm>
                    <a:prstGeom prst="rect">
                      <a:avLst/>
                    </a:prstGeom>
                    <a:noFill/>
                  </pic:spPr>
                </pic:pic>
              </a:graphicData>
            </a:graphic>
          </wp:anchor>
        </w:drawing>
      </w:r>
    </w:p>
    <w:p>
      <w:pPr>
        <w:spacing w:after="0" w:line="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will also be deemed to have occurred with respect to all shares of Class B Common Stock beneficially held by an entity that is a Qualified Stockholder, if after the IPO Date there is a Transfer of the voting power of the voting securities of such entity or any direct or indirect Parent of such entity, such that the previous holders of such voting power no longer retain sole dispositive power and exclusive Voting Control with respect to the shares of Class B Common Stock held by such entity. Notwithstanding the foregoing, the following will not be considered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w:t>
      </w:r>
    </w:p>
    <w:p>
      <w:pPr>
        <w:spacing w:after="0" w:line="170" w:lineRule="exact"/>
        <w:rPr>
          <w:sz w:val="20"/>
          <w:szCs w:val="20"/>
          <w:color w:val="auto"/>
        </w:rPr>
      </w:pPr>
    </w:p>
    <w:p>
      <w:pPr>
        <w:ind w:firstLine="1304"/>
        <w:spacing w:after="0" w:line="286" w:lineRule="auto"/>
        <w:tabs>
          <w:tab w:leader="none" w:pos="167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169" w:lineRule="exact"/>
        <w:rPr>
          <w:rFonts w:ascii="Arial" w:cs="Arial" w:eastAsia="Arial" w:hAnsi="Arial"/>
          <w:sz w:val="16"/>
          <w:szCs w:val="16"/>
          <w:color w:val="auto"/>
        </w:rPr>
      </w:pPr>
    </w:p>
    <w:p>
      <w:pPr>
        <w:jc w:val="both"/>
        <w:ind w:firstLine="1304"/>
        <w:spacing w:after="0" w:line="260" w:lineRule="auto"/>
        <w:tabs>
          <w:tab w:leader="none" w:pos="169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191" w:lineRule="exact"/>
        <w:rPr>
          <w:rFonts w:ascii="Arial" w:cs="Arial" w:eastAsia="Arial" w:hAnsi="Arial"/>
          <w:sz w:val="16"/>
          <w:szCs w:val="16"/>
          <w:color w:val="auto"/>
        </w:rPr>
      </w:pPr>
    </w:p>
    <w:p>
      <w:pPr>
        <w:jc w:val="both"/>
        <w:ind w:firstLine="1304"/>
        <w:spacing w:after="0" w:line="265" w:lineRule="auto"/>
        <w:tabs>
          <w:tab w:leader="none" w:pos="168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72" w:lineRule="exact"/>
        <w:rPr>
          <w:rFonts w:ascii="Arial" w:cs="Arial" w:eastAsia="Arial" w:hAnsi="Arial"/>
          <w:sz w:val="16"/>
          <w:szCs w:val="16"/>
          <w:color w:val="auto"/>
        </w:rPr>
      </w:pPr>
    </w:p>
    <w:p>
      <w:pPr>
        <w:jc w:val="both"/>
        <w:ind w:firstLine="1304"/>
        <w:spacing w:after="0" w:line="275" w:lineRule="auto"/>
        <w:tabs>
          <w:tab w:leader="none" w:pos="170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1304"/>
        <w:spacing w:after="0" w:line="265" w:lineRule="auto"/>
        <w:tabs>
          <w:tab w:leader="none" w:pos="171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172" w:lineRule="exact"/>
        <w:rPr>
          <w:rFonts w:ascii="Arial" w:cs="Arial" w:eastAsia="Arial" w:hAnsi="Arial"/>
          <w:sz w:val="16"/>
          <w:szCs w:val="16"/>
          <w:color w:val="auto"/>
        </w:rPr>
      </w:pPr>
    </w:p>
    <w:p>
      <w:pPr>
        <w:jc w:val="both"/>
        <w:ind w:firstLine="1304"/>
        <w:spacing w:after="0" w:line="275" w:lineRule="auto"/>
        <w:tabs>
          <w:tab w:leader="none" w:pos="164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164" w:lineRule="exact"/>
        <w:rPr>
          <w:rFonts w:ascii="Arial" w:cs="Arial" w:eastAsia="Arial" w:hAnsi="Arial"/>
          <w:sz w:val="16"/>
          <w:szCs w:val="16"/>
          <w:color w:val="auto"/>
        </w:rPr>
      </w:pPr>
    </w:p>
    <w:p>
      <w:pPr>
        <w:jc w:val="both"/>
        <w:ind w:firstLine="1304"/>
        <w:spacing w:after="0" w:line="287" w:lineRule="auto"/>
        <w:tabs>
          <w:tab w:leader="none" w:pos="169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356" w:lineRule="exact"/>
        <w:rPr>
          <w:rFonts w:ascii="Arial" w:cs="Arial" w:eastAsia="Arial" w:hAnsi="Arial"/>
          <w:sz w:val="16"/>
          <w:szCs w:val="16"/>
          <w:color w:val="auto"/>
        </w:rPr>
      </w:pPr>
    </w:p>
    <w:p>
      <w:pPr>
        <w:jc w:val="both"/>
        <w:ind w:firstLine="1304"/>
        <w:spacing w:after="0" w:line="275" w:lineRule="auto"/>
        <w:tabs>
          <w:tab w:leader="none" w:pos="171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64" w:lineRule="exact"/>
        <w:rPr>
          <w:rFonts w:ascii="Arial" w:cs="Arial" w:eastAsia="Arial" w:hAnsi="Arial"/>
          <w:sz w:val="16"/>
          <w:szCs w:val="16"/>
          <w:color w:val="auto"/>
        </w:rPr>
      </w:pPr>
    </w:p>
    <w:p>
      <w:pPr>
        <w:ind w:firstLine="1304"/>
        <w:spacing w:after="0" w:line="304" w:lineRule="auto"/>
        <w:tabs>
          <w:tab w:leader="none" w:pos="172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141"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6"/>
          <w:szCs w:val="16"/>
          <w:color w:val="0000FF"/>
        </w:rPr>
        <w:t>1.22</w:t>
      </w:r>
      <w:r>
        <w:rPr>
          <w:sz w:val="20"/>
          <w:szCs w:val="20"/>
          <w:color w:val="auto"/>
        </w:rPr>
        <w:tab/>
      </w:r>
      <w:r>
        <w:rPr>
          <w:rFonts w:ascii="Arial" w:cs="Arial" w:eastAsia="Arial" w:hAnsi="Arial"/>
          <w:sz w:val="16"/>
          <w:szCs w:val="16"/>
          <w:color w:val="FF0000"/>
          <w:strike w:val="1"/>
        </w:rPr>
        <w:t xml:space="preserve">1.19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Voting Control</w:t>
      </w:r>
      <w:r>
        <w:rPr>
          <w:rFonts w:ascii="Arial" w:cs="Arial" w:eastAsia="Arial" w:hAnsi="Arial"/>
          <w:sz w:val="16"/>
          <w:szCs w:val="16"/>
          <w:color w:val="000000"/>
          <w:strike w:val="1"/>
        </w:rPr>
        <w:t>” means, with respect to a share of capital stock or other security, the power (whether exclusive or shared)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232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232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vote or direct the voting of such security, including by proxy, voting agreement or otherwise.</w:t>
      </w:r>
    </w:p>
    <w:p>
      <w:pPr>
        <w:spacing w:after="0" w:line="20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0000FF"/>
        </w:rPr>
        <w:t xml:space="preserve">1.23 </w:t>
      </w:r>
      <w:r>
        <w:rPr>
          <w:rFonts w:ascii="Arial" w:cs="Arial" w:eastAsia="Arial" w:hAnsi="Arial"/>
          <w:sz w:val="16"/>
          <w:szCs w:val="16"/>
          <w:color w:val="FF0000"/>
          <w:strike w:val="1"/>
        </w:rPr>
        <w:t>1.20</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Voting Threshold Date</w:t>
      </w:r>
      <w:r>
        <w:rPr>
          <w:rFonts w:ascii="Arial" w:cs="Arial" w:eastAsia="Arial" w:hAnsi="Arial"/>
          <w:sz w:val="16"/>
          <w:szCs w:val="16"/>
          <w:color w:val="000000"/>
        </w:rPr>
        <w:t>” means the first date on which the outstanding shares of Class B Common Stock represent less than</w:t>
      </w:r>
      <w:r>
        <w:rPr>
          <w:rFonts w:ascii="Arial" w:cs="Arial" w:eastAsia="Arial" w:hAnsi="Arial"/>
          <w:sz w:val="16"/>
          <w:szCs w:val="16"/>
          <w:color w:val="0000FF"/>
        </w:rPr>
        <w:t xml:space="preserve"> </w:t>
      </w:r>
      <w:r>
        <w:rPr>
          <w:rFonts w:ascii="Arial" w:cs="Arial" w:eastAsia="Arial" w:hAnsi="Arial"/>
          <w:sz w:val="16"/>
          <w:szCs w:val="16"/>
          <w:color w:val="000000"/>
        </w:rPr>
        <w:t>a majority of the total voting power of the then outstanding shares of the Corporation entitled to vote generally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-165735</wp:posOffset>
            </wp:positionV>
            <wp:extent cx="314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49"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0000FF"/>
        </w:rPr>
        <w:t xml:space="preserve">1.24 </w:t>
      </w:r>
      <w:r>
        <w:rPr>
          <w:rFonts w:ascii="Arial" w:cs="Arial" w:eastAsia="Arial" w:hAnsi="Arial"/>
          <w:sz w:val="16"/>
          <w:szCs w:val="16"/>
          <w:color w:val="FF0000"/>
          <w:strike w:val="1"/>
        </w:rPr>
        <w:t>1.21</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Whole Board</w:t>
      </w:r>
      <w:r>
        <w:rPr>
          <w:rFonts w:ascii="Arial" w:cs="Arial" w:eastAsia="Arial" w:hAnsi="Arial"/>
          <w:sz w:val="16"/>
          <w:szCs w:val="16"/>
          <w:color w:val="000000"/>
        </w:rPr>
        <w:t>” means the total number of authorized directors whether or not there exist any vacancies or unfilled seats in</w:t>
      </w:r>
      <w:r>
        <w:rPr>
          <w:rFonts w:ascii="Arial" w:cs="Arial" w:eastAsia="Arial" w:hAnsi="Arial"/>
          <w:sz w:val="16"/>
          <w:szCs w:val="16"/>
          <w:color w:val="0000FF"/>
        </w:rPr>
        <w:t xml:space="preserve"> </w:t>
      </w:r>
      <w:r>
        <w:rPr>
          <w:rFonts w:ascii="Arial" w:cs="Arial" w:eastAsia="Arial" w:hAnsi="Arial"/>
          <w:sz w:val="16"/>
          <w:szCs w:val="16"/>
          <w:color w:val="000000"/>
        </w:rPr>
        <w:t>previously authorized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-165735</wp:posOffset>
            </wp:positionV>
            <wp:extent cx="3403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0360" cy="8255"/>
                    </a:xfrm>
                    <a:prstGeom prst="rect">
                      <a:avLst/>
                    </a:prstGeom>
                    <a:noFill/>
                  </pic:spPr>
                </pic:pic>
              </a:graphicData>
            </a:graphic>
          </wp:anchor>
        </w:drawing>
      </w:r>
    </w:p>
    <w:p>
      <w:pPr>
        <w:spacing w:after="0" w:line="149" w:lineRule="exact"/>
        <w:rPr>
          <w:sz w:val="20"/>
          <w:szCs w:val="20"/>
          <w:color w:val="auto"/>
        </w:rPr>
      </w:pPr>
    </w:p>
    <w:p>
      <w:pPr>
        <w:jc w:val="both"/>
        <w:ind w:firstLine="656"/>
        <w:spacing w:after="0" w:line="266" w:lineRule="auto"/>
        <w:tabs>
          <w:tab w:leader="none" w:pos="1004"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Identical Rights</w:t>
      </w:r>
      <w:r>
        <w:rPr>
          <w:rFonts w:ascii="Arial" w:cs="Arial" w:eastAsia="Arial" w:hAnsi="Arial"/>
          <w:sz w:val="16"/>
          <w:szCs w:val="16"/>
          <w:color w:val="auto"/>
        </w:rPr>
        <w:t xml:space="preserve">. Except as otherwise provided in these Articles or required by applicable law, shares of Common Stock shall have the same rights and powers, rank equally (including as to dividends and </w:t>
      </w:r>
      <w:r>
        <w:rPr>
          <w:rFonts w:ascii="Arial" w:cs="Arial" w:eastAsia="Arial" w:hAnsi="Arial"/>
          <w:sz w:val="16"/>
          <w:szCs w:val="16"/>
          <w:u w:val="single" w:color="auto"/>
          <w:color w:val="0000FF"/>
        </w:rPr>
        <w:t>other</w:t>
      </w:r>
      <w:r>
        <w:rPr>
          <w:rFonts w:ascii="Arial" w:cs="Arial" w:eastAsia="Arial" w:hAnsi="Arial"/>
          <w:sz w:val="16"/>
          <w:szCs w:val="16"/>
          <w:color w:val="auto"/>
        </w:rPr>
        <w:t xml:space="preserve"> distributions, and any liquidation, dissolution or winding up of the corporation but excluding voting and other matters as described in </w:t>
      </w:r>
      <w:r>
        <w:rPr>
          <w:rFonts w:ascii="Arial" w:cs="Arial" w:eastAsia="Arial" w:hAnsi="Arial"/>
          <w:sz w:val="16"/>
          <w:szCs w:val="16"/>
          <w:u w:val="single" w:color="auto"/>
          <w:color w:val="auto"/>
        </w:rPr>
        <w:t>Section V.3</w:t>
      </w:r>
      <w:r>
        <w:rPr>
          <w:rFonts w:ascii="Arial" w:cs="Arial" w:eastAsia="Arial" w:hAnsi="Arial"/>
          <w:sz w:val="16"/>
          <w:szCs w:val="16"/>
          <w:color w:val="auto"/>
        </w:rPr>
        <w:t xml:space="preserve"> below), share ratably and be identical in all respects as to all matters, including:</w:t>
      </w:r>
    </w:p>
    <w:p>
      <w:pPr>
        <w:spacing w:after="0" w:line="18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6"/>
          <w:szCs w:val="16"/>
          <w:color w:val="auto"/>
        </w:rPr>
        <w:t xml:space="preserve">2.1 Subject to the prior rights of holders of all classes and series of stock at the time outstanding having prior rights as to dividends or </w:t>
      </w:r>
      <w:r>
        <w:rPr>
          <w:rFonts w:ascii="Arial" w:cs="Arial" w:eastAsia="Arial" w:hAnsi="Arial"/>
          <w:sz w:val="16"/>
          <w:szCs w:val="16"/>
          <w:u w:val="single" w:color="auto"/>
          <w:color w:val="0000FF"/>
        </w:rPr>
        <w:t>other</w:t>
      </w:r>
      <w:r>
        <w:rPr>
          <w:rFonts w:ascii="Arial" w:cs="Arial" w:eastAsia="Arial" w:hAnsi="Arial"/>
          <w:sz w:val="16"/>
          <w:szCs w:val="16"/>
          <w:color w:val="0000FF"/>
        </w:rPr>
        <w:t xml:space="preserve"> </w:t>
      </w:r>
      <w:r>
        <w:rPr>
          <w:rFonts w:ascii="Arial" w:cs="Arial" w:eastAsia="Arial" w:hAnsi="Arial"/>
          <w:sz w:val="16"/>
          <w:szCs w:val="16"/>
          <w:color w:val="000000"/>
        </w:rPr>
        <w:t>distributions, the holders of the Common Stock shall be entitled to receive, when, as and if declared by the Board, out of any assets of the Corporation</w:t>
      </w:r>
      <w:r>
        <w:rPr>
          <w:rFonts w:ascii="Arial" w:cs="Arial" w:eastAsia="Arial" w:hAnsi="Arial"/>
          <w:sz w:val="16"/>
          <w:szCs w:val="16"/>
          <w:color w:val="0000FF"/>
        </w:rPr>
        <w:t xml:space="preserve"> </w:t>
      </w:r>
      <w:r>
        <w:rPr>
          <w:rFonts w:ascii="Arial" w:cs="Arial" w:eastAsia="Arial" w:hAnsi="Arial"/>
          <w:sz w:val="16"/>
          <w:szCs w:val="16"/>
          <w:color w:val="000000"/>
        </w:rPr>
        <w:t xml:space="preserve">legally available therefor, such dividends or </w:t>
      </w:r>
      <w:r>
        <w:rPr>
          <w:rFonts w:ascii="Arial" w:cs="Arial" w:eastAsia="Arial" w:hAnsi="Arial"/>
          <w:sz w:val="16"/>
          <w:szCs w:val="16"/>
          <w:u w:val="single" w:color="auto"/>
          <w:color w:val="0000FF"/>
        </w:rPr>
        <w:t>other</w:t>
      </w:r>
      <w:r>
        <w:rPr>
          <w:rFonts w:ascii="Arial" w:cs="Arial" w:eastAsia="Arial" w:hAnsi="Arial"/>
          <w:sz w:val="16"/>
          <w:szCs w:val="16"/>
          <w:color w:val="000000"/>
        </w:rPr>
        <w:t xml:space="preserve"> distributions as may be declared from time to time by the Board. Any dividends or </w:t>
      </w:r>
      <w:r>
        <w:rPr>
          <w:rFonts w:ascii="Arial" w:cs="Arial" w:eastAsia="Arial" w:hAnsi="Arial"/>
          <w:sz w:val="16"/>
          <w:szCs w:val="16"/>
          <w:u w:val="single" w:color="auto"/>
          <w:color w:val="0000FF"/>
        </w:rPr>
        <w:t>other</w:t>
      </w:r>
      <w:r>
        <w:rPr>
          <w:rFonts w:ascii="Arial" w:cs="Arial" w:eastAsia="Arial" w:hAnsi="Arial"/>
          <w:sz w:val="16"/>
          <w:szCs w:val="16"/>
          <w:color w:val="000000"/>
        </w:rPr>
        <w:t xml:space="preserve"> distributions paid to the holders of shares of Common Stock shall be paid </w:t>
      </w:r>
      <w:r>
        <w:rPr>
          <w:rFonts w:ascii="Arial" w:cs="Arial" w:eastAsia="Arial" w:hAnsi="Arial"/>
          <w:sz w:val="16"/>
          <w:szCs w:val="16"/>
          <w:i w:val="1"/>
          <w:iCs w:val="1"/>
          <w:color w:val="000000"/>
        </w:rPr>
        <w:t>pro rata</w:t>
      </w:r>
      <w:r>
        <w:rPr>
          <w:rFonts w:ascii="Arial" w:cs="Arial" w:eastAsia="Arial" w:hAnsi="Arial"/>
          <w:sz w:val="16"/>
          <w:szCs w:val="16"/>
          <w:color w:val="000000"/>
        </w:rPr>
        <w:t xml:space="preserve">, on an equal priority, </w:t>
      </w:r>
      <w:r>
        <w:rPr>
          <w:rFonts w:ascii="Arial" w:cs="Arial" w:eastAsia="Arial" w:hAnsi="Arial"/>
          <w:sz w:val="16"/>
          <w:szCs w:val="16"/>
          <w:i w:val="1"/>
          <w:iCs w:val="1"/>
          <w:color w:val="000000"/>
        </w:rPr>
        <w:t>pari passu</w:t>
      </w:r>
      <w:r>
        <w:rPr>
          <w:rFonts w:ascii="Arial" w:cs="Arial" w:eastAsia="Arial" w:hAnsi="Arial"/>
          <w:sz w:val="16"/>
          <w:szCs w:val="16"/>
          <w:color w:val="000000"/>
        </w:rPr>
        <w:t xml:space="preserve">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6"/>
          <w:szCs w:val="16"/>
          <w:color w:val="auto"/>
        </w:rPr>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176"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6"/>
          <w:szCs w:val="16"/>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41" w:lineRule="exact"/>
        <w:rPr>
          <w:sz w:val="20"/>
          <w:szCs w:val="20"/>
          <w:color w:val="auto"/>
        </w:rPr>
      </w:pPr>
    </w:p>
    <w:p>
      <w:pPr>
        <w:ind w:left="980" w:hanging="324"/>
        <w:spacing w:after="0"/>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w:t>
      </w:r>
    </w:p>
    <w:p>
      <w:pPr>
        <w:spacing w:after="0" w:line="23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1" w:lineRule="exact"/>
        <w:rPr>
          <w:sz w:val="20"/>
          <w:szCs w:val="20"/>
          <w:color w:val="auto"/>
        </w:rPr>
      </w:pPr>
    </w:p>
    <w:p>
      <w:pPr>
        <w:ind w:firstLine="1952"/>
        <w:spacing w:after="0" w:line="286" w:lineRule="auto"/>
        <w:tabs>
          <w:tab w:leader="none" w:pos="237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Class A Common Stock</w:t>
      </w:r>
      <w:r>
        <w:rPr>
          <w:rFonts w:ascii="Arial" w:cs="Arial" w:eastAsia="Arial" w:hAnsi="Arial"/>
          <w:sz w:val="16"/>
          <w:szCs w:val="16"/>
          <w:color w:val="auto"/>
        </w:rPr>
        <w:t>. Each holder of shares of Class A Common Stock will be entitled to one (1) vote for each share thereof held at the record date for the determination of the stockholders entitled to vote on such matters.</w:t>
      </w:r>
    </w:p>
    <w:p>
      <w:pPr>
        <w:spacing w:after="0" w:line="169" w:lineRule="exact"/>
        <w:rPr>
          <w:rFonts w:ascii="Arial" w:cs="Arial" w:eastAsia="Arial" w:hAnsi="Arial"/>
          <w:sz w:val="16"/>
          <w:szCs w:val="16"/>
          <w:color w:val="auto"/>
        </w:rPr>
      </w:pPr>
    </w:p>
    <w:p>
      <w:pPr>
        <w:ind w:firstLine="1952"/>
        <w:spacing w:after="0" w:line="286" w:lineRule="auto"/>
        <w:tabs>
          <w:tab w:leader="none" w:pos="2349"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Class B Common Stock</w:t>
      </w:r>
      <w:r>
        <w:rPr>
          <w:rFonts w:ascii="Arial" w:cs="Arial" w:eastAsia="Arial" w:hAnsi="Arial"/>
          <w:sz w:val="16"/>
          <w:szCs w:val="16"/>
          <w:color w:val="auto"/>
        </w:rPr>
        <w:t>. Each holder of shares of Class B Common Stock will be entitled to ten (10) votes for each share thereof held at the record date for the determination of the stockholders entitled to vote on such matters.</w:t>
      </w:r>
    </w:p>
    <w:p>
      <w:pPr>
        <w:spacing w:after="0" w:line="155" w:lineRule="exact"/>
        <w:rPr>
          <w:rFonts w:ascii="Arial" w:cs="Arial" w:eastAsia="Arial" w:hAnsi="Arial"/>
          <w:sz w:val="16"/>
          <w:szCs w:val="16"/>
          <w:color w:val="auto"/>
        </w:rPr>
      </w:pPr>
    </w:p>
    <w:p>
      <w:pPr>
        <w:jc w:val="both"/>
        <w:ind w:firstLine="1952"/>
        <w:spacing w:after="0" w:line="275" w:lineRule="auto"/>
        <w:tabs>
          <w:tab w:leader="none" w:pos="236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Class C Common Stock</w:t>
      </w:r>
      <w:r>
        <w:rPr>
          <w:rFonts w:ascii="Arial" w:cs="Arial" w:eastAsia="Arial" w:hAnsi="Arial"/>
          <w:sz w:val="16"/>
          <w:szCs w:val="16"/>
          <w:color w:val="auto"/>
        </w:rPr>
        <w:t xml:space="preserve">. Except as required by law, the Class C Common Stock will have no voting rights and no holder thereof shall be entitled to vote on any matter. For the avoidance of doubt, any right of the Class C Common Stock, or any holder thereof, to vote pursuant to NRS 78.2055(3)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78.207(3) </w:t>
      </w:r>
      <w:r>
        <w:rPr>
          <w:rFonts w:ascii="Arial" w:cs="Arial" w:eastAsia="Arial" w:hAnsi="Arial"/>
          <w:sz w:val="16"/>
          <w:szCs w:val="16"/>
          <w:u w:val="single" w:color="auto"/>
          <w:color w:val="0000FF"/>
        </w:rPr>
        <w:t>or 78.390(2)</w:t>
      </w:r>
      <w:r>
        <w:rPr>
          <w:rFonts w:ascii="Arial" w:cs="Arial" w:eastAsia="Arial" w:hAnsi="Arial"/>
          <w:sz w:val="16"/>
          <w:szCs w:val="16"/>
          <w:color w:val="auto"/>
        </w:rPr>
        <w:t xml:space="preserve"> is hereby specifically denied.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-83185</wp:posOffset>
            </wp:positionV>
            <wp:extent cx="1200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expressly provided herein or as required by law, the holders of Class A Common Stock, Class B Common Stock and Class C Common Stock will vote together and not as separate series or classes.</w:t>
      </w:r>
    </w:p>
    <w:p>
      <w:pPr>
        <w:spacing w:after="0" w:line="15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Authorized Shares</w:t>
      </w:r>
      <w:r>
        <w:rPr>
          <w:rFonts w:ascii="Arial" w:cs="Arial" w:eastAsia="Arial" w:hAnsi="Arial"/>
          <w:sz w:val="16"/>
          <w:szCs w:val="16"/>
          <w:color w:val="auto"/>
        </w:rPr>
        <w:t xml:space="preserve">.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w:t>
      </w:r>
      <w:r>
        <w:rPr>
          <w:rFonts w:ascii="Arial" w:cs="Arial" w:eastAsia="Arial" w:hAnsi="Arial"/>
          <w:sz w:val="16"/>
          <w:szCs w:val="16"/>
          <w:u w:val="single" w:color="auto"/>
          <w:color w:val="auto"/>
        </w:rPr>
        <w:t>Section V.9</w:t>
      </w:r>
      <w:r>
        <w:rPr>
          <w:rFonts w:ascii="Arial" w:cs="Arial" w:eastAsia="Arial" w:hAnsi="Arial"/>
          <w:sz w:val="16"/>
          <w:szCs w:val="16"/>
          <w:color w:val="auto"/>
        </w:rPr>
        <w:t xml:space="preserve">) by the affirmative vote of the holders of </w:t>
      </w:r>
      <w:r>
        <w:rPr>
          <w:rFonts w:ascii="Arial" w:cs="Arial" w:eastAsia="Arial" w:hAnsi="Arial"/>
          <w:sz w:val="16"/>
          <w:szCs w:val="16"/>
          <w:color w:val="FF0000"/>
          <w:strike w:val="1"/>
        </w:rPr>
        <w:t>a majority of the voting power of</w:t>
      </w:r>
      <w:r>
        <w:rPr>
          <w:rFonts w:ascii="Arial" w:cs="Arial" w:eastAsia="Arial" w:hAnsi="Arial"/>
          <w:sz w:val="16"/>
          <w:szCs w:val="16"/>
          <w:color w:val="auto"/>
        </w:rPr>
        <w:t xml:space="preserve"> the Class A Common Stock and Class B Common Stock, voting together as a single class, irrespective of any applicable provisions of NRS </w:t>
      </w:r>
      <w:r>
        <w:rPr>
          <w:rFonts w:ascii="Arial" w:cs="Arial" w:eastAsia="Arial" w:hAnsi="Arial"/>
          <w:sz w:val="16"/>
          <w:szCs w:val="16"/>
          <w:u w:val="single" w:color="auto"/>
          <w:color w:val="0000FF"/>
        </w:rPr>
        <w:t>78.207(3) and NRS</w:t>
      </w:r>
      <w:r>
        <w:rPr>
          <w:rFonts w:ascii="Arial" w:cs="Arial" w:eastAsia="Arial" w:hAnsi="Arial"/>
          <w:sz w:val="16"/>
          <w:szCs w:val="16"/>
          <w:color w:val="auto"/>
        </w:rPr>
        <w:t xml:space="preserve"> 78.390(2); provided, that the number of authorized shares of Class B Common Stock shall not be increased without the affirmative vote of the holders of a majority of the outstanding shares of Class B Common Stock, voting as a separate class.</w:t>
      </w:r>
    </w:p>
    <w:p>
      <w:pPr>
        <w:spacing w:after="0" w:line="19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 (ii) from and after the Final Conversion Date, until the Class C Conversion Date, if any, the holders of the Class A Common Stock, voting together as a single class, shall be entitled to elect and remove all directors of the Company and (iii) from and after the Class C Conversion Date, if any, the holders of Common Stock, voting together as a single class, shall be entitled to elect and remove all directors of the Company.</w:t>
      </w:r>
    </w:p>
    <w:p>
      <w:pPr>
        <w:spacing w:after="0" w:line="176" w:lineRule="exact"/>
        <w:rPr>
          <w:sz w:val="20"/>
          <w:szCs w:val="20"/>
          <w:color w:val="auto"/>
        </w:rPr>
      </w:pPr>
    </w:p>
    <w:p>
      <w:pPr>
        <w:jc w:val="both"/>
        <w:ind w:firstLine="656"/>
        <w:spacing w:after="0" w:line="258" w:lineRule="auto"/>
        <w:tabs>
          <w:tab w:leader="none" w:pos="97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a “distribution to stockholders” for the purpose of this </w:t>
      </w:r>
      <w:r>
        <w:rPr>
          <w:rFonts w:ascii="Arial" w:cs="Arial" w:eastAsia="Arial" w:hAnsi="Arial"/>
          <w:sz w:val="16"/>
          <w:szCs w:val="16"/>
          <w:u w:val="single" w:color="auto"/>
          <w:color w:val="auto"/>
        </w:rPr>
        <w:t>Section V.4</w:t>
      </w:r>
      <w:r>
        <w:rPr>
          <w:rFonts w:ascii="Arial" w:cs="Arial" w:eastAsia="Arial" w:hAnsi="Arial"/>
          <w:sz w:val="16"/>
          <w:szCs w:val="16"/>
          <w:color w:val="auto"/>
        </w:rPr>
        <w:t>; provided, further, however, that shares of such classes may receive, or have the right to elect to receive, different or disproportionate consideration in connection with such consolidation, merger or other transaction if the only difference in the per share consideration to the holders of the Class A Common Stock, Class B Common Stock and Class C Common Stock is that any securities distributed to the holder of a share of Class B Common Stock have ten (10) times the voting power of any securities distributed to the holder of a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and that any securities distributed to the holder of a share of Class C Common Stock have no voting rights or power.</w:t>
      </w:r>
    </w:p>
    <w:p>
      <w:pPr>
        <w:spacing w:after="0" w:line="221" w:lineRule="exact"/>
        <w:rPr>
          <w:sz w:val="20"/>
          <w:szCs w:val="20"/>
          <w:color w:val="auto"/>
        </w:rPr>
      </w:pPr>
    </w:p>
    <w:p>
      <w:pPr>
        <w:ind w:left="980" w:hanging="324"/>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Conversion of the Class B Common Stock</w:t>
      </w:r>
      <w:r>
        <w:rPr>
          <w:rFonts w:ascii="Arial" w:cs="Arial" w:eastAsia="Arial" w:hAnsi="Arial"/>
          <w:sz w:val="16"/>
          <w:szCs w:val="16"/>
          <w:color w:val="auto"/>
        </w:rPr>
        <w:t>. The Class B Common Stock will be convertible into Class A Common Stock as follows:</w:t>
      </w:r>
    </w:p>
    <w:p>
      <w:pPr>
        <w:spacing w:after="0" w:line="23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5.1 Each share of Class B Common Stock will automatically convert into one fully paid and nonassessable share of Class A Common Stock on the Final Conversion Date.</w:t>
      </w:r>
    </w:p>
    <w:p>
      <w:pPr>
        <w:spacing w:after="0" w:line="169"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156" w:lineRule="exact"/>
        <w:rPr>
          <w:sz w:val="20"/>
          <w:szCs w:val="20"/>
          <w:color w:val="auto"/>
        </w:rPr>
      </w:pPr>
    </w:p>
    <w:p>
      <w:pPr>
        <w:jc w:val="both"/>
        <w:ind w:firstLine="1952"/>
        <w:spacing w:after="0" w:line="275" w:lineRule="auto"/>
        <w:tabs>
          <w:tab w:leader="none" w:pos="235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177" w:lineRule="exact"/>
        <w:rPr>
          <w:rFonts w:ascii="Arial" w:cs="Arial" w:eastAsia="Arial" w:hAnsi="Arial"/>
          <w:sz w:val="16"/>
          <w:szCs w:val="16"/>
          <w:color w:val="auto"/>
        </w:rPr>
      </w:pPr>
    </w:p>
    <w:p>
      <w:pPr>
        <w:ind w:left="2340" w:hanging="388"/>
        <w:spacing w:after="0"/>
        <w:tabs>
          <w:tab w:leader="none" w:pos="23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on the occurrence of a Transfer of such share of Class B Common Stock, other than a Permitted Transfer; or</w:t>
      </w:r>
    </w:p>
    <w:p>
      <w:pPr>
        <w:spacing w:after="0" w:line="221" w:lineRule="exact"/>
        <w:rPr>
          <w:rFonts w:ascii="Arial" w:cs="Arial" w:eastAsia="Arial" w:hAnsi="Arial"/>
          <w:sz w:val="16"/>
          <w:szCs w:val="16"/>
          <w:color w:val="auto"/>
        </w:rPr>
      </w:pPr>
    </w:p>
    <w:p>
      <w:pPr>
        <w:jc w:val="both"/>
        <w:ind w:firstLine="1952"/>
        <w:spacing w:after="0" w:line="255" w:lineRule="auto"/>
        <w:tabs>
          <w:tab w:leader="none" w:pos="236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highlight w:val="white"/>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highlight w:val="white"/>
        </w:rPr>
        <w:t>however</w:t>
      </w:r>
      <w:r>
        <w:rPr>
          <w:rFonts w:ascii="Arial" w:cs="Arial" w:eastAsia="Arial" w:hAnsi="Arial"/>
          <w:sz w:val="16"/>
          <w:szCs w:val="16"/>
          <w:color w:val="auto"/>
          <w:highlight w:val="white"/>
        </w:rPr>
        <w:t>, that, with respect to the shares of Class B Common Stock held of record by a Founder, such Founder’s Permitted Entities or</w:t>
      </w:r>
      <w:r>
        <w:rPr>
          <w:rFonts w:ascii="Arial" w:cs="Arial" w:eastAsia="Arial" w:hAnsi="Arial"/>
          <w:sz w:val="16"/>
          <w:szCs w:val="16"/>
          <w:color w:val="auto"/>
        </w:rPr>
        <w:t xml:space="preserve">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w:t>
      </w:r>
      <w:r>
        <w:rPr>
          <w:rFonts w:ascii="Arial" w:cs="Arial" w:eastAsia="Arial" w:hAnsi="Arial"/>
          <w:sz w:val="16"/>
          <w:szCs w:val="16"/>
          <w:u w:val="single" w:color="auto"/>
          <w:color w:val="auto"/>
        </w:rPr>
        <w:t>Section V.1.18</w:t>
      </w:r>
      <w:r>
        <w:rPr>
          <w:rFonts w:ascii="Arial" w:cs="Arial" w:eastAsia="Arial" w:hAnsi="Arial"/>
          <w:sz w:val="16"/>
          <w:szCs w:val="16"/>
          <w:color w:val="auto"/>
        </w:rPr>
        <w:t xml:space="preserve"> of these Articles or, if no such proxy 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Arial" w:cs="Arial" w:eastAsia="Arial" w:hAnsi="Arial"/>
          <w:sz w:val="16"/>
          <w:szCs w:val="16"/>
          <w:i w:val="1"/>
          <w:iCs w:val="1"/>
          <w:u w:val="single" w:color="auto"/>
          <w:color w:val="auto"/>
        </w:rPr>
        <w:t>provided, further</w:t>
      </w:r>
      <w:r>
        <w:rPr>
          <w:rFonts w:ascii="Arial" w:cs="Arial" w:eastAsia="Arial" w:hAnsi="Arial"/>
          <w:sz w:val="16"/>
          <w:szCs w:val="16"/>
          <w:color w:val="auto"/>
        </w:rPr>
        <w:t xml:space="preserve">, that, if both Founders die and/or suffer a Disability simultaneously or the second Founder dies or suffers a Disability following the death or Disability of the other Founder, but prior to the conversion pursuant to this </w:t>
      </w:r>
      <w:r>
        <w:rPr>
          <w:rFonts w:ascii="Arial" w:cs="Arial" w:eastAsia="Arial" w:hAnsi="Arial"/>
          <w:sz w:val="16"/>
          <w:szCs w:val="16"/>
          <w:u w:val="single" w:color="auto"/>
          <w:color w:val="auto"/>
        </w:rPr>
        <w:t>Section V.5.2(c)</w:t>
      </w:r>
      <w:r>
        <w:rPr>
          <w:rFonts w:ascii="Arial" w:cs="Arial" w:eastAsia="Arial" w:hAnsi="Arial"/>
          <w:sz w:val="16"/>
          <w:szCs w:val="16"/>
          <w:color w:val="auto"/>
        </w:rPr>
        <w:t xml:space="preserve"> of the shares of Class B Common Stock held of record by such first Founder to die or become Disabled, his Permitted Entities or his Permitted Transferees, a person (including a person 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 (9) months after the date upon which both Founders died and/or suffered a Disability, or such later date not to exceed a total period of eighteen (18) months after the last applicable death or Disability as may be approved by a majority of the Independent Directors then in office.</w:t>
      </w:r>
    </w:p>
    <w:p>
      <w:pPr>
        <w:spacing w:after="0" w:line="383" w:lineRule="exact"/>
        <w:rPr>
          <w:rFonts w:ascii="Arial" w:cs="Arial" w:eastAsia="Arial" w:hAnsi="Arial"/>
          <w:sz w:val="16"/>
          <w:szCs w:val="16"/>
          <w:color w:val="auto"/>
        </w:rPr>
      </w:pPr>
    </w:p>
    <w:p>
      <w:pPr>
        <w:jc w:val="both"/>
        <w:ind w:firstLine="656"/>
        <w:spacing w:after="0" w:line="265" w:lineRule="auto"/>
        <w:tabs>
          <w:tab w:leader="none" w:pos="1004"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Conversion of the Class C Common Stock</w:t>
      </w:r>
      <w:r>
        <w:rPr>
          <w:rFonts w:ascii="Arial" w:cs="Arial" w:eastAsia="Arial" w:hAnsi="Arial"/>
          <w:sz w:val="16"/>
          <w:szCs w:val="16"/>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Arial" w:cs="Arial" w:eastAsia="Arial" w:hAnsi="Arial"/>
          <w:sz w:val="16"/>
          <w:szCs w:val="16"/>
          <w:b w:val="1"/>
          <w:bCs w:val="1"/>
          <w:i w:val="1"/>
          <w:iCs w:val="1"/>
          <w:color w:val="auto"/>
        </w:rPr>
        <w:t>Class C Conversion Date</w:t>
      </w:r>
      <w:r>
        <w:rPr>
          <w:rFonts w:ascii="Arial" w:cs="Arial" w:eastAsia="Arial" w:hAnsi="Arial"/>
          <w:sz w:val="16"/>
          <w:szCs w:val="16"/>
          <w:color w:val="auto"/>
        </w:rPr>
        <w:t>”), each outstanding share of Class C Capital Stock shall automatically, without further action by the Corporation or the holders thereof, convert into one (1) fully paid and nonassessable share of Class A Common Stock.</w:t>
      </w:r>
    </w:p>
    <w:p>
      <w:pPr>
        <w:spacing w:after="0" w:line="172" w:lineRule="exact"/>
        <w:rPr>
          <w:rFonts w:ascii="Arial" w:cs="Arial" w:eastAsia="Arial" w:hAnsi="Arial"/>
          <w:sz w:val="16"/>
          <w:szCs w:val="16"/>
          <w:color w:val="auto"/>
        </w:rPr>
      </w:pPr>
    </w:p>
    <w:p>
      <w:pPr>
        <w:jc w:val="both"/>
        <w:ind w:firstLine="656"/>
        <w:spacing w:after="0" w:line="261" w:lineRule="auto"/>
        <w:tabs>
          <w:tab w:leader="none" w:pos="96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multi-class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-3127375</wp:posOffset>
            </wp:positionV>
            <wp:extent cx="3377565" cy="1200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7756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56"/>
        <w:spacing w:after="0" w:line="258" w:lineRule="auto"/>
        <w:tabs>
          <w:tab w:leader="none" w:pos="977"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Immediate Effect</w:t>
      </w:r>
      <w:r>
        <w:rPr>
          <w:rFonts w:ascii="Arial" w:cs="Arial" w:eastAsia="Arial" w:hAnsi="Arial"/>
          <w:sz w:val="16"/>
          <w:szCs w:val="16"/>
          <w:color w:val="auto"/>
        </w:rPr>
        <w:t xml:space="preserve">. In the event of and upon a conversion of shares of Class B Common Stock to shares of Class A Common Stock pursuant to </w:t>
      </w:r>
      <w:r>
        <w:rPr>
          <w:rFonts w:ascii="Arial" w:cs="Arial" w:eastAsia="Arial" w:hAnsi="Arial"/>
          <w:sz w:val="16"/>
          <w:szCs w:val="16"/>
          <w:u w:val="single" w:color="auto"/>
          <w:color w:val="auto"/>
        </w:rPr>
        <w:t>Section V.5</w:t>
      </w:r>
      <w:r>
        <w:rPr>
          <w:rFonts w:ascii="Arial" w:cs="Arial" w:eastAsia="Arial" w:hAnsi="Arial"/>
          <w:sz w:val="16"/>
          <w:szCs w:val="16"/>
          <w:color w:val="auto"/>
        </w:rPr>
        <w:t xml:space="preserve"> or Class C Common Stock to Class A Common Stock pursuant to </w:t>
      </w:r>
      <w:r>
        <w:rPr>
          <w:rFonts w:ascii="Arial" w:cs="Arial" w:eastAsia="Arial" w:hAnsi="Arial"/>
          <w:sz w:val="16"/>
          <w:szCs w:val="16"/>
          <w:u w:val="single" w:color="auto"/>
          <w:color w:val="auto"/>
        </w:rPr>
        <w:t>Section V.6</w:t>
      </w:r>
      <w:r>
        <w:rPr>
          <w:rFonts w:ascii="Arial" w:cs="Arial" w:eastAsia="Arial" w:hAnsi="Arial"/>
          <w:sz w:val="16"/>
          <w:szCs w:val="16"/>
          <w:color w:val="auto"/>
        </w:rPr>
        <w:t>,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these Articles. Upon any conversion of Class B Common Stock or Class C Common Stock to Class A Common Stock in accordance with these Articles,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90" w:lineRule="exact"/>
        <w:rPr>
          <w:rFonts w:ascii="Arial" w:cs="Arial" w:eastAsia="Arial" w:hAnsi="Arial"/>
          <w:sz w:val="16"/>
          <w:szCs w:val="16"/>
          <w:color w:val="auto"/>
        </w:rPr>
      </w:pPr>
    </w:p>
    <w:p>
      <w:pPr>
        <w:jc w:val="both"/>
        <w:ind w:firstLine="656"/>
        <w:spacing w:after="0" w:line="259" w:lineRule="auto"/>
        <w:tabs>
          <w:tab w:leader="none" w:pos="963"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Reservation of Stock Issuable Upon Conversion</w:t>
      </w:r>
      <w:r>
        <w:rPr>
          <w:rFonts w:ascii="Arial" w:cs="Arial" w:eastAsia="Arial" w:hAnsi="Arial"/>
          <w:sz w:val="16"/>
          <w:szCs w:val="16"/>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176" w:lineRule="exact"/>
        <w:rPr>
          <w:rFonts w:ascii="Arial" w:cs="Arial" w:eastAsia="Arial" w:hAnsi="Arial"/>
          <w:sz w:val="16"/>
          <w:szCs w:val="16"/>
          <w:color w:val="auto"/>
        </w:rPr>
      </w:pPr>
    </w:p>
    <w:p>
      <w:pPr>
        <w:jc w:val="both"/>
        <w:ind w:firstLine="656"/>
        <w:spacing w:after="0" w:line="275" w:lineRule="auto"/>
        <w:tabs>
          <w:tab w:leader="none" w:pos="116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No Reissuance of Class B Common Stock</w:t>
      </w:r>
      <w:r>
        <w:rPr>
          <w:rFonts w:ascii="Arial" w:cs="Arial" w:eastAsia="Arial" w:hAnsi="Arial"/>
          <w:sz w:val="16"/>
          <w:szCs w:val="16"/>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164" w:lineRule="exact"/>
        <w:rPr>
          <w:rFonts w:ascii="Arial" w:cs="Arial" w:eastAsia="Arial" w:hAnsi="Arial"/>
          <w:sz w:val="16"/>
          <w:szCs w:val="16"/>
          <w:color w:val="auto"/>
        </w:rPr>
      </w:pPr>
    </w:p>
    <w:p>
      <w:pPr>
        <w:jc w:val="both"/>
        <w:ind w:firstLine="656"/>
        <w:spacing w:after="0" w:line="287" w:lineRule="auto"/>
        <w:tabs>
          <w:tab w:leader="none" w:pos="105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Preemptive Rights</w:t>
      </w:r>
      <w:r>
        <w:rPr>
          <w:rFonts w:ascii="Arial" w:cs="Arial" w:eastAsia="Arial" w:hAnsi="Arial"/>
          <w:sz w:val="16"/>
          <w:szCs w:val="16"/>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369" w:lineRule="exact"/>
        <w:rPr>
          <w:rFonts w:ascii="Arial" w:cs="Arial" w:eastAsia="Arial" w:hAnsi="Arial"/>
          <w:sz w:val="16"/>
          <w:szCs w:val="16"/>
          <w:color w:val="auto"/>
        </w:rPr>
      </w:pPr>
    </w:p>
    <w:p>
      <w:pPr>
        <w:jc w:val="both"/>
        <w:ind w:firstLine="656"/>
        <w:spacing w:after="0" w:line="266" w:lineRule="auto"/>
        <w:tabs>
          <w:tab w:leader="none" w:pos="1067"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Class B Protective Provisions</w:t>
      </w:r>
      <w:r>
        <w:rPr>
          <w:rFonts w:ascii="Arial" w:cs="Arial" w:eastAsia="Arial" w:hAnsi="Arial"/>
          <w:sz w:val="16"/>
          <w:szCs w:val="16"/>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these Articles:</w:t>
      </w:r>
    </w:p>
    <w:p>
      <w:pPr>
        <w:spacing w:after="0" w:line="18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6"/>
          <w:szCs w:val="16"/>
          <w:color w:val="auto"/>
        </w:rPr>
        <w:t>12.1 directly or indirectly, whether by amendment, or through merger, recapitalization, consolidation or otherwise, amend or repeal, or adopt any provision of these Articles inconsistent with, or otherwise alter, any provision of these Articles that modifies the voting, conversion or other rights, powers, preferences, privileges or restrictions of the Class B Common Stock;</w:t>
      </w:r>
    </w:p>
    <w:p>
      <w:pPr>
        <w:spacing w:after="0" w:line="16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6"/>
          <w:szCs w:val="16"/>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164"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6"/>
          <w:szCs w:val="16"/>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14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12.4 authorize, or issue any shares of, any class or series of capital stock of the Corporation having the right to more than (1) vote for each share thereof; or</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auto"/>
        </w:rPr>
        <w:t>12.5</w:t>
        <w:tab/>
        <w:t>consummate a Liquidation Event.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219" w:lineRule="exact"/>
        <w:rPr>
          <w:sz w:val="20"/>
          <w:szCs w:val="20"/>
          <w:color w:val="auto"/>
        </w:rPr>
      </w:pPr>
    </w:p>
    <w:p>
      <w:pPr>
        <w:jc w:val="both"/>
        <w:ind w:firstLine="656"/>
        <w:spacing w:after="0" w:line="265" w:lineRule="auto"/>
        <w:tabs>
          <w:tab w:leader="none" w:pos="1058"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Rights of Preferred Stock</w:t>
      </w:r>
      <w:r>
        <w:rPr>
          <w:rFonts w:ascii="Arial" w:cs="Arial" w:eastAsia="Arial" w:hAnsi="Arial"/>
          <w:sz w:val="16"/>
          <w:szCs w:val="16"/>
          <w:color w:val="auto"/>
        </w:rPr>
        <w:t>. The Board is authorized, subject to any limitations prescribed by law, to provide for the issuance of shares of Preferred Stock in series, and by filing a certificate of designation pursuant to NRS 78.1955 (such certificate being hereinafter referred to as a “</w:t>
      </w:r>
      <w:r>
        <w:rPr>
          <w:rFonts w:ascii="Arial" w:cs="Arial" w:eastAsia="Arial" w:hAnsi="Arial"/>
          <w:sz w:val="16"/>
          <w:szCs w:val="16"/>
          <w:b w:val="1"/>
          <w:bCs w:val="1"/>
          <w:i w:val="1"/>
          <w:i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 Designation</w:t>
      </w:r>
      <w:r>
        <w:rPr>
          <w:rFonts w:ascii="Arial" w:cs="Arial" w:eastAsia="Arial" w:hAnsi="Arial"/>
          <w:sz w:val="16"/>
          <w:szCs w:val="16"/>
          <w:color w:val="auto"/>
        </w:rPr>
        <w:t>”), to establish from time to time the number of shares to be included in each such series, and to fix the designation,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preferences, and rights of the shares of each such series and any qualifications, limitations or restrictions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56"/>
        <w:spacing w:after="0" w:line="257" w:lineRule="auto"/>
        <w:tabs>
          <w:tab w:leader="none" w:pos="963"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Vote to Increase or Decrease Authorized Shares</w:t>
      </w:r>
      <w:r>
        <w:rPr>
          <w:rFonts w:ascii="Arial" w:cs="Arial" w:eastAsia="Arial" w:hAnsi="Arial"/>
          <w:sz w:val="16"/>
          <w:szCs w:val="16"/>
          <w:color w:val="auto"/>
        </w:rPr>
        <w:t xml:space="preserve">. The number of authorized shares of Preferred Stock may be increased or decreased (but not below the number of shares thereof then outstanding) by the affirmative vote of the holders of </w:t>
      </w:r>
      <w:r>
        <w:rPr>
          <w:rFonts w:ascii="Arial" w:cs="Arial" w:eastAsia="Arial" w:hAnsi="Arial"/>
          <w:sz w:val="16"/>
          <w:szCs w:val="16"/>
          <w:color w:val="FF0000"/>
          <w:strike w:val="1"/>
        </w:rPr>
        <w:t>a majority of the voting power of all of</w:t>
      </w:r>
      <w:r>
        <w:rPr>
          <w:rFonts w:ascii="Arial" w:cs="Arial" w:eastAsia="Arial" w:hAnsi="Arial"/>
          <w:sz w:val="16"/>
          <w:szCs w:val="16"/>
          <w:color w:val="auto"/>
        </w:rPr>
        <w:t xml:space="preserve"> the outstanding shares of stock of the Corporation entitled to vote thereon, without a vote of the holders of the Preferred Stock, or of any series thereof, unless a vote of any such holders is required pursuant to the terms of any Preferred Stock Designation, irrespective of any applicable provisions of NRS </w:t>
      </w:r>
      <w:r>
        <w:rPr>
          <w:rFonts w:ascii="Arial" w:cs="Arial" w:eastAsia="Arial" w:hAnsi="Arial"/>
          <w:sz w:val="16"/>
          <w:szCs w:val="16"/>
          <w:color w:val="FF0000"/>
          <w:strike w:val="1"/>
        </w:rPr>
        <w:t>78.390(2)</w:t>
      </w:r>
      <w:r>
        <w:rPr>
          <w:rFonts w:ascii="Arial" w:cs="Arial" w:eastAsia="Arial" w:hAnsi="Arial"/>
          <w:sz w:val="16"/>
          <w:szCs w:val="16"/>
          <w:u w:val="single" w:color="auto"/>
          <w:color w:val="0000FF"/>
        </w:rPr>
        <w:t>78.207(3) and NRS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78.390(2) (and, except as set forth in any Preferred Stock Designation, any right to vote thereon as a separate class pursuant to NRS 78.207(3) and NRS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u w:val="single" w:color="auto"/>
          <w:color w:val="0000FF"/>
        </w:rPr>
        <w:t>78.390(2) is hereby specifically denied)</w:t>
      </w:r>
      <w:r>
        <w:rPr>
          <w:rFonts w:ascii="Arial" w:cs="Arial" w:eastAsia="Arial" w:hAnsi="Arial"/>
          <w:sz w:val="16"/>
          <w:szCs w:val="16"/>
          <w:color w:val="000000"/>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VII</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OF DIRECTORS</w:t>
      </w:r>
    </w:p>
    <w:p>
      <w:pPr>
        <w:spacing w:after="0" w:line="205" w:lineRule="exact"/>
        <w:rPr>
          <w:sz w:val="20"/>
          <w:szCs w:val="20"/>
          <w:color w:val="auto"/>
        </w:rPr>
      </w:pPr>
    </w:p>
    <w:p>
      <w:pPr>
        <w:jc w:val="both"/>
        <w:ind w:firstLine="656"/>
        <w:spacing w:after="0" w:line="265" w:lineRule="auto"/>
        <w:tabs>
          <w:tab w:leader="none" w:pos="97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Board Size</w:t>
      </w:r>
      <w:r>
        <w:rPr>
          <w:rFonts w:ascii="Arial" w:cs="Arial" w:eastAsia="Arial" w:hAnsi="Arial"/>
          <w:sz w:val="16"/>
          <w:szCs w:val="16"/>
          <w:color w:val="auto"/>
        </w:rPr>
        <w:t xml:space="preserve">. Subject to the rights of the holders of any series of Preferred Stock to elect additional directors under specified circumstances, the number of directors that constitutes the entire Board shall be fixed by, or in the manner provided in, the </w:t>
      </w:r>
      <w:r>
        <w:rPr>
          <w:rFonts w:ascii="Arial" w:cs="Arial" w:eastAsia="Arial" w:hAnsi="Arial"/>
          <w:sz w:val="16"/>
          <w:szCs w:val="16"/>
          <w:color w:val="FF0000"/>
          <w:strike w:val="1"/>
        </w:rPr>
        <w:t>Bylaws</w:t>
      </w:r>
      <w:r>
        <w:rPr>
          <w:rFonts w:ascii="Arial" w:cs="Arial" w:eastAsia="Arial" w:hAnsi="Arial"/>
          <w:sz w:val="16"/>
          <w:szCs w:val="16"/>
          <w:u w:val="single" w:color="auto"/>
          <w:color w:val="0000FF"/>
        </w:rPr>
        <w:t>bylaws</w:t>
      </w:r>
      <w:r>
        <w:rPr>
          <w:rFonts w:ascii="Arial" w:cs="Arial" w:eastAsia="Arial" w:hAnsi="Arial"/>
          <w:sz w:val="16"/>
          <w:szCs w:val="16"/>
          <w:color w:val="auto"/>
        </w:rPr>
        <w:t xml:space="preserve"> of the Corporation </w:t>
      </w:r>
      <w:r>
        <w:rPr>
          <w:rFonts w:ascii="Arial" w:cs="Arial" w:eastAsia="Arial" w:hAnsi="Arial"/>
          <w:sz w:val="16"/>
          <w:szCs w:val="16"/>
          <w:color w:val="0000FF"/>
        </w:rPr>
        <w:t>(as amended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and/or restated</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from time to time, the “</w:t>
      </w:r>
      <w:r>
        <w:rPr>
          <w:rFonts w:ascii="Arial" w:cs="Arial" w:eastAsia="Arial" w:hAnsi="Arial"/>
          <w:sz w:val="16"/>
          <w:szCs w:val="16"/>
          <w:b w:val="1"/>
          <w:bCs w:val="1"/>
          <w:i w:val="1"/>
          <w:iCs w:val="1"/>
          <w:u w:val="single" w:color="auto"/>
          <w:color w:val="0000FF"/>
        </w:rPr>
        <w:t>Bylaws</w:t>
      </w:r>
      <w:r>
        <w:rPr>
          <w:rFonts w:ascii="Arial" w:cs="Arial" w:eastAsia="Arial" w:hAnsi="Arial"/>
          <w:sz w:val="16"/>
          <w:szCs w:val="16"/>
          <w:u w:val="single" w:color="auto"/>
          <w:color w:val="0000FF"/>
        </w:rPr>
        <w:t>”)</w:t>
      </w:r>
      <w:r>
        <w:rPr>
          <w:rFonts w:ascii="Arial" w:cs="Arial" w:eastAsia="Arial" w:hAnsi="Arial"/>
          <w:sz w:val="16"/>
          <w:szCs w:val="16"/>
          <w:color w:val="000000"/>
        </w:rPr>
        <w:t>. At each annual meeting of stockholders, directors of the Corporation shall be elected to hold office until the</w:t>
      </w:r>
      <w:r>
        <w:rPr>
          <w:rFonts w:ascii="Arial" w:cs="Arial" w:eastAsia="Arial" w:hAnsi="Arial"/>
          <w:sz w:val="16"/>
          <w:szCs w:val="16"/>
          <w:color w:val="0000FF"/>
        </w:rPr>
        <w:t xml:space="preserve"> </w:t>
      </w:r>
      <w:r>
        <w:rPr>
          <w:rFonts w:ascii="Arial" w:cs="Arial" w:eastAsia="Arial" w:hAnsi="Arial"/>
          <w:sz w:val="16"/>
          <w:szCs w:val="16"/>
          <w:color w:val="000000"/>
        </w:rPr>
        <w:t>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NRS.</w:t>
      </w:r>
    </w:p>
    <w:p>
      <w:pPr>
        <w:spacing w:after="0" w:line="172" w:lineRule="exact"/>
        <w:rPr>
          <w:rFonts w:ascii="Arial" w:cs="Arial" w:eastAsia="Arial" w:hAnsi="Arial"/>
          <w:sz w:val="16"/>
          <w:szCs w:val="16"/>
          <w:color w:val="auto"/>
        </w:rPr>
      </w:pPr>
    </w:p>
    <w:p>
      <w:pPr>
        <w:jc w:val="both"/>
        <w:ind w:firstLine="656"/>
        <w:spacing w:after="0" w:line="255" w:lineRule="auto"/>
        <w:tabs>
          <w:tab w:leader="none" w:pos="99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Board Structure</w:t>
      </w:r>
      <w:r>
        <w:rPr>
          <w:rFonts w:ascii="Arial" w:cs="Arial" w:eastAsia="Arial" w:hAnsi="Arial"/>
          <w:sz w:val="16"/>
          <w:szCs w:val="16"/>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Arial" w:cs="Arial" w:eastAsia="Arial" w:hAnsi="Arial"/>
          <w:sz w:val="16"/>
          <w:szCs w:val="16"/>
          <w:b w:val="1"/>
          <w:bCs w:val="1"/>
          <w:i w:val="1"/>
          <w:iCs w:val="1"/>
          <w:color w:val="auto"/>
        </w:rPr>
        <w:t>Classified Board Effective Date</w:t>
      </w:r>
      <w:r>
        <w:rPr>
          <w:rFonts w:ascii="Arial" w:cs="Arial" w:eastAsia="Arial" w:hAnsi="Arial"/>
          <w:sz w:val="16"/>
          <w:szCs w:val="16"/>
          <w:color w:val="auto"/>
        </w:rPr>
        <w:t xml:space="preserve">”), the term of office of the initial Class II directors shall expire at the second annual meeting of the 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 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w:t>
      </w:r>
      <w:r>
        <w:rPr>
          <w:rFonts w:ascii="Arial" w:cs="Arial" w:eastAsia="Arial" w:hAnsi="Arial"/>
          <w:sz w:val="16"/>
          <w:szCs w:val="16"/>
          <w:u w:val="single" w:color="auto"/>
          <w:color w:val="auto"/>
        </w:rPr>
        <w:t>Section VII.2</w:t>
      </w:r>
      <w:r>
        <w:rPr>
          <w:rFonts w:ascii="Arial" w:cs="Arial" w:eastAsia="Arial" w:hAnsi="Arial"/>
          <w:sz w:val="16"/>
          <w:szCs w:val="16"/>
          <w:color w:val="auto"/>
        </w:rPr>
        <w:t xml:space="preserve"> in the event a Classified Board Effective Date occurs) and until his or her successor shall have been duly elected and qualified. Notwithstanding the foregoing provisions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200" w:lineRule="exact"/>
        <w:rPr>
          <w:rFonts w:ascii="Arial" w:cs="Arial" w:eastAsia="Arial" w:hAnsi="Arial"/>
          <w:sz w:val="16"/>
          <w:szCs w:val="16"/>
          <w:color w:val="auto"/>
        </w:rPr>
      </w:pPr>
    </w:p>
    <w:p>
      <w:pPr>
        <w:jc w:val="both"/>
        <w:ind w:firstLine="656"/>
        <w:spacing w:after="0" w:line="260" w:lineRule="auto"/>
        <w:tabs>
          <w:tab w:leader="none" w:pos="99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Removal; Vacancies</w:t>
      </w:r>
      <w:r>
        <w:rPr>
          <w:rFonts w:ascii="Arial" w:cs="Arial" w:eastAsia="Arial" w:hAnsi="Arial"/>
          <w:sz w:val="16"/>
          <w:szCs w:val="16"/>
          <w:color w:val="auto"/>
        </w:rPr>
        <w:t>. Any director may be removed from office by the stockholders of the Corporation as provided in NRS 78.335.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-3383280</wp:posOffset>
            </wp:positionV>
            <wp:extent cx="66357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 OF BUSINESS AND CONDUCT OF AFFAIRS</w:t>
      </w:r>
    </w:p>
    <w:p>
      <w:pPr>
        <w:spacing w:after="0" w:line="205" w:lineRule="exact"/>
        <w:rPr>
          <w:sz w:val="20"/>
          <w:szCs w:val="20"/>
          <w:color w:val="auto"/>
        </w:rPr>
      </w:pPr>
    </w:p>
    <w:p>
      <w:pPr>
        <w:ind w:firstLine="656"/>
        <w:spacing w:after="0" w:line="304" w:lineRule="auto"/>
        <w:tabs>
          <w:tab w:leader="none" w:pos="102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41" w:lineRule="exact"/>
        <w:rPr>
          <w:rFonts w:ascii="Arial" w:cs="Arial" w:eastAsia="Arial" w:hAnsi="Arial"/>
          <w:sz w:val="16"/>
          <w:szCs w:val="16"/>
          <w:color w:val="auto"/>
        </w:rPr>
      </w:pPr>
    </w:p>
    <w:p>
      <w:pPr>
        <w:jc w:val="both"/>
        <w:ind w:right="20" w:firstLine="656"/>
        <w:spacing w:after="0" w:line="275" w:lineRule="auto"/>
        <w:tabs>
          <w:tab w:leader="none" w:pos="99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Board Power</w:t>
      </w:r>
      <w:r>
        <w:rPr>
          <w:rFonts w:ascii="Arial" w:cs="Arial" w:eastAsia="Arial" w:hAnsi="Arial"/>
          <w:sz w:val="16"/>
          <w:szCs w:val="16"/>
          <w:color w:val="auto"/>
        </w:rPr>
        <w:t xml:space="preserve">. The business and affairs of the Corporation shall be managed by or under the direction of the Board. In addition to the powers and authority expressly conferred by statute or by these Articles or the Bylaws </w:t>
      </w:r>
      <w:r>
        <w:rPr>
          <w:rFonts w:ascii="Arial" w:cs="Arial" w:eastAsia="Arial" w:hAnsi="Arial"/>
          <w:sz w:val="16"/>
          <w:szCs w:val="16"/>
          <w:color w:val="FF0000"/>
        </w:rPr>
        <w:t>of the Corporation</w:t>
      </w:r>
      <w:r>
        <w:rPr>
          <w:rFonts w:ascii="Arial" w:cs="Arial" w:eastAsia="Arial" w:hAnsi="Arial"/>
          <w:sz w:val="16"/>
          <w:szCs w:val="16"/>
          <w:color w:val="auto"/>
        </w:rPr>
        <w:t>, the Board is hereby empowered to exercise all such powers and do all such acts and things as may be exercised or done by the Corporation.</w:t>
      </w:r>
    </w:p>
    <w:p>
      <w:pPr>
        <w:spacing w:after="0" w:line="164" w:lineRule="exact"/>
        <w:rPr>
          <w:rFonts w:ascii="Arial" w:cs="Arial" w:eastAsia="Arial" w:hAnsi="Arial"/>
          <w:sz w:val="16"/>
          <w:szCs w:val="16"/>
          <w:color w:val="auto"/>
        </w:rPr>
      </w:pPr>
    </w:p>
    <w:p>
      <w:pPr>
        <w:ind w:left="980" w:hanging="324"/>
        <w:spacing w:after="0"/>
        <w:tabs>
          <w:tab w:leader="none" w:pos="98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Written Ballot</w:t>
      </w:r>
      <w:r>
        <w:rPr>
          <w:rFonts w:ascii="Arial" w:cs="Arial" w:eastAsia="Arial" w:hAnsi="Arial"/>
          <w:sz w:val="16"/>
          <w:szCs w:val="16"/>
          <w:color w:val="auto"/>
        </w:rPr>
        <w:t xml:space="preserve">. Elections of directors need not be by written ballot unless otherwise provided in the Bylaws </w:t>
      </w:r>
      <w:r>
        <w:rPr>
          <w:rFonts w:ascii="Arial" w:cs="Arial" w:eastAsia="Arial" w:hAnsi="Arial"/>
          <w:sz w:val="16"/>
          <w:szCs w:val="16"/>
          <w:color w:val="FF0000"/>
        </w:rPr>
        <w:t>of the Corporation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-424180</wp:posOffset>
            </wp:positionV>
            <wp:extent cx="8864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6460" cy="825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-46990</wp:posOffset>
            </wp:positionV>
            <wp:extent cx="8521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2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656"/>
        <w:spacing w:after="0" w:line="286" w:lineRule="auto"/>
        <w:tabs>
          <w:tab w:leader="none" w:pos="1004"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Amendment of Bylaws</w:t>
      </w:r>
      <w:r>
        <w:rPr>
          <w:rFonts w:ascii="Arial" w:cs="Arial" w:eastAsia="Arial" w:hAnsi="Arial"/>
          <w:sz w:val="16"/>
          <w:szCs w:val="16"/>
          <w:color w:val="auto"/>
        </w:rPr>
        <w:t xml:space="preserve">. In furtherance and not in limitation of the powers conferred by the NRS, the Board is expressly authorized to adopt, amend or repeal the Bylaws </w:t>
      </w:r>
      <w:r>
        <w:rPr>
          <w:rFonts w:ascii="Arial" w:cs="Arial" w:eastAsia="Arial" w:hAnsi="Arial"/>
          <w:sz w:val="16"/>
          <w:szCs w:val="16"/>
          <w:color w:val="FF0000"/>
        </w:rPr>
        <w:t>of the Corporation</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656"/>
        <w:spacing w:after="0" w:line="265" w:lineRule="auto"/>
        <w:tabs>
          <w:tab w:leader="none" w:pos="99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w:t>
      </w:r>
      <w:r>
        <w:rPr>
          <w:rFonts w:ascii="Arial" w:cs="Arial" w:eastAsia="Arial" w:hAnsi="Arial"/>
          <w:sz w:val="16"/>
          <w:szCs w:val="16"/>
          <w:color w:val="FF0000"/>
        </w:rPr>
        <w:t>of the Corporation</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firstLine="656"/>
        <w:spacing w:after="0" w:line="265" w:lineRule="auto"/>
        <w:tabs>
          <w:tab w:leader="none" w:pos="1004"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Availability of Stockholder Action by Written Consent</w:t>
      </w:r>
      <w:r>
        <w:rPr>
          <w:rFonts w:ascii="Arial" w:cs="Arial" w:eastAsia="Arial" w:hAnsi="Arial"/>
          <w:sz w:val="16"/>
          <w:szCs w:val="16"/>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172" w:lineRule="exact"/>
        <w:rPr>
          <w:rFonts w:ascii="Arial" w:cs="Arial" w:eastAsia="Arial" w:hAnsi="Arial"/>
          <w:sz w:val="16"/>
          <w:szCs w:val="16"/>
          <w:color w:val="auto"/>
        </w:rPr>
      </w:pPr>
    </w:p>
    <w:p>
      <w:pPr>
        <w:ind w:left="980" w:hanging="324"/>
        <w:spacing w:after="0"/>
        <w:tabs>
          <w:tab w:leader="none" w:pos="98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 Cumulative Voting</w:t>
      </w:r>
      <w:r>
        <w:rPr>
          <w:rFonts w:ascii="Arial" w:cs="Arial" w:eastAsia="Arial" w:hAnsi="Arial"/>
          <w:sz w:val="16"/>
          <w:szCs w:val="16"/>
          <w:color w:val="auto"/>
        </w:rPr>
        <w:t>. No stockholder will be permitted to cumulate votes at any election of directors.</w:t>
      </w:r>
    </w:p>
    <w:p>
      <w:pPr>
        <w:spacing w:after="0" w:line="234" w:lineRule="exact"/>
        <w:rPr>
          <w:rFonts w:ascii="Arial" w:cs="Arial" w:eastAsia="Arial" w:hAnsi="Arial"/>
          <w:sz w:val="16"/>
          <w:szCs w:val="16"/>
          <w:color w:val="auto"/>
        </w:rPr>
      </w:pPr>
    </w:p>
    <w:p>
      <w:pPr>
        <w:jc w:val="both"/>
        <w:ind w:firstLine="656"/>
        <w:spacing w:after="0" w:line="266" w:lineRule="auto"/>
        <w:tabs>
          <w:tab w:leader="none" w:pos="963"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 Reliance on the Controlled Company Exemption</w:t>
      </w:r>
      <w:r>
        <w:rPr>
          <w:rFonts w:ascii="Arial" w:cs="Arial" w:eastAsia="Arial" w:hAnsi="Arial"/>
          <w:sz w:val="16"/>
          <w:szCs w:val="16"/>
          <w:color w:val="auto"/>
        </w:rPr>
        <w:t>. At any time during which shares of capital stock of the Corporation are listed for trading on the New York Stock Exchange, NASDAQ Global Select Market or NASDAQ Global Market or any successor markets or exchanges, the Corporation shall not rely upon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-2230755</wp:posOffset>
            </wp:positionV>
            <wp:extent cx="8521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217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-1596390</wp:posOffset>
            </wp:positionV>
            <wp:extent cx="8521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LIMITATION OF LIABILITY</w:t>
      </w:r>
    </w:p>
    <w:p>
      <w:pPr>
        <w:spacing w:after="0" w:line="21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The liability of directors and officers of the Corporation is hereby eliminated or limited to the fullest extent permitted by the NRS. Without limiting the effect of the preceding sentence,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Neither any amendment nor repeal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nor the adoption of any provision of these Articles inconsistent with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eliminate, reduce or otherwise adversely affect any limitation on the personal liability of a director </w:t>
      </w:r>
      <w:r>
        <w:rPr>
          <w:rFonts w:ascii="Arial" w:cs="Arial" w:eastAsia="Arial" w:hAnsi="Arial"/>
          <w:sz w:val="16"/>
          <w:szCs w:val="16"/>
          <w:u w:val="single" w:color="auto"/>
          <w:color w:val="0000FF"/>
        </w:rPr>
        <w:t>or officer</w:t>
      </w:r>
      <w:r>
        <w:rPr>
          <w:rFonts w:ascii="Arial" w:cs="Arial" w:eastAsia="Arial" w:hAnsi="Arial"/>
          <w:sz w:val="16"/>
          <w:szCs w:val="16"/>
          <w:color w:val="auto"/>
        </w:rPr>
        <w:t xml:space="preserve"> of the Corporation existing at the time of such amendment, repeal or adoption of such an inconsistent provision.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SEVERABILITY AND AMENDMENT</w:t>
      </w:r>
    </w:p>
    <w:p>
      <w:pPr>
        <w:spacing w:after="0" w:line="219" w:lineRule="exact"/>
        <w:rPr>
          <w:sz w:val="20"/>
          <w:szCs w:val="20"/>
          <w:color w:val="auto"/>
        </w:rPr>
      </w:pPr>
    </w:p>
    <w:p>
      <w:pPr>
        <w:jc w:val="both"/>
        <w:ind w:firstLine="656"/>
        <w:spacing w:after="0" w:line="260" w:lineRule="auto"/>
        <w:tabs>
          <w:tab w:leader="none" w:pos="97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any provision of these Articles becomes or is declared on any ground by a court of competent jurisdiction to be illegal, unenforceable or void, portions of such provision, or such provision in its entirety, to the extent necessary, shall be severed from these Articles, and the court will replace such illegal, void or unenforceable provision of these Articles with a valid and enforceable provision that most accurately reflects the Corporation’s intent, in order to achieve, to the maximum extent possible, the same economic, business and other purposes of the illegal, void or unenforceable provision. The balance of these Articles shall be enforceable in accordance with its terms.</w:t>
      </w:r>
    </w:p>
    <w:p>
      <w:pPr>
        <w:spacing w:after="0" w:line="191" w:lineRule="exact"/>
        <w:rPr>
          <w:rFonts w:ascii="Arial" w:cs="Arial" w:eastAsia="Arial" w:hAnsi="Arial"/>
          <w:sz w:val="16"/>
          <w:szCs w:val="16"/>
          <w:color w:val="auto"/>
        </w:rPr>
      </w:pPr>
    </w:p>
    <w:p>
      <w:pPr>
        <w:jc w:val="both"/>
        <w:ind w:firstLine="656"/>
        <w:spacing w:after="0" w:line="255" w:lineRule="auto"/>
        <w:tabs>
          <w:tab w:leader="none" w:pos="99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above, the Corporation reserves the right to amend, alter, change or repeal any provision contained in these Articles, in the manner now or hereafter prescribed by statute, and all rights conferred upon stockholders herein are granted subject to this reservation; provided, however, that, notwithstanding any other provision of these Articles or any provision of law that might otherwise permit a lesser vote, but in addition to any vote of the holders of any class or series of the stock of this Corporation required by law or by these Articles,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these Articles or adopt any new provision of these Articles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these Articles inconsistent with,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this clause (i)(b)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these Articles (except in either case by virtue of a filing of a Preferred Stock Designation, but subject to any vote required by law or by other provisions of these Articles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these Articles inconsistent with,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0000FF"/>
        </w:rPr>
        <w:t>ARTICLE XI</w:t>
      </w:r>
    </w:p>
    <w:p>
      <w:pPr>
        <w:jc w:val="center"/>
        <w:spacing w:after="0"/>
        <w:rPr>
          <w:sz w:val="20"/>
          <w:szCs w:val="20"/>
          <w:color w:val="auto"/>
        </w:rPr>
      </w:pPr>
      <w:r>
        <w:rPr>
          <w:rFonts w:ascii="Arial" w:cs="Arial" w:eastAsia="Arial" w:hAnsi="Arial"/>
          <w:sz w:val="16"/>
          <w:szCs w:val="16"/>
          <w:b w:val="1"/>
          <w:bCs w:val="1"/>
          <w:u w:val="single" w:color="auto"/>
          <w:color w:val="0000FF"/>
        </w:rPr>
        <w:t>LIMITED WAIVER OF JURY TRIAL</w:t>
      </w:r>
    </w:p>
    <w:p>
      <w:pPr>
        <w:spacing w:after="0" w:line="19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u w:val="single" w:color="auto"/>
          <w:color w:val="0000FF"/>
        </w:rPr>
        <w:t>To the fullest extent not inconsistent with any applicable U.S. federal laws, any and all “internal actions” (as defined in NRS 78.046) must be tried in a court of competent jurisdiction before the presiding judge as the trier of fact and not before a jury. This Article XI shall conclusively operate as a waiver of the right to trial by jury by each party to any such internal action.</w:t>
      </w:r>
    </w:p>
    <w:p>
      <w:pPr>
        <w:spacing w:after="0" w:line="164" w:lineRule="exact"/>
        <w:rPr>
          <w:sz w:val="20"/>
          <w:szCs w:val="20"/>
          <w:color w:val="auto"/>
        </w:rPr>
      </w:pPr>
    </w:p>
    <w:p>
      <w:pPr>
        <w:jc w:val="center"/>
        <w:spacing w:after="0"/>
        <w:tabs>
          <w:tab w:leader="none" w:pos="160" w:val="left"/>
          <w:tab w:leader="none" w:pos="160" w:val="left"/>
          <w:tab w:leader="none" w:pos="160" w:val="left"/>
        </w:tabs>
        <w:rPr>
          <w:sz w:val="20"/>
          <w:szCs w:val="20"/>
          <w:color w:val="auto"/>
        </w:rPr>
      </w:pPr>
      <w:r>
        <w:rPr>
          <w:rFonts w:ascii="Arial" w:cs="Arial" w:eastAsia="Arial" w:hAnsi="Arial"/>
          <w:sz w:val="16"/>
          <w:szCs w:val="16"/>
          <w:color w:val="auto"/>
        </w:rPr>
        <w:t>*</w:t>
        <w:tab/>
        <w:t>*</w:t>
        <w:tab/>
        <w:t>*</w:t>
      </w:r>
      <w:r>
        <w:rPr>
          <w:sz w:val="20"/>
          <w:szCs w:val="20"/>
          <w:color w:val="auto"/>
        </w:rPr>
        <w:tab/>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8854440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757555</wp:posOffset>
            </wp:positionV>
            <wp:extent cx="5657850" cy="73120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1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126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12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x"/>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x"/>
      <w:numFmt w:val="bullet"/>
      <w:start w:val="1"/>
    </w:lvl>
  </w:abstractNum>
  <w:abstractNum w:abstractNumId="3">
    <w:nsid w:val="77AE35EB"/>
    <w:multiLevelType w:val="hybridMultilevel"/>
    <w:lvl w:ilvl="0">
      <w:lvlJc w:val="left"/>
      <w:lvlText w:val="o"/>
      <w:numFmt w:val="bullet"/>
      <w:start w:val="1"/>
    </w:lvl>
  </w:abstractNum>
  <w:abstractNum w:abstractNumId="4">
    <w:nsid w:val="579BE4F1"/>
    <w:multiLevelType w:val="hybridMultilevel"/>
    <w:lvl w:ilvl="0">
      <w:lvlJc w:val="left"/>
      <w:lvlText w:val="%1."/>
      <w:numFmt w:val="decimal"/>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2"/>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4"/>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6"/>
      <w:numFmt w:val="bullet"/>
      <w:start w:val="1"/>
    </w:lvl>
  </w:abstractNum>
  <w:abstractNum w:abstractNumId="15">
    <w:nsid w:val="6590700B"/>
    <w:multiLevelType w:val="hybridMultilevel"/>
    <w:lvl w:ilvl="0">
      <w:lvlJc w:val="left"/>
      <w:lvlText w:val="8"/>
      <w:numFmt w:val="bullet"/>
      <w:start w:val="1"/>
    </w:lvl>
  </w:abstractNum>
  <w:abstractNum w:abstractNumId="16">
    <w:nsid w:val="15014ACB"/>
    <w:multiLevelType w:val="hybridMultilevel"/>
    <w:lvl w:ilvl="0">
      <w:lvlJc w:val="left"/>
      <w:lvlText w:val="%1"/>
      <w:numFmt w:val="decimal"/>
      <w:start w:val="10"/>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1"/>
      <w:numFmt w:val="decimal"/>
      <w:start w:val="12"/>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1"/>
      <w:numFmt w:val="decimal"/>
      <w:start w:val="14"/>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1"/>
      <w:numFmt w:val="decimal"/>
      <w:start w:val="16"/>
    </w:lvl>
  </w:abstractNum>
  <w:abstractNum w:abstractNumId="24">
    <w:nsid w:val="661E3F1E"/>
    <w:multiLevelType w:val="hybridMultilevel"/>
    <w:lvl w:ilvl="0">
      <w:lvlJc w:val="left"/>
      <w:lvlText w:val="%1"/>
      <w:numFmt w:val="decimal"/>
      <w:start w:val="18"/>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lvl w:ilvl="1">
      <w:lvlJc w:val="left"/>
      <w:lvlText w:val="•"/>
      <w:numFmt w:val="bullet"/>
      <w:start w:val="1"/>
    </w:lvl>
  </w:abstractNum>
  <w:abstractNum w:abstractNumId="27">
    <w:nsid w:val="7BD3EE7B"/>
    <w:multiLevelType w:val="hybridMultilevel"/>
    <w:lvl w:ilvl="0">
      <w:lvlJc w:val="left"/>
      <w:lvlText w:val="•"/>
      <w:numFmt w:val="bullet"/>
      <w:start w:val="1"/>
    </w:lvl>
    <w:lvl w:ilvl="1">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1"/>
      <w:numFmt w:val="decimal"/>
      <w:start w:val="20"/>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1"/>
      <w:numFmt w:val="decimal"/>
      <w:start w:val="22"/>
    </w:lvl>
  </w:abstractNum>
  <w:abstractNum w:abstractNumId="34">
    <w:nsid w:val="8F2B15E"/>
    <w:multiLevelType w:val="hybridMultilevel"/>
    <w:lvl w:ilvl="0">
      <w:lvlJc w:val="left"/>
      <w:lvlText w:val="(%1)"/>
      <w:numFmt w:val="decimal"/>
      <w:start w:val="1"/>
    </w:lvl>
  </w:abstractNum>
  <w:abstractNum w:abstractNumId="35">
    <w:nsid w:val="1A32234B"/>
    <w:multiLevelType w:val="hybridMultilevel"/>
    <w:lvl w:ilvl="0">
      <w:lvlJc w:val="left"/>
      <w:lvlText w:val="(%1)"/>
      <w:numFmt w:val="decimal"/>
      <w:start w:val="2"/>
    </w:lvl>
  </w:abstractNum>
  <w:abstractNum w:abstractNumId="36">
    <w:nsid w:val="3B0FD379"/>
    <w:multiLevelType w:val="hybridMultilevel"/>
    <w:lvl w:ilvl="0">
      <w:lvlJc w:val="left"/>
      <w:lvlText w:val="(%1)"/>
      <w:numFmt w:val="decimal"/>
      <w:start w:val="1"/>
    </w:lvl>
  </w:abstractNum>
  <w:abstractNum w:abstractNumId="37">
    <w:nsid w:val="68EB2F63"/>
    <w:multiLevelType w:val="hybridMultilevel"/>
    <w:lvl w:ilvl="0">
      <w:lvlJc w:val="left"/>
      <w:lvlText w:val="%1"/>
      <w:numFmt w:val="decimal"/>
      <w:start w:val="24"/>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decimal"/>
      <w:start w:val="26"/>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1"/>
      <w:numFmt w:val="decimal"/>
      <w:start w:val="28"/>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1"/>
      <w:numFmt w:val="decimal"/>
      <w:start w:val="30"/>
    </w:lvl>
  </w:abstractNum>
  <w:abstractNum w:abstractNumId="44">
    <w:nsid w:val="71EA1109"/>
    <w:multiLevelType w:val="hybridMultilevel"/>
    <w:lvl w:ilvl="0">
      <w:lvlJc w:val="left"/>
      <w:lvlText w:val="%1"/>
      <w:numFmt w:val="decimal"/>
      <w:start w:val="32"/>
    </w:lvl>
  </w:abstractNum>
  <w:abstractNum w:abstractNumId="45">
    <w:nsid w:val="100F59DC"/>
    <w:multiLevelType w:val="hybridMultilevel"/>
    <w:lvl w:ilvl="0">
      <w:lvlJc w:val="left"/>
      <w:lvlText w:val="(%1)"/>
      <w:numFmt w:val="decimal"/>
      <w:start w:val="1"/>
    </w:lvl>
  </w:abstractNum>
  <w:abstractNum w:abstractNumId="46">
    <w:nsid w:val="7FB7E0AA"/>
    <w:multiLevelType w:val="hybridMultilevel"/>
    <w:lvl w:ilvl="0">
      <w:lvlJc w:val="left"/>
      <w:lvlText w:val="%1"/>
      <w:numFmt w:val="decimal"/>
      <w:start w:val="34"/>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1"/>
      <w:numFmt w:val="decimal"/>
      <w:start w:val="36"/>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1"/>
      <w:numFmt w:val="decimal"/>
      <w:start w:val="38"/>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1"/>
      <w:numFmt w:val="decimal"/>
      <w:start w:val="40"/>
    </w:lvl>
  </w:abstractNum>
  <w:abstractNum w:abstractNumId="58">
    <w:nsid w:val="2DF6D648"/>
    <w:multiLevelType w:val="hybridMultilevel"/>
    <w:lvl w:ilvl="0">
      <w:lvlJc w:val="left"/>
      <w:lvlText w:val="(%1)"/>
      <w:numFmt w:val="decimal"/>
      <w:start w:val="1"/>
    </w:lvl>
  </w:abstractNum>
  <w:abstractNum w:abstractNumId="59">
    <w:nsid w:val="46B7D447"/>
    <w:multiLevelType w:val="hybridMultilevel"/>
    <w:lvl w:ilvl="0">
      <w:lvlJc w:val="left"/>
      <w:lvlText w:val="%1"/>
      <w:numFmt w:val="decimal"/>
      <w:start w:val="42"/>
    </w:lvl>
  </w:abstractNum>
  <w:abstractNum w:abstractNumId="60">
    <w:nsid w:val="4A2AC315"/>
    <w:multiLevelType w:val="hybridMultilevel"/>
    <w:lvl w:ilvl="0">
      <w:lvlJc w:val="left"/>
      <w:lvlText w:val="(%1)"/>
      <w:numFmt w:val="decimal"/>
      <w:start w:val="1"/>
    </w:lvl>
  </w:abstractNum>
  <w:abstractNum w:abstractNumId="61">
    <w:nsid w:val="39EE015C"/>
    <w:multiLevelType w:val="hybridMultilevel"/>
    <w:lvl w:ilvl="0">
      <w:lvlJc w:val="left"/>
      <w:lvlText w:val="%1"/>
      <w:numFmt w:val="decimal"/>
      <w:start w:val="44"/>
    </w:lvl>
  </w:abstractNum>
  <w:abstractNum w:abstractNumId="62">
    <w:nsid w:val="57FC4FBB"/>
    <w:multiLevelType w:val="hybridMultilevel"/>
    <w:lvl w:ilvl="0">
      <w:lvlJc w:val="left"/>
      <w:lvlText w:val="(%1)"/>
      <w:numFmt w:val="decimal"/>
      <w:start w:val="1"/>
    </w:lvl>
  </w:abstractNum>
  <w:abstractNum w:abstractNumId="63">
    <w:nsid w:val="CC1016F"/>
    <w:multiLevelType w:val="hybridMultilevel"/>
    <w:lvl w:ilvl="0">
      <w:lvlJc w:val="left"/>
      <w:lvlText w:val="(%1)"/>
      <w:numFmt w:val="decimal"/>
      <w:start w:val="1"/>
    </w:lvl>
  </w:abstractNum>
  <w:abstractNum w:abstractNumId="64">
    <w:nsid w:val="43F18422"/>
    <w:multiLevelType w:val="hybridMultilevel"/>
    <w:lvl w:ilvl="0">
      <w:lvlJc w:val="left"/>
      <w:lvlText w:val="(%1)"/>
      <w:numFmt w:val="decimal"/>
      <w:start w:val="1"/>
    </w:lvl>
  </w:abstractNum>
  <w:abstractNum w:abstractNumId="65">
    <w:nsid w:val="60EF0119"/>
    <w:multiLevelType w:val="hybridMultilevel"/>
    <w:lvl w:ilvl="0">
      <w:lvlJc w:val="left"/>
      <w:lvlText w:val="%1"/>
      <w:numFmt w:val="decimal"/>
      <w:start w:val="46"/>
    </w:lvl>
  </w:abstractNum>
  <w:abstractNum w:abstractNumId="66">
    <w:nsid w:val="26F324BA"/>
    <w:multiLevelType w:val="hybridMultilevel"/>
    <w:lvl w:ilvl="0">
      <w:lvlJc w:val="left"/>
      <w:lvlText w:val="%1"/>
      <w:numFmt w:val="decimal"/>
      <w:start w:val="48"/>
    </w:lvl>
  </w:abstractNum>
  <w:abstractNum w:abstractNumId="67">
    <w:nsid w:val="7F01579B"/>
    <w:multiLevelType w:val="hybridMultilevel"/>
    <w:lvl w:ilvl="0">
      <w:lvlJc w:val="left"/>
      <w:lvlText w:val="%1"/>
      <w:numFmt w:val="decimal"/>
      <w:start w:val="50"/>
    </w:lvl>
  </w:abstractNum>
  <w:abstractNum w:abstractNumId="68">
    <w:nsid w:val="49DA307D"/>
    <w:multiLevelType w:val="hybridMultilevel"/>
    <w:lvl w:ilvl="0">
      <w:lvlJc w:val="left"/>
      <w:lvlText w:val="%1"/>
      <w:numFmt w:val="decimal"/>
      <w:start w:val="52"/>
    </w:lvl>
  </w:abstractNum>
  <w:abstractNum w:abstractNumId="69">
    <w:nsid w:val="7055A5F5"/>
    <w:multiLevelType w:val="hybridMultilevel"/>
    <w:lvl w:ilvl="0">
      <w:lvlJc w:val="left"/>
      <w:lvlText w:val="(%1)"/>
      <w:numFmt w:val="decimal"/>
      <w:start w:val="1"/>
    </w:lvl>
  </w:abstractNum>
  <w:abstractNum w:abstractNumId="70">
    <w:nsid w:val="5FB8370B"/>
    <w:multiLevelType w:val="hybridMultilevel"/>
    <w:lvl w:ilvl="0">
      <w:lvlJc w:val="left"/>
      <w:lvlText w:val="(%1)"/>
      <w:numFmt w:val="decimal"/>
      <w:start w:val="1"/>
    </w:lvl>
  </w:abstractNum>
  <w:abstractNum w:abstractNumId="71">
    <w:nsid w:val="50801EE1"/>
    <w:multiLevelType w:val="hybridMultilevel"/>
    <w:lvl w:ilvl="0">
      <w:lvlJc w:val="left"/>
      <w:lvlText w:val="%1"/>
      <w:numFmt w:val="decimal"/>
      <w:start w:val="54"/>
    </w:lvl>
  </w:abstractNum>
  <w:abstractNum w:abstractNumId="72">
    <w:nsid w:val="488AC1A"/>
    <w:multiLevelType w:val="hybridMultilevel"/>
    <w:lvl w:ilvl="0">
      <w:lvlJc w:val="left"/>
      <w:lvlText w:val="(%1)"/>
      <w:numFmt w:val="decimal"/>
      <w:start w:val="1"/>
    </w:lvl>
  </w:abstractNum>
  <w:abstractNum w:abstractNumId="73">
    <w:nsid w:val="5FB8011C"/>
    <w:multiLevelType w:val="hybridMultilevel"/>
    <w:lvl w:ilvl="0">
      <w:lvlJc w:val="left"/>
      <w:lvlText w:val="(%1)"/>
      <w:numFmt w:val="decimal"/>
      <w:start w:val="1"/>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1"/>
      <w:numFmt w:val="decimal"/>
      <w:start w:val="56"/>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1)"/>
      <w:numFmt w:val="decimal"/>
      <w:start w:val="1"/>
    </w:lvl>
  </w:abstractNum>
  <w:abstractNum w:abstractNumId="79">
    <w:nsid w:val="5F3534A4"/>
    <w:multiLevelType w:val="hybridMultilevel"/>
    <w:lvl w:ilvl="0">
      <w:lvlJc w:val="left"/>
      <w:lvlText w:val="(%1)"/>
      <w:numFmt w:val="decimal"/>
      <w:start w:val="1"/>
    </w:lvl>
  </w:abstractNum>
  <w:abstractNum w:abstractNumId="80">
    <w:nsid w:val="73A1821B"/>
    <w:multiLevelType w:val="hybridMultilevel"/>
    <w:lvl w:ilvl="0">
      <w:lvlJc w:val="left"/>
      <w:lvlText w:val="%1"/>
      <w:numFmt w:val="decimal"/>
      <w:start w:val="58"/>
    </w:lvl>
  </w:abstractNum>
  <w:abstractNum w:abstractNumId="81">
    <w:nsid w:val="7DE67713"/>
    <w:multiLevelType w:val="hybridMultilevel"/>
    <w:lvl w:ilvl="0">
      <w:lvlJc w:val="left"/>
      <w:lvlText w:val="(%1)"/>
      <w:numFmt w:val="decimal"/>
      <w:start w:val="1"/>
    </w:lvl>
  </w:abstractNum>
  <w:abstractNum w:abstractNumId="82">
    <w:nsid w:val="555C55B5"/>
    <w:multiLevelType w:val="hybridMultilevel"/>
    <w:lvl w:ilvl="0">
      <w:lvlJc w:val="left"/>
      <w:lvlText w:val="(%1)"/>
      <w:numFmt w:val="lowerLetter"/>
      <w:start w:val="1"/>
    </w:lvl>
  </w:abstractNum>
  <w:abstractNum w:abstractNumId="83">
    <w:nsid w:val="3FA62ACA"/>
    <w:multiLevelType w:val="hybridMultilevel"/>
    <w:lvl w:ilvl="0">
      <w:lvlJc w:val="left"/>
      <w:lvlText w:val="%1"/>
      <w:numFmt w:val="decimal"/>
      <w:start w:val="60"/>
    </w:lvl>
  </w:abstractNum>
  <w:abstractNum w:abstractNumId="84">
    <w:nsid w:val="14FCE74E"/>
    <w:multiLevelType w:val="hybridMultilevel"/>
    <w:lvl w:ilvl="0">
      <w:lvlJc w:val="left"/>
      <w:lvlText w:val="(%1)"/>
      <w:numFmt w:val="decimal"/>
      <w:start w:val="3"/>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decimal"/>
      <w:start w:val="5"/>
    </w:lvl>
  </w:abstractNum>
  <w:abstractNum w:abstractNumId="88">
    <w:nsid w:val="53299938"/>
    <w:multiLevelType w:val="hybridMultilevel"/>
    <w:lvl w:ilvl="0">
      <w:lvlJc w:val="left"/>
      <w:lvlText w:val="•"/>
      <w:numFmt w:val="bullet"/>
      <w:start w:val="1"/>
    </w:lvl>
  </w:abstractNum>
  <w:abstractNum w:abstractNumId="89">
    <w:nsid w:val="1FBFE8E0"/>
    <w:multiLevelType w:val="hybridMultilevel"/>
    <w:lvl w:ilvl="0">
      <w:lvlJc w:val="left"/>
      <w:lvlText w:val="%1"/>
      <w:numFmt w:val="decimal"/>
      <w:start w:val="62"/>
    </w:lvl>
  </w:abstractNum>
  <w:abstractNum w:abstractNumId="90">
    <w:nsid w:val="5092CA79"/>
    <w:multiLevelType w:val="hybridMultilevel"/>
    <w:lvl w:ilvl="0">
      <w:lvlJc w:val="left"/>
      <w:lvlText w:val="%1"/>
      <w:numFmt w:val="decimal"/>
      <w:start w:val="64"/>
    </w:lvl>
  </w:abstractNum>
  <w:abstractNum w:abstractNumId="91">
    <w:nsid w:val="1D545C4D"/>
    <w:multiLevelType w:val="hybridMultilevel"/>
    <w:lvl w:ilvl="0">
      <w:lvlJc w:val="left"/>
      <w:lvlText w:val="(%1)"/>
      <w:numFmt w:val="decimal"/>
      <w:start w:val="1"/>
    </w:lvl>
  </w:abstractNum>
  <w:abstractNum w:abstractNumId="92">
    <w:nsid w:val="59ADEA3D"/>
    <w:multiLevelType w:val="hybridMultilevel"/>
    <w:lvl w:ilvl="0">
      <w:lvlJc w:val="left"/>
      <w:lvlText w:val="•"/>
      <w:numFmt w:val="bullet"/>
      <w:start w:val="1"/>
    </w:lvl>
  </w:abstractNum>
  <w:abstractNum w:abstractNumId="93">
    <w:nsid w:val="288F1A34"/>
    <w:multiLevelType w:val="hybridMultilevel"/>
    <w:lvl w:ilvl="0">
      <w:lvlJc w:val="left"/>
      <w:lvlText w:val="%1"/>
      <w:numFmt w:val="decimal"/>
      <w:start w:val="66"/>
    </w:lvl>
  </w:abstractNum>
  <w:abstractNum w:abstractNumId="94">
    <w:nsid w:val="2A155DBC"/>
    <w:multiLevelType w:val="hybridMultilevel"/>
    <w:lvl w:ilvl="0">
      <w:lvlJc w:val="left"/>
      <w:lvlText w:val="†"/>
      <w:numFmt w:val="bullet"/>
      <w:start w:val="1"/>
    </w:lvl>
  </w:abstractNum>
  <w:abstractNum w:abstractNumId="95">
    <w:nsid w:val="1D9F6E5F"/>
    <w:multiLevelType w:val="hybridMultilevel"/>
    <w:lvl w:ilvl="0">
      <w:lvlJc w:val="left"/>
      <w:lvlText w:val="#"/>
      <w:numFmt w:val="bullet"/>
      <w:start w:val="1"/>
    </w:lvl>
  </w:abstractNum>
  <w:abstractNum w:abstractNumId="96">
    <w:nsid w:val="97E1B4E"/>
    <w:multiLevelType w:val="hybridMultilevel"/>
    <w:lvl w:ilvl="0">
      <w:lvlJc w:val="left"/>
      <w:lvlText w:val="*"/>
      <w:numFmt w:val="bullet"/>
      <w:start w:val="1"/>
    </w:lvl>
  </w:abstractNum>
  <w:abstractNum w:abstractNumId="97">
    <w:nsid w:val="51088277"/>
    <w:multiLevelType w:val="hybridMultilevel"/>
    <w:lvl w:ilvl="0">
      <w:lvlJc w:val="left"/>
      <w:lvlText w:val="(%1)"/>
      <w:numFmt w:val="decimal"/>
      <w:start w:val="1"/>
    </w:lvl>
  </w:abstractNum>
  <w:abstractNum w:abstractNumId="98">
    <w:nsid w:val="1CA0C5FA"/>
    <w:multiLevelType w:val="hybridMultilevel"/>
    <w:lvl w:ilvl="0">
      <w:lvlJc w:val="left"/>
      <w:lvlText w:val="(%1)"/>
      <w:numFmt w:val="decimal"/>
      <w:start w:val="4"/>
    </w:lvl>
  </w:abstractNum>
  <w:abstractNum w:abstractNumId="99">
    <w:nsid w:val="53584BCB"/>
    <w:multiLevelType w:val="hybridMultilevel"/>
    <w:lvl w:ilvl="0">
      <w:lvlJc w:val="left"/>
      <w:lvlText w:val="%1"/>
      <w:numFmt w:val="decimal"/>
      <w:start w:val="68"/>
    </w:lvl>
  </w:abstractNum>
  <w:abstractNum w:abstractNumId="100">
    <w:nsid w:val="415E286C"/>
    <w:multiLevelType w:val="hybridMultilevel"/>
    <w:lvl w:ilvl="0">
      <w:lvlJc w:val="left"/>
      <w:lvlText w:val="%1"/>
      <w:numFmt w:val="decimal"/>
      <w:start w:val="70"/>
    </w:lvl>
  </w:abstractNum>
  <w:abstractNum w:abstractNumId="101">
    <w:nsid w:val="7C58FD05"/>
    <w:multiLevelType w:val="hybridMultilevel"/>
    <w:lvl w:ilvl="0">
      <w:lvlJc w:val="left"/>
      <w:lvlText w:val="%1."/>
      <w:numFmt w:val="decimal"/>
      <w:start w:val="1"/>
    </w:lvl>
  </w:abstractNum>
  <w:abstractNum w:abstractNumId="102">
    <w:nsid w:val="23D86AAC"/>
    <w:multiLevelType w:val="hybridMultilevel"/>
    <w:lvl w:ilvl="0">
      <w:lvlJc w:val="left"/>
      <w:lvlText w:val="(%1)"/>
      <w:numFmt w:val="lowerLetter"/>
      <w:start w:val="1"/>
    </w:lvl>
  </w:abstractNum>
  <w:abstractNum w:abstractNumId="103">
    <w:nsid w:val="45E6D486"/>
    <w:multiLevelType w:val="hybridMultilevel"/>
    <w:lvl w:ilvl="0">
      <w:lvlJc w:val="left"/>
      <w:lvlText w:val="(%1)"/>
      <w:numFmt w:val="lowerLetter"/>
      <w:start w:val="2"/>
    </w:lvl>
  </w:abstractNum>
  <w:abstractNum w:abstractNumId="104">
    <w:nsid w:val="5C10FE21"/>
    <w:multiLevelType w:val="hybridMultilevel"/>
    <w:lvl w:ilvl="0">
      <w:lvlJc w:val="left"/>
      <w:lvlText w:val="(%1)"/>
      <w:numFmt w:val="lowerLetter"/>
      <w:start w:val="1"/>
    </w:lvl>
    <w:lvl w:ilvl="1">
      <w:lvlJc w:val="left"/>
      <w:lvlText w:val="(%2)"/>
      <w:numFmt w:val="lowerRoman"/>
      <w:start w:val="1"/>
    </w:lvl>
  </w:abstractNum>
  <w:abstractNum w:abstractNumId="105">
    <w:nsid w:val="E7FFA2B"/>
    <w:multiLevelType w:val="hybridMultilevel"/>
    <w:lvl w:ilvl="0">
      <w:lvlJc w:val="left"/>
      <w:lvlText w:val="(%1)"/>
      <w:numFmt w:val="lowerRoman"/>
      <w:start w:val="6"/>
    </w:lvl>
  </w:abstractNum>
  <w:abstractNum w:abstractNumId="106">
    <w:nsid w:val="3C5991AA"/>
    <w:multiLevelType w:val="hybridMultilevel"/>
    <w:lvl w:ilvl="0">
      <w:lvlJc w:val="left"/>
      <w:lvlText w:val="(%1)"/>
      <w:numFmt w:val="lowerLetter"/>
      <w:start w:val="1"/>
    </w:lvl>
  </w:abstractNum>
  <w:abstractNum w:abstractNumId="107">
    <w:nsid w:val="4BD8591A"/>
    <w:multiLevelType w:val="hybridMultilevel"/>
    <w:lvl w:ilvl="0">
      <w:lvlJc w:val="left"/>
      <w:lvlText w:val="(%1)"/>
      <w:numFmt w:val="lowerLetter"/>
      <w:start w:val="5"/>
    </w:lvl>
  </w:abstractNum>
  <w:abstractNum w:abstractNumId="108">
    <w:nsid w:val="78DF6A55"/>
    <w:multiLevelType w:val="hybridMultilevel"/>
    <w:lvl w:ilvl="0">
      <w:lvlJc w:val="left"/>
      <w:lvlText w:val="%1."/>
      <w:numFmt w:val="decimal"/>
      <w:start w:val="2"/>
    </w:lvl>
  </w:abstractNum>
  <w:abstractNum w:abstractNumId="109">
    <w:nsid w:val="39B7AAA2"/>
    <w:multiLevelType w:val="hybridMultilevel"/>
    <w:lvl w:ilvl="0">
      <w:lvlJc w:val="left"/>
      <w:lvlText w:val="%1."/>
      <w:numFmt w:val="decimal"/>
      <w:start w:val="3"/>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decimal"/>
      <w:start w:val="4"/>
    </w:lvl>
  </w:abstractNum>
  <w:abstractNum w:abstractNumId="112">
    <w:nsid w:val="379E21B5"/>
    <w:multiLevelType w:val="hybridMultilevel"/>
    <w:lvl w:ilvl="0">
      <w:lvlJc w:val="left"/>
      <w:lvlText w:val="%1."/>
      <w:numFmt w:val="decimal"/>
      <w:start w:val="5"/>
    </w:lvl>
  </w:abstractNum>
  <w:abstractNum w:abstractNumId="113">
    <w:nsid w:val="69E373"/>
    <w:multiLevelType w:val="hybridMultilevel"/>
    <w:lvl w:ilvl="0">
      <w:lvlJc w:val="left"/>
      <w:lvlText w:val="%1"/>
      <w:numFmt w:val="decimal"/>
      <w:start w:val="1"/>
    </w:lvl>
    <w:lvl w:ilvl="1">
      <w:lvlJc w:val="left"/>
      <w:lvlText w:val="(%2)"/>
      <w:numFmt w:val="lowerLetter"/>
      <w:start w:val="1"/>
    </w:lvl>
  </w:abstractNum>
  <w:abstractNum w:abstractNumId="114">
    <w:nsid w:val="2C27173B"/>
    <w:multiLevelType w:val="hybridMultilevel"/>
    <w:lvl w:ilvl="0">
      <w:lvlJc w:val="left"/>
      <w:lvlText w:val="%1."/>
      <w:numFmt w:val="decimal"/>
      <w:start w:val="6"/>
    </w:lvl>
    <w:lvl w:ilvl="1">
      <w:lvlJc w:val="left"/>
      <w:lvlText w:val="%2"/>
      <w:numFmt w:val="lowerLetter"/>
      <w:start w:val="1"/>
    </w:lvl>
  </w:abstractNum>
  <w:abstractNum w:abstractNumId="115">
    <w:nsid w:val="4C9B0904"/>
    <w:multiLevelType w:val="hybridMultilevel"/>
    <w:lvl w:ilvl="0">
      <w:lvlJc w:val="left"/>
      <w:lvlText w:val="%1."/>
      <w:numFmt w:val="decimal"/>
      <w:start w:val="8"/>
    </w:lvl>
  </w:abstractNum>
  <w:abstractNum w:abstractNumId="116">
    <w:nsid w:val="6AA7B75C"/>
    <w:multiLevelType w:val="hybridMultilevel"/>
    <w:lvl w:ilvl="0">
      <w:lvlJc w:val="left"/>
      <w:lvlText w:val="%1."/>
      <w:numFmt w:val="decimal"/>
      <w:start w:val="1"/>
    </w:lvl>
  </w:abstractNum>
  <w:abstractNum w:abstractNumId="117">
    <w:nsid w:val="1DF029D3"/>
    <w:multiLevelType w:val="hybridMultilevel"/>
    <w:lvl w:ilvl="0">
      <w:lvlJc w:val="left"/>
      <w:lvlText w:val="%1."/>
      <w:numFmt w:val="decimal"/>
      <w:start w:val="2"/>
    </w:lvl>
  </w:abstractNum>
  <w:abstractNum w:abstractNumId="118">
    <w:nsid w:val="5675FF36"/>
    <w:multiLevelType w:val="hybridMultilevel"/>
    <w:lvl w:ilvl="0">
      <w:lvlJc w:val="left"/>
      <w:lvlText w:val="%1."/>
      <w:numFmt w:val="decimal"/>
      <w:start w:val="1"/>
    </w:lvl>
  </w:abstractNum>
  <w:abstractNum w:abstractNumId="119">
    <w:nsid w:val="3DD15094"/>
    <w:multiLevelType w:val="hybridMultilevel"/>
    <w:lvl w:ilvl="0">
      <w:lvlJc w:val="left"/>
      <w:lvlText w:val="%1."/>
      <w:numFmt w:val="decimal"/>
      <w:start w:val="1"/>
    </w:lvl>
  </w:abstractNum>
  <w:abstractNum w:abstractNumId="120">
    <w:nsid w:val="3DB012B3"/>
    <w:multiLevelType w:val="hybridMultilevel"/>
    <w:lvl w:ilvl="0">
      <w:lvlJc w:val="left"/>
      <w:lvlText w:val="%1."/>
      <w:numFmt w:val="decimal"/>
      <w:start w:val="4"/>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2026-03-24T15:15:22Z</dcterms:created>
  <dcterms:modified xsi:type="dcterms:W3CDTF">2026-03-24T15:15:22Z</dcterms:modified>
</cp:coreProperties>
</file>