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8825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8251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Regan Timothy</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1800 OWENS STREET</w:t>
      </w:r>
    </w:p>
    <w:p>
      <w:pPr>
        <w:spacing w:after="0" w:line="71"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SUITE 200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DROPBOX,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DBX</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00" w:lineRule="exact"/>
        <w:rPr>
          <w:sz w:val="24"/>
          <w:szCs w:val="24"/>
          <w:color w:val="auto"/>
        </w:rPr>
      </w:pPr>
    </w:p>
    <w:p>
      <w:pPr>
        <w:spacing w:after="0" w:line="229"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01/25/2023</w:t>
      </w:r>
    </w:p>
    <w:p>
      <w:pPr>
        <w:spacing w:after="0" w:line="20" w:lineRule="exact"/>
        <w:rPr>
          <w:sz w:val="24"/>
          <w:szCs w:val="24"/>
          <w:color w:val="auto"/>
        </w:rPr>
      </w:pPr>
      <w:r>
        <w:rPr>
          <w:sz w:val="24"/>
          <w:szCs w:val="24"/>
          <w:color w:val="auto"/>
        </w:rPr>
        <w:br w:type="column"/>
      </w:r>
    </w:p>
    <w:p>
      <w:pPr>
        <w:ind w:left="5" w:right="540" w:hanging="5"/>
        <w:spacing w:after="0" w:line="267"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175"/>
        </w:trPr>
        <w:tc>
          <w:tcPr>
            <w:tcW w:w="220" w:type="dxa"/>
            <w:vAlign w:val="bottom"/>
          </w:tcPr>
          <w:p>
            <w:pPr>
              <w:spacing w:after="0"/>
              <w:rPr>
                <w:sz w:val="15"/>
                <w:szCs w:val="15"/>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2"/>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765"/>
        <w:spacing w:after="0"/>
        <w:rPr>
          <w:sz w:val="20"/>
          <w:szCs w:val="20"/>
          <w:color w:val="auto"/>
        </w:rPr>
      </w:pPr>
      <w:r>
        <w:rPr>
          <w:rFonts w:ascii="Times New Roman" w:cs="Times New Roman" w:eastAsia="Times New Roman" w:hAnsi="Times New Roman"/>
          <w:sz w:val="17"/>
          <w:szCs w:val="17"/>
          <w:color w:val="0000FF"/>
        </w:rPr>
        <w:t>Chief Financial Officer</w:t>
      </w:r>
    </w:p>
    <w:p>
      <w:pPr>
        <w:spacing w:after="0" w:line="565"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133" w:lineRule="exact"/>
        <w:rPr>
          <w:sz w:val="24"/>
          <w:szCs w:val="24"/>
          <w:color w:val="auto"/>
        </w:rPr>
      </w:pPr>
    </w:p>
    <w:p>
      <w:pPr>
        <w:ind w:left="80"/>
        <w:spacing w:after="0"/>
        <w:rPr>
          <w:sz w:val="20"/>
          <w:szCs w:val="20"/>
          <w:color w:val="auto"/>
        </w:rPr>
      </w:pPr>
      <w:r>
        <w:rPr>
          <w:rFonts w:ascii="Arial" w:cs="Arial" w:eastAsia="Arial" w:hAnsi="Arial"/>
          <w:sz w:val="13"/>
          <w:szCs w:val="13"/>
          <w:color w:val="auto"/>
        </w:rPr>
        <w:t>(Street)</w:t>
      </w:r>
    </w:p>
    <w:p>
      <w:pPr>
        <w:spacing w:after="0" w:line="35" w:lineRule="exact"/>
        <w:rPr>
          <w:sz w:val="24"/>
          <w:szCs w:val="24"/>
          <w:color w:val="auto"/>
        </w:rPr>
      </w:pPr>
    </w:p>
    <w:p>
      <w:pPr>
        <w:ind w:left="120" w:right="200"/>
        <w:spacing w:after="0"/>
        <w:rPr>
          <w:sz w:val="20"/>
          <w:szCs w:val="20"/>
          <w:color w:val="auto"/>
        </w:rPr>
      </w:pPr>
      <w:r>
        <w:rPr>
          <w:rFonts w:ascii="Times New Roman" w:cs="Times New Roman" w:eastAsia="Times New Roman" w:hAnsi="Times New Roman"/>
          <w:sz w:val="34"/>
          <w:szCs w:val="34"/>
          <w:color w:val="0000FF"/>
          <w:vertAlign w:val="superscript"/>
        </w:rPr>
        <w:t>SAN</w:t>
      </w:r>
      <w:r>
        <w:rPr>
          <w:rFonts w:ascii="Times New Roman" w:cs="Times New Roman" w:eastAsia="Times New Roman" w:hAnsi="Times New Roman"/>
          <w:sz w:val="17"/>
          <w:szCs w:val="17"/>
          <w:color w:val="0000FF"/>
        </w:rPr>
        <w:t xml:space="preserve"> CA 94158 FRANCISCO</w:t>
      </w:r>
    </w:p>
    <w:p>
      <w:pPr>
        <w:spacing w:after="0" w:line="357"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(City)</w:t>
      </w:r>
      <w:r>
        <w:rPr>
          <w:sz w:val="20"/>
          <w:szCs w:val="20"/>
          <w:color w:val="auto"/>
        </w:rPr>
        <w:tab/>
      </w:r>
      <w:r>
        <w:rPr>
          <w:rFonts w:ascii="Arial" w:cs="Arial" w:eastAsia="Arial" w:hAnsi="Arial"/>
          <w:sz w:val="13"/>
          <w:szCs w:val="13"/>
          <w:color w:val="auto"/>
        </w:rPr>
        <w:t>(State)</w:t>
      </w:r>
      <w:r>
        <w:rPr>
          <w:sz w:val="20"/>
          <w:szCs w:val="20"/>
          <w:color w:val="auto"/>
        </w:rPr>
        <w:tab/>
      </w:r>
      <w:r>
        <w:rPr>
          <w:rFonts w:ascii="Arial" w:cs="Arial" w:eastAsia="Arial" w:hAnsi="Arial"/>
          <w:sz w:val="13"/>
          <w:szCs w:val="13"/>
          <w:color w:val="auto"/>
        </w:rPr>
        <w:t>(Zip)</w:t>
      </w:r>
    </w:p>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502" w:lineRule="exact"/>
        <w:rPr>
          <w:sz w:val="24"/>
          <w:szCs w:val="24"/>
          <w:color w:val="auto"/>
        </w:rPr>
      </w:pPr>
    </w:p>
    <w:p>
      <w:pPr>
        <w:sectPr>
          <w:pgSz w:w="11900" w:h="16838" w:orient="portrait"/>
          <w:cols w:equalWidth="0" w:num="2">
            <w:col w:w="3200" w:space="72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160" w:type="dxa"/>
            <w:vAlign w:val="bottom"/>
            <w:gridSpan w:val="2"/>
          </w:tcPr>
          <w:p>
            <w:pPr>
              <w:ind w:left="340"/>
              <w:spacing w:after="0"/>
              <w:rPr>
                <w:sz w:val="20"/>
                <w:szCs w:val="20"/>
                <w:color w:val="auto"/>
              </w:rPr>
            </w:pPr>
            <w:r>
              <w:rPr>
                <w:rFonts w:ascii="Arial" w:cs="Arial" w:eastAsia="Arial" w:hAnsi="Arial"/>
                <w:sz w:val="12"/>
                <w:szCs w:val="12"/>
                <w:b w:val="1"/>
                <w:bCs w:val="1"/>
                <w:color w:val="auto"/>
                <w:w w:val="98"/>
              </w:rPr>
              <w:t>2. Transaction</w:t>
            </w:r>
          </w:p>
        </w:tc>
        <w:tc>
          <w:tcPr>
            <w:tcW w:w="1400" w:type="dxa"/>
            <w:vAlign w:val="bottom"/>
            <w:gridSpan w:val="3"/>
          </w:tcPr>
          <w:p>
            <w:pPr>
              <w:ind w:left="300"/>
              <w:spacing w:after="0"/>
              <w:rPr>
                <w:sz w:val="20"/>
                <w:szCs w:val="20"/>
                <w:color w:val="auto"/>
              </w:rPr>
            </w:pPr>
            <w:r>
              <w:rPr>
                <w:rFonts w:ascii="Arial" w:cs="Arial" w:eastAsia="Arial" w:hAnsi="Arial"/>
                <w:sz w:val="12"/>
                <w:szCs w:val="12"/>
                <w:b w:val="1"/>
                <w:bCs w:val="1"/>
                <w:color w:val="auto"/>
              </w:rPr>
              <w:t>2A. Deemed</w:t>
            </w:r>
          </w:p>
        </w:tc>
        <w:tc>
          <w:tcPr>
            <w:tcW w:w="16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580" w:type="dxa"/>
            <w:vAlign w:val="bottom"/>
          </w:tcPr>
          <w:p>
            <w:pPr>
              <w:spacing w:after="0"/>
              <w:rPr>
                <w:sz w:val="13"/>
                <w:szCs w:val="13"/>
                <w:color w:val="auto"/>
              </w:rPr>
            </w:pPr>
          </w:p>
        </w:tc>
        <w:tc>
          <w:tcPr>
            <w:tcW w:w="198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220" w:type="dxa"/>
            <w:vAlign w:val="bottom"/>
          </w:tcPr>
          <w:p>
            <w:pPr>
              <w:spacing w:after="0"/>
              <w:rPr>
                <w:sz w:val="13"/>
                <w:szCs w:val="13"/>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60" w:type="dxa"/>
            <w:vAlign w:val="bottom"/>
            <w:gridSpan w:val="2"/>
          </w:tcPr>
          <w:p>
            <w:pPr>
              <w:ind w:left="340"/>
              <w:spacing w:after="0" w:line="133" w:lineRule="exact"/>
              <w:rPr>
                <w:sz w:val="20"/>
                <w:szCs w:val="20"/>
                <w:color w:val="auto"/>
              </w:rPr>
            </w:pPr>
            <w:r>
              <w:rPr>
                <w:rFonts w:ascii="Arial" w:cs="Arial" w:eastAsia="Arial" w:hAnsi="Arial"/>
                <w:sz w:val="12"/>
                <w:szCs w:val="12"/>
                <w:b w:val="1"/>
                <w:bCs w:val="1"/>
                <w:color w:val="auto"/>
              </w:rPr>
              <w:t>Date</w:t>
            </w:r>
          </w:p>
        </w:tc>
        <w:tc>
          <w:tcPr>
            <w:tcW w:w="140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940" w:type="dxa"/>
            <w:vAlign w:val="bottom"/>
            <w:gridSpan w:val="3"/>
          </w:tcPr>
          <w:p>
            <w:pPr>
              <w:ind w:left="340"/>
              <w:spacing w:after="0" w:line="133" w:lineRule="exact"/>
              <w:rPr>
                <w:sz w:val="20"/>
                <w:szCs w:val="20"/>
                <w:color w:val="auto"/>
              </w:rPr>
            </w:pPr>
            <w:r>
              <w:rPr>
                <w:rFonts w:ascii="Arial" w:cs="Arial" w:eastAsia="Arial" w:hAnsi="Arial"/>
                <w:sz w:val="12"/>
                <w:szCs w:val="12"/>
                <w:b w:val="1"/>
                <w:bCs w:val="1"/>
                <w:color w:val="auto"/>
              </w:rPr>
              <w:t>(Month/Day/Year)  if any</w:t>
            </w: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1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Indirect (I)</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0" w:type="dxa"/>
            <w:vAlign w:val="bottom"/>
          </w:tcPr>
          <w:p>
            <w:pPr>
              <w:spacing w:after="0"/>
              <w:rPr>
                <w:sz w:val="6"/>
                <w:szCs w:val="6"/>
                <w:color w:val="auto"/>
              </w:rPr>
            </w:pPr>
          </w:p>
        </w:tc>
        <w:tc>
          <w:tcPr>
            <w:tcW w:w="78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118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vMerge w:val="restart"/>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160" w:type="dxa"/>
            <w:vAlign w:val="bottom"/>
          </w:tcPr>
          <w:p>
            <w:pPr>
              <w:spacing w:after="0"/>
              <w:rPr>
                <w:sz w:val="3"/>
                <w:szCs w:val="3"/>
                <w:color w:val="auto"/>
              </w:rPr>
            </w:pPr>
          </w:p>
        </w:tc>
        <w:tc>
          <w:tcPr>
            <w:tcW w:w="580" w:type="dxa"/>
            <w:vAlign w:val="bottom"/>
          </w:tcPr>
          <w:p>
            <w:pPr>
              <w:spacing w:after="0"/>
              <w:rPr>
                <w:sz w:val="3"/>
                <w:szCs w:val="3"/>
                <w:color w:val="auto"/>
              </w:rPr>
            </w:pPr>
          </w:p>
        </w:tc>
        <w:tc>
          <w:tcPr>
            <w:tcW w:w="840" w:type="dxa"/>
            <w:vAlign w:val="bottom"/>
          </w:tcPr>
          <w:p>
            <w:pPr>
              <w:spacing w:after="0"/>
              <w:rPr>
                <w:sz w:val="3"/>
                <w:szCs w:val="3"/>
                <w:color w:val="auto"/>
              </w:rPr>
            </w:pPr>
          </w:p>
        </w:tc>
        <w:tc>
          <w:tcPr>
            <w:tcW w:w="44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 w:type="dxa"/>
            <w:vAlign w:val="bottom"/>
          </w:tcPr>
          <w:p>
            <w:pPr>
              <w:spacing w:after="0"/>
              <w:rPr>
                <w:sz w:val="3"/>
                <w:szCs w:val="3"/>
                <w:color w:val="auto"/>
              </w:rPr>
            </w:pPr>
          </w:p>
        </w:tc>
        <w:tc>
          <w:tcPr>
            <w:tcW w:w="220" w:type="dxa"/>
            <w:vAlign w:val="bottom"/>
          </w:tcPr>
          <w:p>
            <w:pPr>
              <w:spacing w:after="0"/>
              <w:rPr>
                <w:sz w:val="3"/>
                <w:szCs w:val="3"/>
                <w:color w:val="auto"/>
              </w:rPr>
            </w:pPr>
          </w:p>
        </w:tc>
        <w:tc>
          <w:tcPr>
            <w:tcW w:w="1180" w:type="dxa"/>
            <w:vAlign w:val="bottom"/>
            <w:gridSpan w:val="2"/>
            <w:vMerge w:val="continue"/>
          </w:tcPr>
          <w:p>
            <w:pPr>
              <w:spacing w:after="0"/>
              <w:rPr>
                <w:sz w:val="3"/>
                <w:szCs w:val="3"/>
                <w:color w:val="auto"/>
              </w:rPr>
            </w:pPr>
          </w:p>
        </w:tc>
        <w:tc>
          <w:tcPr>
            <w:tcW w:w="920" w:type="dxa"/>
            <w:vAlign w:val="bottom"/>
            <w:vMerge w:val="continue"/>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8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0" w:type="dxa"/>
            <w:vAlign w:val="bottom"/>
          </w:tcPr>
          <w:p>
            <w:pPr>
              <w:spacing w:after="0"/>
              <w:rPr>
                <w:sz w:val="8"/>
                <w:szCs w:val="8"/>
                <w:color w:val="auto"/>
              </w:rPr>
            </w:pPr>
          </w:p>
        </w:tc>
        <w:tc>
          <w:tcPr>
            <w:tcW w:w="780" w:type="dxa"/>
            <w:vAlign w:val="bottom"/>
          </w:tcPr>
          <w:p>
            <w:pPr>
              <w:spacing w:after="0"/>
              <w:rPr>
                <w:sz w:val="8"/>
                <w:szCs w:val="8"/>
                <w:color w:val="auto"/>
              </w:rPr>
            </w:pPr>
          </w:p>
        </w:tc>
        <w:tc>
          <w:tcPr>
            <w:tcW w:w="560" w:type="dxa"/>
            <w:vAlign w:val="bottom"/>
          </w:tcPr>
          <w:p>
            <w:pPr>
              <w:spacing w:after="0"/>
              <w:rPr>
                <w:sz w:val="8"/>
                <w:szCs w:val="8"/>
                <w:color w:val="auto"/>
              </w:rPr>
            </w:pPr>
          </w:p>
        </w:tc>
        <w:tc>
          <w:tcPr>
            <w:tcW w:w="60" w:type="dxa"/>
            <w:vAlign w:val="bottom"/>
          </w:tcPr>
          <w:p>
            <w:pPr>
              <w:spacing w:after="0"/>
              <w:rPr>
                <w:sz w:val="8"/>
                <w:szCs w:val="8"/>
                <w:color w:val="auto"/>
              </w:rPr>
            </w:pPr>
          </w:p>
        </w:tc>
        <w:tc>
          <w:tcPr>
            <w:tcW w:w="740" w:type="dxa"/>
            <w:vAlign w:val="bottom"/>
            <w:gridSpan w:val="2"/>
            <w:vMerge w:val="continue"/>
          </w:tcPr>
          <w:p>
            <w:pPr>
              <w:spacing w:after="0"/>
              <w:rPr>
                <w:sz w:val="8"/>
                <w:szCs w:val="8"/>
                <w:color w:val="auto"/>
              </w:rPr>
            </w:pPr>
          </w:p>
        </w:tc>
        <w:tc>
          <w:tcPr>
            <w:tcW w:w="840" w:type="dxa"/>
            <w:vAlign w:val="bottom"/>
            <w:vMerge w:val="continue"/>
          </w:tcPr>
          <w:p>
            <w:pPr>
              <w:spacing w:after="0"/>
              <w:rPr>
                <w:sz w:val="8"/>
                <w:szCs w:val="8"/>
                <w:color w:val="auto"/>
              </w:rPr>
            </w:pPr>
          </w:p>
        </w:tc>
        <w:tc>
          <w:tcPr>
            <w:tcW w:w="4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(D)</w:t>
            </w:r>
          </w:p>
        </w:tc>
        <w:tc>
          <w:tcPr>
            <w:tcW w:w="700" w:type="dxa"/>
            <w:vAlign w:val="bottom"/>
            <w:gridSpan w:val="2"/>
            <w:vMerge w:val="continue"/>
          </w:tcPr>
          <w:p>
            <w:pPr>
              <w:spacing w:after="0"/>
              <w:rPr>
                <w:sz w:val="8"/>
                <w:szCs w:val="8"/>
                <w:color w:val="auto"/>
              </w:rPr>
            </w:pPr>
          </w:p>
        </w:tc>
        <w:tc>
          <w:tcPr>
            <w:tcW w:w="220" w:type="dxa"/>
            <w:vAlign w:val="bottom"/>
          </w:tcPr>
          <w:p>
            <w:pPr>
              <w:spacing w:after="0"/>
              <w:rPr>
                <w:sz w:val="8"/>
                <w:szCs w:val="8"/>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160" w:type="dxa"/>
            <w:vAlign w:val="bottom"/>
          </w:tcPr>
          <w:p>
            <w:pPr>
              <w:spacing w:after="0"/>
              <w:rPr>
                <w:sz w:val="5"/>
                <w:szCs w:val="5"/>
                <w:color w:val="auto"/>
              </w:rPr>
            </w:pPr>
          </w:p>
        </w:tc>
        <w:tc>
          <w:tcPr>
            <w:tcW w:w="580" w:type="dxa"/>
            <w:vAlign w:val="bottom"/>
          </w:tcPr>
          <w:p>
            <w:pPr>
              <w:spacing w:after="0"/>
              <w:rPr>
                <w:sz w:val="5"/>
                <w:szCs w:val="5"/>
                <w:color w:val="auto"/>
              </w:rPr>
            </w:pPr>
          </w:p>
        </w:tc>
        <w:tc>
          <w:tcPr>
            <w:tcW w:w="84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gridSpan w:val="2"/>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gridSpan w:val="2"/>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gridSpan w:val="2"/>
          </w:tcPr>
          <w:p>
            <w:pPr>
              <w:spacing w:after="0"/>
              <w:rPr>
                <w:sz w:val="3"/>
                <w:szCs w:val="3"/>
                <w:color w:val="auto"/>
              </w:rPr>
            </w:pPr>
          </w:p>
        </w:tc>
        <w:tc>
          <w:tcPr>
            <w:tcW w:w="118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940" w:type="dxa"/>
            <w:vAlign w:val="bottom"/>
            <w:tcBorders>
              <w:bottom w:val="single" w:sz="8" w:color="2C2C2C"/>
            </w:tcBorders>
            <w:gridSpan w:val="3"/>
          </w:tcPr>
          <w:p>
            <w:pPr>
              <w:ind w:left="440"/>
              <w:spacing w:after="0"/>
              <w:rPr>
                <w:sz w:val="20"/>
                <w:szCs w:val="20"/>
                <w:color w:val="auto"/>
              </w:rPr>
            </w:pPr>
            <w:r>
              <w:rPr>
                <w:rFonts w:ascii="Times New Roman" w:cs="Times New Roman" w:eastAsia="Times New Roman" w:hAnsi="Times New Roman"/>
                <w:sz w:val="17"/>
                <w:szCs w:val="17"/>
                <w:color w:val="0000FF"/>
              </w:rPr>
              <w:t>01/25/2023</w:t>
            </w:r>
          </w:p>
        </w:tc>
        <w:tc>
          <w:tcPr>
            <w:tcW w:w="5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840" w:type="dxa"/>
            <w:vAlign w:val="bottom"/>
            <w:tcBorders>
              <w:bottom w:val="single" w:sz="8" w:color="2C2C2C"/>
            </w:tcBorders>
          </w:tcPr>
          <w:p>
            <w:pPr>
              <w:ind w:left="200"/>
              <w:spacing w:after="0"/>
              <w:rPr>
                <w:sz w:val="20"/>
                <w:szCs w:val="20"/>
                <w:color w:val="auto"/>
              </w:rPr>
            </w:pPr>
            <w:r>
              <w:rPr>
                <w:rFonts w:ascii="Times New Roman" w:cs="Times New Roman" w:eastAsia="Times New Roman" w:hAnsi="Times New Roman"/>
                <w:sz w:val="17"/>
                <w:szCs w:val="17"/>
                <w:color w:val="0000FF"/>
              </w:rPr>
              <w:t>2,369</w:t>
            </w:r>
          </w:p>
        </w:tc>
        <w:tc>
          <w:tcPr>
            <w:tcW w:w="44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17"/>
                <w:szCs w:val="17"/>
                <w:color w:val="0000FF"/>
              </w:rPr>
              <w:t>D</w:t>
            </w:r>
          </w:p>
        </w:tc>
        <w:tc>
          <w:tcPr>
            <w:tcW w:w="92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22.8214</w:t>
            </w:r>
            <w:r>
              <w:rPr>
                <w:rFonts w:ascii="Times New Roman" w:cs="Times New Roman" w:eastAsia="Times New Roman" w:hAnsi="Times New Roman"/>
                <w:sz w:val="22"/>
                <w:szCs w:val="22"/>
                <w:color w:val="008000"/>
                <w:vertAlign w:val="superscript"/>
              </w:rPr>
              <w:t>(2)</w:t>
            </w:r>
          </w:p>
        </w:tc>
        <w:tc>
          <w:tcPr>
            <w:tcW w:w="1180" w:type="dxa"/>
            <w:vAlign w:val="bottom"/>
            <w:tcBorders>
              <w:bottom w:val="single" w:sz="8" w:color="2C2C2C"/>
            </w:tcBorders>
            <w:gridSpan w:val="2"/>
          </w:tcPr>
          <w:p>
            <w:pPr>
              <w:ind w:left="220"/>
              <w:spacing w:after="0"/>
              <w:rPr>
                <w:sz w:val="20"/>
                <w:szCs w:val="20"/>
                <w:color w:val="auto"/>
              </w:rPr>
            </w:pPr>
            <w:r>
              <w:rPr>
                <w:rFonts w:ascii="Times New Roman" w:cs="Times New Roman" w:eastAsia="Times New Roman" w:hAnsi="Times New Roman"/>
                <w:sz w:val="17"/>
                <w:szCs w:val="17"/>
                <w:color w:val="0000FF"/>
              </w:rPr>
              <w:t>466,230</w:t>
            </w:r>
            <w:r>
              <w:rPr>
                <w:rFonts w:ascii="Times New Roman" w:cs="Times New Roman" w:eastAsia="Times New Roman" w:hAnsi="Times New Roman"/>
                <w:sz w:val="22"/>
                <w:szCs w:val="22"/>
                <w:color w:val="008000"/>
                <w:vertAlign w:val="superscript"/>
              </w:rPr>
              <w:t>(3)</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5"/>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gridSpan w:val="3"/>
          </w:tcPr>
          <w:p>
            <w:pPr>
              <w:spacing w:after="0"/>
              <w:rPr>
                <w:sz w:val="3"/>
                <w:szCs w:val="3"/>
                <w:color w:val="auto"/>
              </w:rPr>
            </w:pPr>
          </w:p>
        </w:tc>
        <w:tc>
          <w:tcPr>
            <w:tcW w:w="1420" w:type="dxa"/>
            <w:vAlign w:val="bottom"/>
            <w:tcBorders>
              <w:bottom w:val="single" w:sz="8" w:color="2C2C2C"/>
            </w:tcBorders>
            <w:gridSpan w:val="2"/>
          </w:tcPr>
          <w:p>
            <w:pPr>
              <w:spacing w:after="0"/>
              <w:rPr>
                <w:sz w:val="3"/>
                <w:szCs w:val="3"/>
                <w:color w:val="auto"/>
              </w:rPr>
            </w:pPr>
          </w:p>
        </w:tc>
        <w:tc>
          <w:tcPr>
            <w:tcW w:w="106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60" w:type="dxa"/>
            <w:vAlign w:val="bottom"/>
            <w:gridSpan w:val="2"/>
          </w:tcPr>
          <w:p>
            <w:pPr>
              <w:ind w:left="60"/>
              <w:spacing w:after="0"/>
              <w:rPr>
                <w:sz w:val="20"/>
                <w:szCs w:val="20"/>
                <w:color w:val="auto"/>
              </w:rPr>
            </w:pPr>
            <w:r>
              <w:rPr>
                <w:rFonts w:ascii="Arial" w:cs="Arial" w:eastAsia="Arial" w:hAnsi="Arial"/>
                <w:sz w:val="12"/>
                <w:szCs w:val="12"/>
                <w:b w:val="1"/>
                <w:bCs w:val="1"/>
                <w:color w:val="auto"/>
              </w:rPr>
              <w:t>3A.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4.</w:t>
            </w:r>
          </w:p>
        </w:tc>
        <w:tc>
          <w:tcPr>
            <w:tcW w:w="780" w:type="dxa"/>
            <w:vAlign w:val="bottom"/>
            <w:gridSpan w:val="3"/>
          </w:tcPr>
          <w:p>
            <w:pPr>
              <w:ind w:left="80"/>
              <w:spacing w:after="0"/>
              <w:rPr>
                <w:sz w:val="20"/>
                <w:szCs w:val="20"/>
                <w:color w:val="auto"/>
              </w:rPr>
            </w:pPr>
            <w:r>
              <w:rPr>
                <w:rFonts w:ascii="Arial" w:cs="Arial" w:eastAsia="Arial" w:hAnsi="Arial"/>
                <w:sz w:val="12"/>
                <w:szCs w:val="12"/>
                <w:b w:val="1"/>
                <w:bCs w:val="1"/>
                <w:color w:val="auto"/>
              </w:rPr>
              <w:t>5. Number</w:t>
            </w:r>
          </w:p>
        </w:tc>
        <w:tc>
          <w:tcPr>
            <w:tcW w:w="142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140" w:type="dxa"/>
            <w:vAlign w:val="bottom"/>
            <w:gridSpan w:val="3"/>
          </w:tcPr>
          <w:p>
            <w:pPr>
              <w:ind w:left="14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Transaction</w:t>
            </w: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14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7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4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7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9"/>
              </w:rPr>
              <w:t>Acquired</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Security (Instr.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6"/>
              </w:rPr>
              <w:t>Disposed</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3 and 4)</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 w:type="dxa"/>
            <w:vAlign w:val="bottom"/>
          </w:tcPr>
          <w:p>
            <w:pPr>
              <w:spacing w:after="0"/>
              <w:rPr>
                <w:sz w:val="3"/>
                <w:szCs w:val="3"/>
                <w:color w:val="auto"/>
              </w:rPr>
            </w:pPr>
          </w:p>
        </w:tc>
        <w:tc>
          <w:tcPr>
            <w:tcW w:w="220" w:type="dxa"/>
            <w:vAlign w:val="bottom"/>
          </w:tcPr>
          <w:p>
            <w:pPr>
              <w:spacing w:after="0"/>
              <w:rPr>
                <w:sz w:val="3"/>
                <w:szCs w:val="3"/>
                <w:color w:val="auto"/>
              </w:rPr>
            </w:pPr>
          </w:p>
        </w:tc>
        <w:tc>
          <w:tcPr>
            <w:tcW w:w="42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00" w:type="dxa"/>
            <w:vAlign w:val="bottom"/>
            <w:gridSpan w:val="2"/>
          </w:tcPr>
          <w:p>
            <w:pPr>
              <w:ind w:left="100"/>
              <w:spacing w:after="0"/>
              <w:rPr>
                <w:sz w:val="20"/>
                <w:szCs w:val="20"/>
                <w:color w:val="auto"/>
              </w:rPr>
            </w:pPr>
            <w:r>
              <w:rPr>
                <w:rFonts w:ascii="Arial" w:cs="Arial" w:eastAsia="Arial" w:hAnsi="Arial"/>
                <w:sz w:val="12"/>
                <w:szCs w:val="12"/>
                <w:b w:val="1"/>
                <w:bCs w:val="1"/>
                <w:color w:val="auto"/>
              </w:rPr>
              <w:t>Amount</w:t>
            </w:r>
          </w:p>
        </w:tc>
        <w:tc>
          <w:tcPr>
            <w:tcW w:w="2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Number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840" w:type="dxa"/>
            <w:vAlign w:val="bottom"/>
          </w:tcPr>
          <w:p>
            <w:pPr>
              <w:ind w:left="260"/>
              <w:spacing w:after="0" w:line="133" w:lineRule="exact"/>
              <w:rPr>
                <w:sz w:val="20"/>
                <w:szCs w:val="20"/>
                <w:color w:val="auto"/>
              </w:rPr>
            </w:pPr>
            <w:r>
              <w:rPr>
                <w:rFonts w:ascii="Arial" w:cs="Arial" w:eastAsia="Arial" w:hAnsi="Arial"/>
                <w:sz w:val="12"/>
                <w:szCs w:val="12"/>
                <w:b w:val="1"/>
                <w:bCs w:val="1"/>
                <w:color w:val="auto"/>
                <w:w w:val="95"/>
              </w:rPr>
              <w:t>Expiration</w:t>
            </w:r>
          </w:p>
        </w:tc>
        <w:tc>
          <w:tcPr>
            <w:tcW w:w="440" w:type="dxa"/>
            <w:vAlign w:val="bottom"/>
          </w:tcPr>
          <w:p>
            <w:pPr>
              <w:spacing w:after="0"/>
              <w:rPr>
                <w:sz w:val="11"/>
                <w:szCs w:val="11"/>
                <w:color w:val="auto"/>
              </w:rPr>
            </w:pP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of</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Code  V</w:t>
            </w: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160" w:type="dxa"/>
            <w:vAlign w:val="bottom"/>
          </w:tcPr>
          <w:p>
            <w:pPr>
              <w:spacing w:after="0"/>
              <w:rPr>
                <w:sz w:val="14"/>
                <w:szCs w:val="14"/>
                <w:color w:val="auto"/>
              </w:rPr>
            </w:pPr>
          </w:p>
        </w:tc>
        <w:tc>
          <w:tcPr>
            <w:tcW w:w="142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  Date</w:t>
            </w:r>
          </w:p>
        </w:tc>
        <w:tc>
          <w:tcPr>
            <w:tcW w:w="440" w:type="dxa"/>
            <w:vAlign w:val="bottom"/>
          </w:tcPr>
          <w:p>
            <w:pPr>
              <w:ind w:left="140"/>
              <w:spacing w:after="0"/>
              <w:rPr>
                <w:sz w:val="20"/>
                <w:szCs w:val="20"/>
                <w:color w:val="auto"/>
              </w:rPr>
            </w:pPr>
            <w:r>
              <w:rPr>
                <w:rFonts w:ascii="Arial" w:cs="Arial" w:eastAsia="Arial" w:hAnsi="Arial"/>
                <w:sz w:val="12"/>
                <w:szCs w:val="12"/>
                <w:b w:val="1"/>
                <w:bCs w:val="1"/>
                <w:color w:val="auto"/>
              </w:rPr>
              <w:t>Title</w:t>
            </w:r>
          </w:p>
        </w:tc>
        <w:tc>
          <w:tcPr>
            <w:tcW w:w="700" w:type="dxa"/>
            <w:vAlign w:val="bottom"/>
            <w:gridSpan w:val="2"/>
          </w:tcPr>
          <w:p>
            <w:pPr>
              <w:ind w:left="100"/>
              <w:spacing w:after="0"/>
              <w:rPr>
                <w:sz w:val="20"/>
                <w:szCs w:val="20"/>
                <w:color w:val="auto"/>
              </w:rPr>
            </w:pPr>
            <w:r>
              <w:rPr>
                <w:rFonts w:ascii="Arial" w:cs="Arial" w:eastAsia="Arial" w:hAnsi="Arial"/>
                <w:sz w:val="12"/>
                <w:szCs w:val="12"/>
                <w:b w:val="1"/>
                <w:bCs w:val="1"/>
                <w:color w:val="auto"/>
              </w:rPr>
              <w:t>Shares</w:t>
            </w:r>
          </w:p>
        </w:tc>
        <w:tc>
          <w:tcPr>
            <w:tcW w:w="2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These shares were sold pursuant to a Rule 10b5-1 trading plan entered into by the Reporting Person.</w:t>
      </w:r>
    </w:p>
    <w:p>
      <w:pPr>
        <w:spacing w:after="0" w:line="50" w:lineRule="exact"/>
        <w:rPr>
          <w:rFonts w:ascii="Times New Roman" w:cs="Times New Roman" w:eastAsia="Times New Roman" w:hAnsi="Times New Roman"/>
          <w:sz w:val="13"/>
          <w:szCs w:val="13"/>
          <w:color w:val="008000"/>
        </w:rPr>
      </w:pPr>
    </w:p>
    <w:p>
      <w:pPr>
        <w:ind w:left="40" w:right="26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transaction was executed in multiple trades at prices ranging from $22.63 to $22.97. The price reported above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spacing w:after="0" w:line="7" w:lineRule="exact"/>
        <w:rPr>
          <w:rFonts w:ascii="Times New Roman" w:cs="Times New Roman" w:eastAsia="Times New Roman" w:hAnsi="Times New Roman"/>
          <w:sz w:val="13"/>
          <w:szCs w:val="13"/>
          <w:color w:val="008000"/>
        </w:rPr>
      </w:pPr>
    </w:p>
    <w:p>
      <w:pPr>
        <w:jc w:val="both"/>
        <w:ind w:left="40" w:right="160" w:firstLine="7"/>
        <w:spacing w:after="0" w:line="253"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Certain of these securities are restricted stock awards and restricted stock units. Each restricted stock award or restricted stock unit represents the Reporting Person's right to receive one share of Class A Common Stock, subject to the applicable vesting schedule through February 15, 2026. In the event the Reporting Person ceases to be a Service Provider, the unvested restricted stock awards and restricted stock units will be cancelled by the Issuer.</w:t>
      </w:r>
    </w:p>
    <w:p>
      <w:pPr>
        <w:spacing w:after="0" w:line="1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Cara Angelmar, Attorney-</w:t>
            </w:r>
          </w:p>
        </w:tc>
        <w:tc>
          <w:tcPr>
            <w:tcW w:w="80" w:type="dxa"/>
            <w:vAlign w:val="bottom"/>
          </w:tcPr>
          <w:p>
            <w:pPr>
              <w:spacing w:after="0"/>
              <w:rPr>
                <w:sz w:val="16"/>
                <w:szCs w:val="16"/>
                <w:color w:val="auto"/>
              </w:rPr>
            </w:pPr>
          </w:p>
        </w:tc>
        <w:tc>
          <w:tcPr>
            <w:tcW w:w="880" w:type="dxa"/>
            <w:vAlign w:val="bottom"/>
            <w:gridSpan w:val="2"/>
            <w:vMerge w:val="restart"/>
          </w:tcPr>
          <w:p>
            <w:pPr>
              <w:ind w:left="80"/>
              <w:spacing w:after="0"/>
              <w:rPr>
                <w:sz w:val="20"/>
                <w:szCs w:val="20"/>
                <w:color w:val="auto"/>
              </w:rPr>
            </w:pPr>
            <w:r>
              <w:rPr>
                <w:rFonts w:ascii="Times New Roman" w:cs="Times New Roman" w:eastAsia="Times New Roman" w:hAnsi="Times New Roman"/>
                <w:sz w:val="17"/>
                <w:szCs w:val="17"/>
                <w:color w:val="0000FF"/>
              </w:rPr>
              <w:t>01/27/2023</w:t>
            </w:r>
          </w:p>
        </w:tc>
        <w:tc>
          <w:tcPr>
            <w:tcW w:w="0" w:type="dxa"/>
            <w:vAlign w:val="bottom"/>
          </w:tcPr>
          <w:p>
            <w:pPr>
              <w:spacing w:after="0"/>
              <w:rPr>
                <w:sz w:val="1"/>
                <w:szCs w:val="1"/>
                <w:color w:val="auto"/>
              </w:rPr>
            </w:pPr>
          </w:p>
        </w:tc>
      </w:tr>
      <w:tr>
        <w:trPr>
          <w:trHeight w:val="87"/>
        </w:trPr>
        <w:tc>
          <w:tcPr>
            <w:tcW w:w="2120" w:type="dxa"/>
            <w:vAlign w:val="bottom"/>
            <w:gridSpan w:val="3"/>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in-Fact</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6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212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19"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LIMITED POWER OF ATTORNEY - SECURITIES LAW COMPLIANCE</w:t>
      </w:r>
    </w:p>
    <w:p>
      <w:pPr>
        <w:spacing w:after="0" w:line="207" w:lineRule="exact"/>
        <w:rPr>
          <w:sz w:val="20"/>
          <w:szCs w:val="20"/>
          <w:color w:val="auto"/>
        </w:rPr>
      </w:pPr>
    </w:p>
    <w:p>
      <w:pPr>
        <w:ind w:right="3019" w:firstLine="624"/>
        <w:spacing w:after="0" w:line="257" w:lineRule="auto"/>
        <w:rPr>
          <w:sz w:val="20"/>
          <w:szCs w:val="20"/>
          <w:color w:val="auto"/>
        </w:rPr>
      </w:pPr>
      <w:r>
        <w:rPr>
          <w:rFonts w:ascii="Courier New" w:cs="Courier New" w:eastAsia="Courier New" w:hAnsi="Courier New"/>
          <w:sz w:val="17"/>
          <w:szCs w:val="17"/>
          <w:color w:val="auto"/>
        </w:rPr>
        <w:t>The undersigned, as an officer or director of Dropbox, Inc. (the "Corporation"), hereby constitutes and appoints Bart Volkmer and Cara Angelmar, each the undersigned's true and lawful attorney-in-fact and agent to complete and execute such Forms 144, Form ID, Forms 3, 4 and 5 and other forms as such attorney shall in his or her discretion determine to be required or advisable pursuant to Rule 144 promulgated under the Securities Act of 1933, as amended, Section 16 of the Securities Exchange Act of 1934, as amended, and the rules and regulations promulgated thereunder, or any successor laws and regulations, as a consequence of the undersigned's ownership, acquisition or disposition of securities of the Corporation, and to do all acts necessary in order to file such forms with the Securities and Exchange Commission, any securities exchange or national association, the Corporation and such other person or agency as the attorney shall deem appropriate.</w:t>
      </w:r>
    </w:p>
    <w:p>
      <w:pPr>
        <w:spacing w:after="0" w:line="105" w:lineRule="exact"/>
        <w:rPr>
          <w:sz w:val="20"/>
          <w:szCs w:val="20"/>
          <w:color w:val="auto"/>
        </w:rPr>
      </w:pPr>
    </w:p>
    <w:p>
      <w:pPr>
        <w:ind w:right="3019" w:firstLine="624"/>
        <w:spacing w:after="0" w:line="269" w:lineRule="auto"/>
        <w:rPr>
          <w:sz w:val="20"/>
          <w:szCs w:val="20"/>
          <w:color w:val="auto"/>
        </w:rPr>
      </w:pPr>
      <w:r>
        <w:rPr>
          <w:rFonts w:ascii="Courier New" w:cs="Courier New" w:eastAsia="Courier New" w:hAnsi="Courier New"/>
          <w:sz w:val="17"/>
          <w:szCs w:val="17"/>
          <w:color w:val="auto"/>
        </w:rPr>
        <w:t>The undersigned hereby ratifies and confirms all that said attorneys-in-fact and agents shall do or cause to be done by virtue hereof. The undersigned acknowledges that the foregoing attorneys-in-fact, in serving in such capacity at the request of the undersigned, are not assuming, nor is the Company assuming, any of the undersigned's responsibilities to comply with Section 16 of the Securities Exchange Act of 1934 (as amended).</w:t>
      </w:r>
    </w:p>
    <w:p>
      <w:pPr>
        <w:spacing w:after="0" w:line="88" w:lineRule="exact"/>
        <w:rPr>
          <w:sz w:val="20"/>
          <w:szCs w:val="20"/>
          <w:color w:val="auto"/>
        </w:rPr>
      </w:pPr>
    </w:p>
    <w:p>
      <w:pPr>
        <w:ind w:right="3019" w:firstLine="624"/>
        <w:spacing w:after="0" w:line="273" w:lineRule="auto"/>
        <w:rPr>
          <w:sz w:val="20"/>
          <w:szCs w:val="20"/>
          <w:color w:val="auto"/>
        </w:rPr>
      </w:pPr>
      <w:r>
        <w:rPr>
          <w:rFonts w:ascii="Courier New" w:cs="Courier New" w:eastAsia="Courier New" w:hAnsi="Courier New"/>
          <w:sz w:val="17"/>
          <w:szCs w:val="17"/>
          <w:color w:val="auto"/>
        </w:rPr>
        <w:t>This Limited Power of Attorney shall remain in full force and effect until the undersigned is no longer required to file Forms 3, 4 and 5 with respect to the undersigned's holdings of and transactions in securities issued by the Corporation unless earlier revoked by the undersigned in a writing delivered to the foregoing attorneys-in-fact.</w:t>
      </w:r>
    </w:p>
    <w:p>
      <w:pPr>
        <w:spacing w:after="0" w:line="85" w:lineRule="exact"/>
        <w:rPr>
          <w:sz w:val="20"/>
          <w:szCs w:val="20"/>
          <w:color w:val="auto"/>
        </w:rPr>
      </w:pPr>
    </w:p>
    <w:p>
      <w:pPr>
        <w:ind w:right="3659"/>
        <w:spacing w:after="0" w:line="373" w:lineRule="auto"/>
        <w:rPr>
          <w:sz w:val="20"/>
          <w:szCs w:val="20"/>
          <w:color w:val="auto"/>
        </w:rPr>
      </w:pPr>
      <w:r>
        <w:rPr>
          <w:rFonts w:ascii="Courier New" w:cs="Courier New" w:eastAsia="Courier New" w:hAnsi="Courier New"/>
          <w:sz w:val="17"/>
          <w:szCs w:val="17"/>
          <w:color w:val="auto"/>
        </w:rPr>
        <w:t>This Limited Power of Attorney is executed as of the date set forth below.</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Signature: /s/ Timothy Regan</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Print Name: Timothy Regan</w:t>
      </w:r>
    </w:p>
    <w:p>
      <w:pPr>
        <w:spacing w:after="0" w:line="39"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Dated: 1/25/2021</w:t>
      </w:r>
    </w:p>
    <w:sectPr>
      <w:pgSz w:w="11900" w:h="16838" w:orient="portrait"/>
      <w:cols w:equalWidth="0" w:num="1">
        <w:col w:w="9999"/>
      </w:cols>
      <w:pgMar w:left="46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34440" TargetMode="External"/><Relationship Id="rId13" Type="http://schemas.openxmlformats.org/officeDocument/2006/relationships/hyperlink" Target="http://www.sec.gov/cgi-bin/browse-edgar?action=getcompany&amp;CIK=000146762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2023-01-27T15:04:16Z</dcterms:created>
  <dcterms:modified xsi:type="dcterms:W3CDTF">2023-01-27T15:04:16Z</dcterms:modified>
</cp:coreProperties>
</file>