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27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February 19, 2026</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DROPBOX, INC.</w:t>
      </w:r>
    </w:p>
    <w:p>
      <w:pPr>
        <w:spacing w:after="0" w:line="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983" w:right="499" w:bottom="1440" w:gutter="0" w:footer="0" w:header="0"/>
        </w:sectPr>
      </w:pPr>
    </w:p>
    <w:p>
      <w:pPr>
        <w:spacing w:after="0" w:line="26"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3" w:lineRule="exact"/>
        <w:rPr>
          <w:sz w:val="24"/>
          <w:szCs w:val="24"/>
          <w:color w:val="auto"/>
        </w:rPr>
      </w:pPr>
    </w:p>
    <w:p>
      <w:pPr>
        <w:sectPr>
          <w:pgSz w:w="11900" w:h="16838" w:orient="portrait"/>
          <w:cols w:equalWidth="0" w:num="3">
            <w:col w:w="3860" w:space="720"/>
            <w:col w:w="2180" w:space="720"/>
            <w:col w:w="3600"/>
          </w:cols>
          <w:pgMar w:left="320" w:top="983" w:right="49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8"/>
          <w:szCs w:val="18"/>
          <w:b w:val="1"/>
          <w:bCs w:val="1"/>
          <w:color w:val="auto"/>
        </w:rPr>
        <w:t>incorporation)</w:t>
      </w:r>
    </w:p>
    <w:p>
      <w:pPr>
        <w:sectPr>
          <w:pgSz w:w="11900" w:h="16838" w:orient="portrait"/>
          <w:cols w:equalWidth="0" w:num="1">
            <w:col w:w="11080"/>
          </w:cols>
          <w:pgMar w:left="320" w:top="983" w:right="499" w:bottom="1440" w:gutter="0" w:footer="0" w:header="0"/>
          <w:type w:val="continuous"/>
        </w:sectPr>
      </w:pPr>
    </w:p>
    <w:p>
      <w:pPr>
        <w:spacing w:after="0" w:line="3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(415) 930-7766</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0" w:lineRule="exact"/>
        <w:rPr>
          <w:sz w:val="24"/>
          <w:szCs w:val="24"/>
          <w:color w:val="auto"/>
        </w:rPr>
      </w:pPr>
    </w:p>
    <w:p>
      <w:pPr>
        <w:spacing w:after="0" w:line="27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9"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85"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407670</wp:posOffset>
            </wp:positionH>
            <wp:positionV relativeFrom="paragraph">
              <wp:posOffset>94615</wp:posOffset>
            </wp:positionV>
            <wp:extent cx="62579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7925" cy="8890"/>
                    </a:xfrm>
                    <a:prstGeom prst="rect">
                      <a:avLst/>
                    </a:prstGeom>
                    <a:noFill/>
                  </pic:spPr>
                </pic:pic>
              </a:graphicData>
            </a:graphic>
          </wp:anchor>
        </w:drawing>
      </w:r>
    </w:p>
    <w:p>
      <w:pPr>
        <w:spacing w:after="0" w:line="170"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3260" w:type="dxa"/>
            <w:vAlign w:val="bottom"/>
            <w:gridSpan w:val="2"/>
          </w:tcPr>
          <w:p>
            <w:pPr>
              <w:jc w:val="center"/>
              <w:ind w:right="2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120" w:type="dxa"/>
            <w:vAlign w:val="bottom"/>
            <w:gridSpan w:val="2"/>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213"/>
        </w:trPr>
        <w:tc>
          <w:tcPr>
            <w:tcW w:w="4280" w:type="dxa"/>
            <w:vAlign w:val="bottom"/>
            <w:gridSpan w:val="3"/>
          </w:tcPr>
          <w:p>
            <w:pPr>
              <w:jc w:val="center"/>
              <w:ind w:right="116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6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83" w:lineRule="exact"/>
        <w:rPr>
          <w:sz w:val="24"/>
          <w:szCs w:val="24"/>
          <w:color w:val="auto"/>
        </w:rPr>
      </w:pPr>
    </w:p>
    <w:p>
      <w:pPr>
        <w:ind w:right="20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5"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315"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3"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February 19, 2026, Dropbox, Inc. (“Dropbox” or the “Company”) issued a press release and will hold a conference call announcing its financial results for the quarter and fiscal year ended December 31, 2025. A copy of the press release is attached as Exhibit 99.1 to this current report on Form 8-K and is incorporated by reference 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256" w:lineRule="exact"/>
        <w:rPr>
          <w:sz w:val="20"/>
          <w:szCs w:val="20"/>
          <w:color w:val="auto"/>
        </w:rPr>
      </w:pPr>
    </w:p>
    <w:p>
      <w:pPr>
        <w:ind w:right="820"/>
        <w:spacing w:after="0" w:line="266" w:lineRule="auto"/>
        <w:rPr>
          <w:sz w:val="20"/>
          <w:szCs w:val="20"/>
          <w:color w:val="auto"/>
        </w:rPr>
      </w:pPr>
      <w:r>
        <w:rPr>
          <w:rFonts w:ascii="Times New Roman" w:cs="Times New Roman" w:eastAsia="Times New Roman" w:hAnsi="Times New Roman"/>
          <w:sz w:val="18"/>
          <w:szCs w:val="18"/>
          <w:color w:val="auto"/>
        </w:rPr>
        <w:t>On February 19, 2026,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3"/>
        </w:trPr>
        <w:tc>
          <w:tcPr>
            <w:tcW w:w="20" w:type="dxa"/>
            <w:vAlign w:val="bottom"/>
          </w:tcPr>
          <w:p>
            <w:pPr>
              <w:spacing w:after="0"/>
              <w:rPr>
                <w:sz w:val="15"/>
                <w:szCs w:val="15"/>
                <w:color w:val="auto"/>
              </w:rPr>
            </w:pPr>
          </w:p>
        </w:tc>
        <w:tc>
          <w:tcPr>
            <w:tcW w:w="1100" w:type="dxa"/>
            <w:vAlign w:val="bottom"/>
            <w:tcBorders>
              <w:top w:val="single" w:sz="8" w:color="auto"/>
            </w:tcBorders>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4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Press Release entitled "Dropbox Announces Fourth Quarter and Fiscal 2025 Results" dated February 19, 2026</w:t>
            </w:r>
          </w:p>
        </w:tc>
        <w:tc>
          <w:tcPr>
            <w:tcW w:w="20" w:type="dxa"/>
            <w:vAlign w:val="bottom"/>
          </w:tcPr>
          <w:p>
            <w:pPr>
              <w:spacing w:after="0"/>
              <w:rPr>
                <w:sz w:val="15"/>
                <w:szCs w:val="15"/>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940" w:type="dxa"/>
            <w:vAlign w:val="bottom"/>
            <w:tcBorders>
              <w:top w:val="single" w:sz="8" w:color="0000FF"/>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19, 2026</w:t>
      </w:r>
    </w:p>
    <w:p>
      <w:pPr>
        <w:spacing w:after="0" w:line="35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 Ross Tennenbaum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14605</wp:posOffset>
            </wp:positionV>
            <wp:extent cx="2777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Ross Tennenbaum</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20"/>
          </w:cols>
          <w:pgMar w:left="320" w:top="887" w:right="559" w:bottom="1440" w:gutter="0" w:footer="0" w:header="0"/>
        </w:sectPr>
      </w:pPr>
    </w:p>
    <w:bookmarkStart w:id="3" w:name="page4"/>
    <w:bookmarkEnd w:id="3"/>
    <w:p>
      <w:pPr>
        <w:ind w:left="3620"/>
        <w:spacing w:after="0"/>
        <w:rPr>
          <w:sz w:val="20"/>
          <w:szCs w:val="20"/>
          <w:color w:val="auto"/>
        </w:rPr>
      </w:pPr>
      <w:r>
        <w:rPr>
          <w:rFonts w:ascii="Times New Roman" w:cs="Times New Roman" w:eastAsia="Times New Roman" w:hAnsi="Times New Roman"/>
          <w:sz w:val="18"/>
          <w:szCs w:val="18"/>
          <w:b w:val="1"/>
          <w:bCs w:val="1"/>
          <w:color w:val="auto"/>
        </w:rPr>
        <w:t>Dropbox Announces Fourth Quarter and Fiscal 2025 Results</w:t>
      </w:r>
    </w:p>
    <w:p>
      <w:pPr>
        <w:spacing w:after="0" w:line="256" w:lineRule="exact"/>
        <w:rPr>
          <w:sz w:val="20"/>
          <w:szCs w:val="20"/>
          <w:color w:val="auto"/>
        </w:rPr>
      </w:pPr>
    </w:p>
    <w:p>
      <w:pPr>
        <w:jc w:val="center"/>
        <w:ind w:left="400" w:right="1540"/>
        <w:spacing w:after="0" w:line="266" w:lineRule="auto"/>
        <w:rPr>
          <w:sz w:val="20"/>
          <w:szCs w:val="20"/>
          <w:color w:val="auto"/>
        </w:rPr>
      </w:pPr>
      <w:r>
        <w:rPr>
          <w:rFonts w:ascii="Times New Roman" w:cs="Times New Roman" w:eastAsia="Times New Roman" w:hAnsi="Times New Roman"/>
          <w:sz w:val="18"/>
          <w:szCs w:val="18"/>
          <w:color w:val="auto"/>
        </w:rPr>
        <w:t>Fourth Quarter GAAP Operating Margin of 25.5% and Non-GAAP Operating Margin of 38.2% Net Cash Provided by Operating Activities of $235.4 Million and Unlevered Free Cash Flow of $250.5 Million Revenue of $636.2 Million, down 1.1% year-over-year; excluding FormSwift, up 0.4% year-over-year</w:t>
      </w:r>
    </w:p>
    <w:p>
      <w:pPr>
        <w:spacing w:after="0" w:line="203" w:lineRule="exact"/>
        <w:rPr>
          <w:sz w:val="20"/>
          <w:szCs w:val="20"/>
          <w:color w:val="auto"/>
        </w:rPr>
      </w:pPr>
    </w:p>
    <w:p>
      <w:pPr>
        <w:jc w:val="center"/>
        <w:ind w:left="400" w:right="1580"/>
        <w:spacing w:after="0" w:line="266" w:lineRule="auto"/>
        <w:rPr>
          <w:sz w:val="20"/>
          <w:szCs w:val="20"/>
          <w:color w:val="auto"/>
        </w:rPr>
      </w:pPr>
      <w:r>
        <w:rPr>
          <w:rFonts w:ascii="Times New Roman" w:cs="Times New Roman" w:eastAsia="Times New Roman" w:hAnsi="Times New Roman"/>
          <w:sz w:val="18"/>
          <w:szCs w:val="18"/>
          <w:color w:val="auto"/>
        </w:rPr>
        <w:t>Fiscal 2025 GAAP Operating Margin of 27.3% and Non-GAAP Operating Margin of 40.6% Net Cash Provided by Operating Activities of $951.8 Million and Unlevered Free Cash flow of $1.016 Billion Revenue of $2.521 Billion, down 1.1% year-over-year; excluding FormSwift, up 0.2% year-over-year</w:t>
      </w:r>
    </w:p>
    <w:p>
      <w:pPr>
        <w:spacing w:after="0" w:line="200" w:lineRule="exact"/>
        <w:rPr>
          <w:sz w:val="20"/>
          <w:szCs w:val="20"/>
          <w:color w:val="auto"/>
        </w:rPr>
      </w:pPr>
    </w:p>
    <w:p>
      <w:pPr>
        <w:spacing w:after="0" w:line="24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 FRANCISCO, Calif. </w:t>
      </w:r>
      <w:r>
        <w:rPr>
          <w:rFonts w:ascii="Times New Roman" w:cs="Times New Roman" w:eastAsia="Times New Roman" w:hAnsi="Times New Roman"/>
          <w:sz w:val="18"/>
          <w:szCs w:val="18"/>
          <w:color w:val="auto"/>
        </w:rPr>
        <w:t>- February 19, 2026 - Dropbox, Inc. (NASDAQ: DBX), today announced financial results for its fourth quarter and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2025.</w:t>
      </w:r>
    </w:p>
    <w:p>
      <w:pPr>
        <w:spacing w:after="0" w:line="200" w:lineRule="exact"/>
        <w:rPr>
          <w:sz w:val="20"/>
          <w:szCs w:val="20"/>
          <w:color w:val="auto"/>
        </w:rPr>
      </w:pP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closed out 2025 on a strong note, exceeding the high end of our revenue and operating margin guidance and demonstrating our continued operating discipline,” said Drew Houston, Dropbox Co-Founder and Chief Executive Officer. “Last year, we began reshaping how we invest in and evolve the business, and we’re starting to see results. We’re strengthening our core FSS foundation while accelerating Dash—both as a standalone product and embedded across the core Dropbox experience. In 2026, we’ll build on this momentum by driving engagement and adoption of Dash and investing in future growth.”</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Fiscal 2025 Results Compared to Fourth Quarter 2024</w:t>
      </w:r>
    </w:p>
    <w:p>
      <w:pPr>
        <w:spacing w:after="0" w:line="256" w:lineRule="exact"/>
        <w:rPr>
          <w:sz w:val="20"/>
          <w:szCs w:val="20"/>
          <w:color w:val="auto"/>
        </w:rPr>
      </w:pPr>
    </w:p>
    <w:p>
      <w:pPr>
        <w:ind w:left="660" w:right="100" w:hanging="328"/>
        <w:spacing w:after="0" w:line="28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$636.2 million, down 1.1%. Excluding FormSwift, which we significantly reduced our investment in at the beginning of 2025 and plan to wind down operations by the end of 2026, revenue grew 0.4%. On a constant currency basis, revenue decreased by 1.6%.</w:t>
      </w:r>
      <w:r>
        <w:rPr>
          <w:rFonts w:ascii="Times New Roman" w:cs="Times New Roman" w:eastAsia="Times New Roman" w:hAnsi="Times New Roman"/>
          <w:sz w:val="23"/>
          <w:szCs w:val="23"/>
          <w:color w:val="auto"/>
          <w:vertAlign w:val="superscript"/>
        </w:rPr>
        <w:t>(1)</w:t>
      </w:r>
    </w:p>
    <w:p>
      <w:pPr>
        <w:spacing w:after="0" w:line="119" w:lineRule="exact"/>
        <w:rPr>
          <w:rFonts w:ascii="Times New Roman" w:cs="Times New Roman" w:eastAsia="Times New Roman" w:hAnsi="Times New Roman"/>
          <w:sz w:val="18"/>
          <w:szCs w:val="18"/>
          <w:color w:val="auto"/>
        </w:rPr>
      </w:pPr>
    </w:p>
    <w:p>
      <w:pPr>
        <w:ind w:left="660" w:right="480" w:hanging="328"/>
        <w:spacing w:after="0" w:line="28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ARR was $2.526 billion, a decrease of 1.9%. Excluding FormSwift, Total ARR was $2.504 billion, a decrease of 0.3%. On a constant currency basis, Total ARR decreased by 1.7%.</w:t>
      </w:r>
      <w:r>
        <w:rPr>
          <w:rFonts w:ascii="Times New Roman" w:cs="Times New Roman" w:eastAsia="Times New Roman" w:hAnsi="Times New Roman"/>
          <w:sz w:val="23"/>
          <w:szCs w:val="23"/>
          <w:color w:val="auto"/>
          <w:vertAlign w:val="superscript"/>
        </w:rPr>
        <w:t>(2)</w:t>
      </w:r>
    </w:p>
    <w:p>
      <w:pPr>
        <w:spacing w:after="0" w:line="1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users totaled 18.08 million, as compared to 18.22 million. Average revenue per paying user was $139.68, as compared to $140.06.</w:t>
      </w:r>
    </w:p>
    <w:p>
      <w:pPr>
        <w:spacing w:after="0" w:line="252"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was 79.2%, as compared to 81.2%. Non-GAAP gross margin was 80.8%, as compared to 83.1%. The decrease in gross margin is due to increased depreciation resulting from the Company's datacenter refresh cycle.</w:t>
      </w:r>
    </w:p>
    <w:p>
      <w:pPr>
        <w:spacing w:after="0" w:line="188"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margin was 25.5%, as compared to 13.7%, partially due to $47.2 million in expenses related to the Company's reduction in workforce, such as severance, benefits and other related items, which were incurred in the fourth quarter of 2024. Non-GAAP operating margin was 38.2%, as compared to 36.9%.</w:t>
      </w:r>
    </w:p>
    <w:p>
      <w:pPr>
        <w:spacing w:after="0" w:line="20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was $108.7 million, as compared to $102.8 million. Non-GAAP net income was $173.9 million, as compared to $222.6 million. The decrease is primarily due to an increase in the tax provision as well as interest expense related to our term loan facility entered into in the fourth quarter of 2024.</w:t>
      </w:r>
    </w:p>
    <w:p>
      <w:pPr>
        <w:spacing w:after="0" w:line="202"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$235.4 million, as compared to $213.8 million. Unlevered free cash flow was $250.5 million, as compared to $210.5 million. Cash flows in the fourth quarter of 2024 included $52.1 million of payments relating to the reduction in workforce including the pro rata amount of the fiscal year 2024 annual employee bonus.</w:t>
      </w:r>
    </w:p>
    <w:p>
      <w:pPr>
        <w:spacing w:after="0" w:line="202" w:lineRule="exact"/>
        <w:rPr>
          <w:rFonts w:ascii="Times New Roman" w:cs="Times New Roman" w:eastAsia="Times New Roman" w:hAnsi="Times New Roman"/>
          <w:sz w:val="18"/>
          <w:szCs w:val="18"/>
          <w:color w:val="auto"/>
        </w:rPr>
      </w:pPr>
    </w:p>
    <w:p>
      <w:pPr>
        <w:ind w:left="660" w:right="260" w:hanging="328"/>
        <w:spacing w:after="0" w:line="28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net income per share attributable to common stockholders was $0.43, as compared to $0.34. Non-GAAP diluted net income per share attributable to common stockholders was $0.68, as compared to $0.73.</w:t>
      </w:r>
      <w:r>
        <w:rPr>
          <w:rFonts w:ascii="Times New Roman" w:cs="Times New Roman" w:eastAsia="Times New Roman" w:hAnsi="Times New Roman"/>
          <w:sz w:val="23"/>
          <w:szCs w:val="23"/>
          <w:color w:val="auto"/>
          <w:vertAlign w:val="superscript"/>
        </w:rPr>
        <w:t>(3)</w:t>
      </w:r>
    </w:p>
    <w:p>
      <w:pPr>
        <w:spacing w:after="0" w:line="1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short-term investments ended at $1.038 billion.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the Company repurchased approximately 14.4 million shares for $414.6 million.</w:t>
      </w:r>
    </w:p>
    <w:p>
      <w:pPr>
        <w:sectPr>
          <w:pgSz w:w="11900" w:h="16838" w:orient="portrait"/>
          <w:cols w:equalWidth="0" w:num="1">
            <w:col w:w="11180"/>
          </w:cols>
          <w:pgMar w:left="320" w:top="887"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Full Year Fiscal 2025 Results Compared to Full Year 2024</w:t>
      </w:r>
    </w:p>
    <w:p>
      <w:pPr>
        <w:spacing w:after="0" w:line="256" w:lineRule="exact"/>
        <w:rPr>
          <w:sz w:val="20"/>
          <w:szCs w:val="20"/>
          <w:color w:val="auto"/>
        </w:rPr>
      </w:pPr>
    </w:p>
    <w:p>
      <w:pPr>
        <w:ind w:left="660" w:right="260" w:hanging="328"/>
        <w:spacing w:after="0" w:line="283" w:lineRule="auto"/>
        <w:tabs>
          <w:tab w:leader="none" w:pos="655"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revenue was $2.521 billion, down 1.1%. Excluding FormSwift, revenue grew 0.2%. On a constant currency basis, revenue decreased by 1.2%.</w:t>
      </w:r>
      <w:r>
        <w:rPr>
          <w:rFonts w:ascii="Times New Roman" w:cs="Times New Roman" w:eastAsia="Times New Roman" w:hAnsi="Times New Roman"/>
          <w:sz w:val="23"/>
          <w:szCs w:val="23"/>
          <w:color w:val="auto"/>
          <w:vertAlign w:val="superscript"/>
        </w:rPr>
        <w:t>(1)</w:t>
      </w:r>
    </w:p>
    <w:p>
      <w:pPr>
        <w:spacing w:after="0" w:line="11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per paying user was $138.91, as compared to $140.23.</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was 80.1%, as compared to 82.5%. Non-GAAP gross margin was 81.8%, as compared to 84.0%. Effective January 1, 2024, the Company changed the estimate of the useful lives of certain infrastructure server and component assets from four to five years which resulted in a $30.5 million benefit in depreciation expense in 2024.</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margin was 27.3%, as compared to 19.1%. Non-GAAP operating margin was 40.6%, as compared to 36.4%.</w:t>
      </w:r>
    </w:p>
    <w:p>
      <w:pPr>
        <w:spacing w:after="0" w:line="252"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was $508.4 million, as compared to $452.3 million. Non-GAAP net income was $775.4 million, as compared to $803.8 million.</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$951.8 million, as compared to $894.1 million. Unlevered free cash flow was $1.016 billion, as compared to $871.6 million.</w:t>
      </w:r>
    </w:p>
    <w:p>
      <w:pPr>
        <w:spacing w:after="0" w:line="188" w:lineRule="exact"/>
        <w:rPr>
          <w:rFonts w:ascii="Times New Roman" w:cs="Times New Roman" w:eastAsia="Times New Roman" w:hAnsi="Times New Roman"/>
          <w:sz w:val="18"/>
          <w:szCs w:val="18"/>
          <w:color w:val="auto"/>
        </w:rPr>
      </w:pPr>
    </w:p>
    <w:p>
      <w:pPr>
        <w:ind w:left="660" w:right="200" w:hanging="328"/>
        <w:spacing w:after="0" w:line="283"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net income per share attributable to common stockholders was $1.86, as compared to $1.40. Non-GAAP diluted net income per share attributable to common stockholders was $2.84, as compared to $2.49.</w:t>
      </w:r>
      <w:r>
        <w:rPr>
          <w:rFonts w:ascii="Times New Roman" w:cs="Times New Roman" w:eastAsia="Times New Roman" w:hAnsi="Times New Roman"/>
          <w:sz w:val="23"/>
          <w:szCs w:val="23"/>
          <w:color w:val="auto"/>
          <w:vertAlign w:val="superscript"/>
        </w:rPr>
        <w:t>(4)</w:t>
      </w:r>
    </w:p>
    <w:p>
      <w:pPr>
        <w:spacing w:after="0" w:line="1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fiscal year ended December 31, 2025, the Company repurchased approximately 60.4 million shares for $1.7 billion.</w:t>
      </w: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calculate constant currency revenue growth rates by applying the prior period weighted average exchange rates to current period results.</w:t>
      </w:r>
    </w:p>
    <w:p>
      <w:pPr>
        <w:spacing w:after="0" w:line="221" w:lineRule="exact"/>
        <w:rPr>
          <w:rFonts w:ascii="Times New Roman" w:cs="Times New Roman" w:eastAsia="Times New Roman" w:hAnsi="Times New Roman"/>
          <w:sz w:val="19"/>
          <w:szCs w:val="19"/>
          <w:color w:val="auto"/>
          <w:vertAlign w:val="superscript"/>
        </w:rPr>
      </w:pPr>
    </w:p>
    <w:p>
      <w:pPr>
        <w:jc w:val="both"/>
        <w:ind w:right="220" w:firstLine="8"/>
        <w:spacing w:after="0" w:line="287" w:lineRule="auto"/>
        <w:tabs>
          <w:tab w:leader="none" w:pos="149"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exchange rate to prior period results.</w:t>
      </w:r>
    </w:p>
    <w:p>
      <w:pPr>
        <w:spacing w:after="0" w:line="204" w:lineRule="exact"/>
        <w:rPr>
          <w:rFonts w:ascii="Times New Roman" w:cs="Times New Roman" w:eastAsia="Times New Roman" w:hAnsi="Times New Roman"/>
          <w:sz w:val="18"/>
          <w:szCs w:val="18"/>
          <w:color w:val="auto"/>
          <w:vertAlign w:val="superscript"/>
        </w:rPr>
      </w:pPr>
    </w:p>
    <w:p>
      <w:pPr>
        <w:ind w:right="220" w:firstLine="8"/>
        <w:spacing w:after="0" w:line="252" w:lineRule="auto"/>
        <w:tabs>
          <w:tab w:leader="none" w:pos="165"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GAAP and Non-GAAP diluted net income per share attributable to common stockholders is calculated based upon 254.2 million and 306.8 million diluted weighted-average shares outstanding of common stock for the three months ended December 31, 2025 and 2024, respectively.</w:t>
      </w:r>
    </w:p>
    <w:p>
      <w:pPr>
        <w:spacing w:after="0" w:line="210" w:lineRule="exact"/>
        <w:rPr>
          <w:rFonts w:ascii="Times New Roman" w:cs="Times New Roman" w:eastAsia="Times New Roman" w:hAnsi="Times New Roman"/>
          <w:sz w:val="20"/>
          <w:szCs w:val="20"/>
          <w:color w:val="auto"/>
          <w:vertAlign w:val="superscript"/>
        </w:rPr>
      </w:pPr>
    </w:p>
    <w:p>
      <w:pPr>
        <w:ind w:right="220" w:firstLine="8"/>
        <w:spacing w:after="0" w:line="272" w:lineRule="auto"/>
        <w:tabs>
          <w:tab w:leader="none" w:pos="165"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GAAP and Non-GAAP diluted net income per share attributable to common stockholders is calculated based upon 272.8 million and 323.4 million diluted weighted-average shares outstanding of common stock for the fiscal years ended December 31, 2025 and 2024, respectively.</w:t>
      </w:r>
    </w:p>
    <w:p>
      <w:pPr>
        <w:sectPr>
          <w:pgSz w:w="11900" w:h="16838" w:orient="portrait"/>
          <w:cols w:equalWidth="0" w:num="1">
            <w:col w:w="11120"/>
          </w:cols>
          <w:pgMar w:left="320" w:top="887"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5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 xml:space="preserve">Dropbox will provide forward-looking guidance in connection with this quarterly earnings announcement on its conference call, webcast, and on its investor relations website at </w:t>
      </w:r>
      <w:r>
        <w:rPr>
          <w:rFonts w:ascii="Times New Roman" w:cs="Times New Roman" w:eastAsia="Times New Roman" w:hAnsi="Times New Roman"/>
          <w:sz w:val="18"/>
          <w:szCs w:val="18"/>
          <w:u w:val="single" w:color="auto"/>
          <w:color w:val="auto"/>
        </w:rPr>
        <w:t>http://investors.dropbox.com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5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Dropbox plans to host a conference call today to review its fourth quarter and full year financial results and to discuss its financial outlook. This call is scheduled to begin at 2:00 p.m. PT / 5:00 p.m. ET and can be accessed by using the web link at http://investors.dropbox.com.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Dropbox</w:t>
      </w:r>
    </w:p>
    <w:p>
      <w:pPr>
        <w:spacing w:after="0" w:line="25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 xml:space="preserve">Dropbox is the one place to keep life organized and keep work moving. With more than 700 million registered users across approximately 180 countries, we're on a mission to design a more enlightened way of working. Dropbox is headquartered in San Francisco, CA, and has employees around the world. For more information on our mission and products, visit </w:t>
      </w:r>
      <w:r>
        <w:rPr>
          <w:rFonts w:ascii="Times New Roman" w:cs="Times New Roman" w:eastAsia="Times New Roman" w:hAnsi="Times New Roman"/>
          <w:sz w:val="18"/>
          <w:szCs w:val="18"/>
          <w:u w:val="single" w:color="auto"/>
          <w:color w:val="auto"/>
        </w:rPr>
        <w:t>http://dropbox.com</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among other things, our expectations regarding the performance of our Core FSS business as well as new product initiatives and adoption by current and new customers. Words such as "believe," "may," "will," "estimate," "continue," "anticipate," "intend," "expect," "plans," and similar expressions are intended to identify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risks, uncertainties, and assumptions including, but not limited to: (i) our ability to retain and upgrade paying users; (ii) our ability to attract new users or convert registered users to paying users; (iii) our expectations regarding general economic, political, and market trends and their respective impacts on our business; (iv) impacts to our financial results and business operations as a result of pricing and packaging changes to our subscription plans; (v) our future financial performance, including trends in revenue, costs of revenue, gross profit or gross margin, operating expenses, paying users, annual recurring revenue, average revenue per user, free cash flow, and the assumptions underlying such trends; (vi) our ability to achieve or maintain profitability; (vii) our ability to prevent security breaches and our liability or other potential legal, regulatory, or reputational consequences of any unauthorized access to our data or our customer data; (viii) significant disruption of service on our platform or loss of content; (ix) any decline in demand for our platform or for content collaboration solutions in general; (x) changes in the interoperability of our platform across devices, operating systems, and third-party applications that we do not control; (xi) our ability to compete successfully in competitive markets; (xii) our ability to respond to rapid technological changes, extend our platform, develop new features or products, or gain market acceptance for such new features or products; (xiii) our ability to improve quality and ease of adoption of our new and enhanced product experiences, features, and capabilities; (xiv) our expectations around future growth; (xv) our various acquisitions of companies and assets and the potential of such acquisitions to require significant management attention, disrupt our business, or dilute stockholder value; (xvi) our ability to attract, retain, integrate, and manage key and other highly qualified personnel, including as a result of our Virtual First model with an increasingly distributed workforce; (xvii) our capital allocation plans with respect to our stock repurchase program and other investments; and (xviii)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September 30, 2025. Additional information will be made available in our annual report on Form 10-K for the year ended December 31, 2025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240"/>
          </w:cols>
          <w:pgMar w:left="320" w:top="887" w:right="339" w:bottom="1440" w:gutter="0" w:footer="0" w:header="0"/>
        </w:sectPr>
      </w:pPr>
    </w:p>
    <w:bookmarkStart w:id="6" w:name="page7"/>
    <w:bookmarkEnd w:id="6"/>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Dropbox, Inc.</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9" w:lineRule="exact"/>
        <w:rPr>
          <w:sz w:val="20"/>
          <w:szCs w:val="20"/>
          <w:color w:val="auto"/>
        </w:rPr>
      </w:pPr>
    </w:p>
    <w:tbl>
      <w:tblPr>
        <w:tblLayout w:type="fixed"/>
        <w:tblInd w:w="32"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30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41"/>
        </w:trPr>
        <w:tc>
          <w:tcPr>
            <w:tcW w:w="39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2,548.2</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tcPr>
          <w:p>
            <w:pPr>
              <w:ind w:left="26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(1)(2)</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2,103.1</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(1)(2)</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914.9</w:t>
            </w:r>
          </w:p>
        </w:tc>
        <w:tc>
          <w:tcPr>
            <w:tcW w:w="0" w:type="dxa"/>
            <w:vAlign w:val="bottom"/>
          </w:tcPr>
          <w:p>
            <w:pPr>
              <w:spacing w:after="0"/>
              <w:rPr>
                <w:sz w:val="1"/>
                <w:szCs w:val="1"/>
                <w:color w:val="auto"/>
              </w:rPr>
            </w:pPr>
          </w:p>
        </w:tc>
      </w:tr>
      <w:tr>
        <w:trPr>
          <w:trHeight w:val="229"/>
        </w:trPr>
        <w:tc>
          <w:tcPr>
            <w:tcW w:w="39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(1)(2)</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(1)(2)</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Net (gain) loss on real estate assets</w:t>
            </w:r>
            <w:r>
              <w:rPr>
                <w:rFonts w:ascii="Times New Roman" w:cs="Times New Roman" w:eastAsia="Times New Roman" w:hAnsi="Times New Roman"/>
                <w:sz w:val="23"/>
                <w:szCs w:val="23"/>
                <w:color w:val="auto"/>
                <w:vertAlign w:val="superscript"/>
              </w:rPr>
              <w:t>(3)</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1,616.9</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ind w:right="9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0.43</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9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7"/>
                <w:szCs w:val="17"/>
                <w:color w:val="auto"/>
              </w:rPr>
            </w:pPr>
          </w:p>
        </w:tc>
        <w:tc>
          <w:tcPr>
            <w:tcW w:w="60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12"/>
          </w:cols>
          <w:pgMar w:left="328" w:top="891" w:right="359" w:bottom="1440" w:gutter="0" w:footer="0" w:header="0"/>
        </w:sectPr>
      </w:pPr>
    </w:p>
    <w:p>
      <w:pPr>
        <w:ind w:left="212" w:hanging="161"/>
        <w:spacing w:after="0" w:line="220" w:lineRule="auto"/>
        <w:rPr>
          <w:sz w:val="20"/>
          <w:szCs w:val="20"/>
          <w:color w:val="auto"/>
        </w:rPr>
      </w:pPr>
      <w:r>
        <w:rPr>
          <w:rFonts w:ascii="Times New Roman" w:cs="Times New Roman" w:eastAsia="Times New Roman" w:hAnsi="Times New Roman"/>
          <w:sz w:val="18"/>
          <w:szCs w:val="18"/>
          <w:color w:val="auto"/>
        </w:rPr>
        <w:t>Weighted-average shares used in computing net income per share attributable to common</w:t>
      </w:r>
    </w:p>
    <w:p>
      <w:pPr>
        <w:ind w:left="212"/>
        <w:spacing w:after="0"/>
        <w:rPr>
          <w:sz w:val="20"/>
          <w:szCs w:val="20"/>
          <w:color w:val="auto"/>
        </w:rPr>
      </w:pPr>
      <w:r>
        <w:rPr>
          <w:rFonts w:ascii="Times New Roman" w:cs="Times New Roman" w:eastAsia="Times New Roman" w:hAnsi="Times New Roman"/>
          <w:sz w:val="18"/>
          <w:szCs w:val="18"/>
          <w:color w:val="auto"/>
        </w:rPr>
        <w:t>stockholders, basic</w:t>
      </w:r>
    </w:p>
    <w:p>
      <w:pPr>
        <w:spacing w:after="0" w:line="7" w:lineRule="exact"/>
        <w:rPr>
          <w:sz w:val="20"/>
          <w:szCs w:val="20"/>
          <w:color w:val="auto"/>
        </w:rPr>
      </w:pPr>
    </w:p>
    <w:p>
      <w:pPr>
        <w:ind w:left="212" w:hanging="161"/>
        <w:spacing w:after="0" w:line="220" w:lineRule="auto"/>
        <w:rPr>
          <w:sz w:val="20"/>
          <w:szCs w:val="20"/>
          <w:color w:val="auto"/>
        </w:rPr>
      </w:pPr>
      <w:r>
        <w:rPr>
          <w:rFonts w:ascii="Times New Roman" w:cs="Times New Roman" w:eastAsia="Times New Roman" w:hAnsi="Times New Roman"/>
          <w:sz w:val="18"/>
          <w:szCs w:val="18"/>
          <w:color w:val="auto"/>
        </w:rPr>
        <w:t>Weighted-average shares used in computing net income per share attributable to common</w:t>
      </w:r>
    </w:p>
    <w:p>
      <w:pPr>
        <w:ind w:left="212"/>
        <w:spacing w:after="0"/>
        <w:rPr>
          <w:sz w:val="20"/>
          <w:szCs w:val="20"/>
          <w:color w:val="auto"/>
        </w:rPr>
      </w:pPr>
      <w:r>
        <w:rPr>
          <w:rFonts w:ascii="Times New Roman" w:cs="Times New Roman" w:eastAsia="Times New Roman" w:hAnsi="Times New Roman"/>
          <w:sz w:val="18"/>
          <w:szCs w:val="18"/>
          <w:color w:val="auto"/>
        </w:rPr>
        <w:t>stockholders, diluted</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2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w:t>
            </w:r>
          </w:p>
        </w:tc>
      </w:tr>
      <w:tr>
        <w:trPr>
          <w:trHeight w:val="21"/>
        </w:trPr>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533"/>
        </w:trPr>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20" w:type="dxa"/>
            <w:vAlign w:val="bottom"/>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2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-393700</wp:posOffset>
            </wp:positionV>
            <wp:extent cx="709803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3771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-762635</wp:posOffset>
            </wp:positionV>
            <wp:extent cx="4603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031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92" w:space="460"/>
            <w:col w:w="7260"/>
          </w:cols>
          <w:pgMar w:left="328" w:top="891" w:right="359" w:bottom="1440" w:gutter="0" w:footer="0" w:header="0"/>
          <w:type w:val="continuous"/>
        </w:sectPr>
      </w:pPr>
    </w:p>
    <w:p>
      <w:pPr>
        <w:spacing w:after="0" w:line="81" w:lineRule="exact"/>
        <w:rPr>
          <w:sz w:val="20"/>
          <w:szCs w:val="20"/>
          <w:color w:val="auto"/>
        </w:rPr>
      </w:pPr>
    </w:p>
    <w:p>
      <w:pPr>
        <w:ind w:left="172" w:hanging="172"/>
        <w:spacing w:after="0"/>
        <w:tabs>
          <w:tab w:leader="none" w:pos="172"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stock-based compensation expense as follows (in millions):</w:t>
      </w:r>
    </w:p>
    <w:p>
      <w:pPr>
        <w:spacing w:after="0" w:line="83" w:lineRule="exact"/>
        <w:rPr>
          <w:sz w:val="20"/>
          <w:szCs w:val="20"/>
          <w:color w:val="auto"/>
        </w:rPr>
      </w:pPr>
    </w:p>
    <w:tbl>
      <w:tblPr>
        <w:tblLayout w:type="fixed"/>
        <w:tblInd w:w="32" w:type="dxa"/>
        <w:tblCellMar>
          <w:top w:w="0" w:type="dxa"/>
          <w:left w:w="0" w:type="dxa"/>
          <w:bottom w:w="0" w:type="dxa"/>
          <w:right w:w="0" w:type="dxa"/>
        </w:tblCellMar>
      </w:tblPr>
      <w:tr>
        <w:trPr>
          <w:trHeight w:val="207"/>
        </w:trPr>
        <w:tc>
          <w:tcPr>
            <w:tcW w:w="3720" w:type="dxa"/>
            <w:vAlign w:val="bottom"/>
          </w:tcPr>
          <w:p>
            <w:pPr>
              <w:spacing w:after="0"/>
              <w:rPr>
                <w:sz w:val="18"/>
                <w:szCs w:val="18"/>
                <w:color w:val="auto"/>
              </w:rPr>
            </w:pPr>
          </w:p>
        </w:tc>
        <w:tc>
          <w:tcPr>
            <w:tcW w:w="31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600" w:type="dxa"/>
            <w:vAlign w:val="bottom"/>
          </w:tcPr>
          <w:p>
            <w:pPr>
              <w:spacing w:after="0"/>
              <w:rPr>
                <w:sz w:val="18"/>
                <w:szCs w:val="18"/>
                <w:color w:val="auto"/>
              </w:rPr>
            </w:pPr>
          </w:p>
        </w:tc>
      </w:tr>
      <w:tr>
        <w:trPr>
          <w:trHeight w:val="241"/>
        </w:trPr>
        <w:tc>
          <w:tcPr>
            <w:tcW w:w="37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Borders>
              <w:bottom w:val="single" w:sz="8" w:color="auto"/>
            </w:tcBorders>
          </w:tcPr>
          <w:p>
            <w:pPr>
              <w:spacing w:after="0"/>
              <w:rPr>
                <w:sz w:val="20"/>
                <w:szCs w:val="20"/>
                <w:color w:val="auto"/>
              </w:rPr>
            </w:pPr>
          </w:p>
        </w:tc>
      </w:tr>
      <w:tr>
        <w:trPr>
          <w:trHeight w:val="225"/>
        </w:trPr>
        <w:tc>
          <w:tcPr>
            <w:tcW w:w="37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r>
      <w:tr>
        <w:trPr>
          <w:trHeight w:val="223"/>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r>
      <w:tr>
        <w:trPr>
          <w:trHeight w:val="230"/>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3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48"/>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8" w:right="600" w:firstLine="8"/>
        <w:spacing w:after="0" w:line="306" w:lineRule="auto"/>
        <w:tabs>
          <w:tab w:leader="none" w:pos="141"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expenses related to our reduction in workforce in the fourth quarter of 2024, such as severance, benefits and other related items during the quarter ended December 31, 2024 and years ended December 31, 2025 and 2024.</w:t>
      </w:r>
    </w:p>
    <w:p>
      <w:pPr>
        <w:spacing w:after="0" w:line="30" w:lineRule="exact"/>
        <w:rPr>
          <w:rFonts w:ascii="Times New Roman" w:cs="Times New Roman" w:eastAsia="Times New Roman" w:hAnsi="Times New Roman"/>
          <w:sz w:val="18"/>
          <w:szCs w:val="18"/>
          <w:color w:val="auto"/>
          <w:vertAlign w:val="superscript"/>
        </w:rPr>
      </w:pPr>
    </w:p>
    <w:p>
      <w:pPr>
        <w:ind w:left="-8" w:right="280" w:firstLine="8"/>
        <w:spacing w:after="0" w:line="588" w:lineRule="auto"/>
        <w:tabs>
          <w:tab w:leader="none" w:pos="141"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gain or impairment loss related to real estate assets as a result of our Virtual First work model. For the quarter and year ended December 31, 2025, the gain is primarily resulting from a reduction of the liability for unrecoverable common area maintenance costs from sublease activity at our San Francisco, California corporate headquarters.</w:t>
      </w:r>
    </w:p>
    <w:p>
      <w:pPr>
        <w:sectPr>
          <w:pgSz w:w="11900" w:h="16838" w:orient="portrait"/>
          <w:cols w:equalWidth="0" w:num="1">
            <w:col w:w="11212"/>
          </w:cols>
          <w:pgMar w:left="328" w:top="891" w:right="35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ind w:left="516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40" w:type="dxa"/>
            <w:vAlign w:val="bottom"/>
            <w:tcBorders>
              <w:bottom w:val="single" w:sz="8" w:color="auto"/>
            </w:tcBorders>
          </w:tcPr>
          <w:p>
            <w:pPr>
              <w:spacing w:after="0"/>
              <w:rPr>
                <w:sz w:val="20"/>
                <w:szCs w:val="20"/>
                <w:color w:val="auto"/>
              </w:rPr>
            </w:pPr>
          </w:p>
        </w:tc>
      </w:tr>
      <w:tr>
        <w:trPr>
          <w:trHeight w:val="223"/>
        </w:trPr>
        <w:tc>
          <w:tcPr>
            <w:tcW w:w="6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0" w:type="dxa"/>
            <w:vAlign w:val="bottom"/>
          </w:tcPr>
          <w:p>
            <w:pPr>
              <w:spacing w:after="0"/>
              <w:rPr>
                <w:sz w:val="19"/>
                <w:szCs w:val="19"/>
                <w:color w:val="auto"/>
              </w:rPr>
            </w:pPr>
          </w:p>
        </w:tc>
        <w:tc>
          <w:tcPr>
            <w:tcW w:w="1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w:t>
            </w:r>
          </w:p>
        </w:tc>
      </w:tr>
      <w:tr>
        <w:trPr>
          <w:trHeight w:val="230"/>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29"/>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9"/>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1,738.4</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3,325.2</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7"/>
        </w:trPr>
        <w:tc>
          <w:tcPr>
            <w:tcW w:w="66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30"/>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29"/>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30"/>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30"/>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obligation</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29"/>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 current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net, current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727.7</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1,210.8</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 non-current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 net, non-current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1,381.6</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net, non-current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r>
      <w:tr>
        <w:trPr>
          <w:trHeight w:val="2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4,077.6</w:t>
            </w:r>
          </w:p>
        </w:tc>
      </w:tr>
      <w:tr>
        <w:trPr>
          <w:trHeight w:val="21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2,404.2</w:t>
            </w:r>
          </w:p>
        </w:tc>
      </w:tr>
      <w:tr>
        <w:trPr>
          <w:trHeight w:val="229"/>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(3,146.5)</w:t>
            </w:r>
          </w:p>
        </w:tc>
      </w:tr>
      <w:tr>
        <w:trPr>
          <w:trHeight w:val="230"/>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(752.4)</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3,325.2</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891"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ind w:left="518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188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214"/>
        </w:trPr>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8"/>
                <w:szCs w:val="18"/>
                <w:color w:val="auto"/>
              </w:rPr>
            </w:pPr>
          </w:p>
        </w:tc>
        <w:tc>
          <w:tcPr>
            <w:tcW w:w="188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0"/>
        </w:trPr>
        <w:tc>
          <w:tcPr>
            <w:tcW w:w="70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w:t>
            </w: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w:t>
            </w:r>
          </w:p>
        </w:tc>
      </w:tr>
      <w:tr>
        <w:trPr>
          <w:trHeight w:val="21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w:t>
            </w: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(gain) loss on real estate assets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(gain) loss on equity investments</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1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and other receivables, net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1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21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lease termination</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07"/>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951.8</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894.1</w:t>
            </w:r>
          </w:p>
        </w:tc>
      </w:tr>
      <w:tr>
        <w:trPr>
          <w:trHeight w:val="19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r>
      <w:tr>
        <w:trPr>
          <w:trHeight w:val="21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w:t>
            </w:r>
          </w:p>
        </w:tc>
      </w:tr>
      <w:tr>
        <w:trPr>
          <w:trHeight w:val="21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w:t>
            </w: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sales of equity investments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receipts from equipment rebates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13"/>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w:t>
            </w:r>
          </w:p>
        </w:tc>
      </w:tr>
      <w:tr>
        <w:trPr>
          <w:trHeight w:val="19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term loan facility</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 and loan commitment fees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1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against term loan facility</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taxes related to net share settlement of restricted stock units and awards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w:t>
            </w:r>
          </w:p>
        </w:tc>
      </w:tr>
      <w:tr>
        <w:trPr>
          <w:trHeight w:val="21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net of taxes withheld</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w:t>
            </w:r>
          </w:p>
        </w:tc>
      </w:tr>
      <w:tr>
        <w:trPr>
          <w:trHeight w:val="21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repurchases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(1,241.6)</w:t>
            </w:r>
          </w:p>
        </w:tc>
      </w:tr>
      <w:tr>
        <w:trPr>
          <w:trHeight w:val="213"/>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Payment of acquisition-related indemnification holdback</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1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(586.6)</w:t>
            </w:r>
          </w:p>
        </w:tc>
      </w:tr>
      <w:tr>
        <w:trPr>
          <w:trHeight w:val="207"/>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745.6</w:t>
            </w:r>
          </w:p>
        </w:tc>
      </w:tr>
      <w:tr>
        <w:trPr>
          <w:trHeight w:val="214"/>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 beginning of period</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614.9</w:t>
            </w:r>
          </w:p>
        </w:tc>
      </w:tr>
      <w:tr>
        <w:trPr>
          <w:trHeight w:val="234"/>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1,360.5</w:t>
            </w:r>
          </w:p>
        </w:tc>
      </w:tr>
      <w:tr>
        <w:trPr>
          <w:trHeight w:val="22"/>
        </w:trPr>
        <w:tc>
          <w:tcPr>
            <w:tcW w:w="7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data:</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r>
      <w:tr>
        <w:trPr>
          <w:trHeight w:val="207"/>
        </w:trPr>
        <w:tc>
          <w:tcPr>
            <w:tcW w:w="7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and equipment acquired under finance leases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w:t>
            </w:r>
          </w:p>
        </w:tc>
      </w:tr>
      <w:tr>
        <w:trPr>
          <w:trHeight w:val="23"/>
        </w:trPr>
        <w:tc>
          <w:tcPr>
            <w:tcW w:w="7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891" w:right="339" w:bottom="1440" w:gutter="0" w:footer="0" w:header="0"/>
        </w:sectPr>
      </w:pPr>
    </w:p>
    <w:bookmarkStart w:id="9" w:name="page10"/>
    <w:bookmarkEnd w:id="9"/>
    <w:p>
      <w:pPr>
        <w:ind w:left="5040"/>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Three Months Ended December 31, 2025</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Reconciliation of GAAP to Non-GAAP results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Stock-based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Acquisition-related</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Net gain on real</w:t>
            </w: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and other expenses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estate assets</w:t>
            </w:r>
            <w:r>
              <w:rPr>
                <w:rFonts w:ascii="Times New Roman" w:cs="Times New Roman" w:eastAsia="Times New Roman" w:hAnsi="Times New Roman"/>
                <w:sz w:val="23"/>
                <w:szCs w:val="23"/>
                <w:b w:val="1"/>
                <w:bCs w:val="1"/>
                <w:color w:val="auto"/>
                <w:vertAlign w:val="superscript"/>
              </w:rPr>
              <w:t>(1)</w:t>
            </w: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Research and</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8"/>
              </w:rPr>
              <w:t>(1.2)</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176"/>
        </w:trPr>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Research and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development margin</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146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Sales and marketing</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General and</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176"/>
        </w:trPr>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General and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administrative margin</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146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gain on real estate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3.9</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Net gain on real estate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assets margin</w:t>
            </w:r>
          </w:p>
        </w:tc>
        <w:tc>
          <w:tcPr>
            <w:tcW w:w="2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7"/>
              </w:rPr>
              <w:t>0.6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5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(3.9)</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36"/>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ind w:right="140" w:firstLine="8"/>
        <w:spacing w:after="0" w:line="272" w:lineRule="auto"/>
        <w:tabs>
          <w:tab w:leader="none" w:pos="165"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gain on real estate related assets as a result of our Virtual First work model, primarily resulting from a reduction of the liability for unrecoverable common area maintenance costs due to sublease activity at our San Francisco, California corporate headquarters.</w:t>
      </w:r>
    </w:p>
    <w:p>
      <w:pPr>
        <w:sectPr>
          <w:pgSz w:w="11900" w:h="16838" w:orient="portrait"/>
          <w:cols w:equalWidth="0" w:num="1">
            <w:col w:w="11220"/>
          </w:cols>
          <w:pgMar w:left="320" w:top="882" w:right="359" w:bottom="1440" w:gutter="0" w:footer="0" w:header="0"/>
        </w:sectPr>
      </w:pPr>
    </w:p>
    <w:bookmarkStart w:id="10" w:name="page11"/>
    <w:bookmarkEnd w:id="10"/>
    <w:p>
      <w:pPr>
        <w:ind w:left="5040"/>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Three Months Ended December 31, 2024</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Reconciliation of GAAP to Non-GAAP results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Stock-based</w:t>
            </w:r>
          </w:p>
        </w:tc>
        <w:tc>
          <w:tcPr>
            <w:tcW w:w="176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Acquisition-related</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Net loss on</w:t>
            </w: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Workforce</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760" w:type="dxa"/>
            <w:vAlign w:val="bottom"/>
            <w:gridSpan w:val="5"/>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real estate</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reduction</w:t>
            </w:r>
          </w:p>
        </w:tc>
        <w:tc>
          <w:tcPr>
            <w:tcW w:w="10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7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and other expenses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center"/>
              <w:ind w:right="200"/>
              <w:spacing w:after="0" w:line="243" w:lineRule="exact"/>
              <w:rPr>
                <w:sz w:val="20"/>
                <w:szCs w:val="20"/>
                <w:color w:val="auto"/>
              </w:rPr>
            </w:pPr>
            <w:r>
              <w:rPr>
                <w:rFonts w:ascii="Times New Roman" w:cs="Times New Roman" w:eastAsia="Times New Roman" w:hAnsi="Times New Roman"/>
                <w:sz w:val="18"/>
                <w:szCs w:val="18"/>
                <w:b w:val="1"/>
                <w:bCs w:val="1"/>
                <w:color w:val="auto"/>
                <w:w w:val="93"/>
              </w:rPr>
              <w:t xml:space="preserve">assets </w:t>
            </w:r>
            <w:r>
              <w:rPr>
                <w:rFonts w:ascii="Times New Roman" w:cs="Times New Roman" w:eastAsia="Times New Roman" w:hAnsi="Times New Roman"/>
                <w:sz w:val="23"/>
                <w:szCs w:val="23"/>
                <w:b w:val="1"/>
                <w:bCs w:val="1"/>
                <w:color w:val="auto"/>
                <w:w w:val="93"/>
                <w:vertAlign w:val="superscript"/>
              </w:rPr>
              <w:t>(1)</w:t>
            </w:r>
          </w:p>
        </w:tc>
        <w:tc>
          <w:tcPr>
            <w:tcW w:w="160" w:type="dxa"/>
            <w:vAlign w:val="bottom"/>
          </w:tcPr>
          <w:p>
            <w:pPr>
              <w:spacing w:after="0"/>
              <w:rPr>
                <w:sz w:val="21"/>
                <w:szCs w:val="21"/>
                <w:color w:val="auto"/>
              </w:rPr>
            </w:pPr>
          </w:p>
        </w:tc>
        <w:tc>
          <w:tcPr>
            <w:tcW w:w="120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18"/>
                <w:szCs w:val="18"/>
                <w:b w:val="1"/>
                <w:bCs w:val="1"/>
                <w:color w:val="auto"/>
                <w:w w:val="94"/>
              </w:rPr>
              <w:t>expense</w:t>
            </w:r>
            <w:r>
              <w:rPr>
                <w:rFonts w:ascii="Times New Roman" w:cs="Times New Roman" w:eastAsia="Times New Roman" w:hAnsi="Times New Roman"/>
                <w:sz w:val="23"/>
                <w:szCs w:val="23"/>
                <w:b w:val="1"/>
                <w:bCs w:val="1"/>
                <w:color w:val="auto"/>
                <w:w w:val="94"/>
                <w:vertAlign w:val="superscript"/>
              </w:rPr>
              <w:t>(2)</w:t>
            </w:r>
          </w:p>
        </w:tc>
        <w:tc>
          <w:tcPr>
            <w:tcW w:w="10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534.7</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83.1 %</w:t>
            </w: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Research and</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(9.6)</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Research and</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development margin</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176"/>
        </w:trPr>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Sales and marketing</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General and</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(0.1)</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176"/>
        </w:trPr>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General and</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administrative margin</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on real estate</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Net loss on real estate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assets margin</w:t>
            </w:r>
          </w:p>
        </w:tc>
        <w:tc>
          <w:tcPr>
            <w:tcW w:w="18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1"/>
                <w:szCs w:val="21"/>
                <w:color w:val="auto"/>
              </w:rPr>
            </w:pPr>
          </w:p>
        </w:tc>
        <w:tc>
          <w:tcPr>
            <w:tcW w:w="124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7"/>
              </w:rPr>
              <w:t>9.7</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36"/>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7"/>
              </w:rPr>
              <w:t>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impairment loss related to real estate assets as a result of our Virtual First work model.</w:t>
      </w:r>
    </w:p>
    <w:p>
      <w:pPr>
        <w:spacing w:after="0" w:line="192"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expenses related to our reduction in workforce in the fourth quarter of 2024, such as severance, benefits and other related items.</w:t>
      </w:r>
    </w:p>
    <w:p>
      <w:pPr>
        <w:sectPr>
          <w:pgSz w:w="11900" w:h="16838" w:orient="portrait"/>
          <w:cols w:equalWidth="0" w:num="1">
            <w:col w:w="11220"/>
          </w:cols>
          <w:pgMar w:left="320" w:top="882" w:right="359" w:bottom="1440" w:gutter="0" w:footer="0" w:header="0"/>
        </w:sectPr>
      </w:pPr>
    </w:p>
    <w:bookmarkStart w:id="11" w:name="page12"/>
    <w:bookmarkEnd w:id="11"/>
    <w:p>
      <w:pPr>
        <w:ind w:left="5040"/>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3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Twelve Months Ended December 31, 2025</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Reconciliation of GAAP to Non-GAAP results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Stock-based</w:t>
            </w: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Net gain 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Workforce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720" w:type="dxa"/>
            <w:vAlign w:val="bottom"/>
            <w:gridSpan w:val="5"/>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related and other</w:t>
            </w: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4"/>
          </w:tcPr>
          <w:p>
            <w:pPr>
              <w:jc w:val="center"/>
              <w:ind w:right="2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real estate</w:t>
            </w:r>
          </w:p>
        </w:tc>
        <w:tc>
          <w:tcPr>
            <w:tcW w:w="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reduction</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0" w:type="dxa"/>
            <w:vAlign w:val="bottom"/>
          </w:tcPr>
          <w:p>
            <w:pPr>
              <w:spacing w:after="0"/>
              <w:rPr>
                <w:sz w:val="1"/>
                <w:szCs w:val="1"/>
                <w:color w:val="auto"/>
              </w:rPr>
            </w:pPr>
          </w:p>
        </w:tc>
      </w:tr>
      <w:tr>
        <w:trPr>
          <w:trHeight w:val="243"/>
        </w:trPr>
        <w:tc>
          <w:tcPr>
            <w:tcW w:w="1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3"/>
              </w:rPr>
              <w:t>assets</w:t>
            </w:r>
            <w:r>
              <w:rPr>
                <w:rFonts w:ascii="Times New Roman" w:cs="Times New Roman" w:eastAsia="Times New Roman" w:hAnsi="Times New Roman"/>
                <w:sz w:val="23"/>
                <w:szCs w:val="23"/>
                <w:b w:val="1"/>
                <w:bCs w:val="1"/>
                <w:color w:val="auto"/>
                <w:w w:val="93"/>
                <w:vertAlign w:val="superscript"/>
              </w:rPr>
              <w:t>(1)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18"/>
                <w:szCs w:val="18"/>
                <w:b w:val="1"/>
                <w:bCs w:val="1"/>
                <w:color w:val="auto"/>
              </w:rPr>
              <w:t>expense</w:t>
            </w:r>
            <w:r>
              <w:rPr>
                <w:rFonts w:ascii="Times New Roman" w:cs="Times New Roman" w:eastAsia="Times New Roman" w:hAnsi="Times New Roman"/>
                <w:sz w:val="23"/>
                <w:szCs w:val="23"/>
                <w:b w:val="1"/>
                <w:bCs w:val="1"/>
                <w:color w:val="auto"/>
                <w:vertAlign w:val="superscript"/>
              </w:rPr>
              <w:t>(2)</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458.1</w:t>
            </w:r>
          </w:p>
        </w:tc>
        <w:tc>
          <w:tcPr>
            <w:tcW w:w="0" w:type="dxa"/>
            <w:vAlign w:val="bottom"/>
          </w:tcPr>
          <w:p>
            <w:pPr>
              <w:spacing w:after="0"/>
              <w:rPr>
                <w:sz w:val="1"/>
                <w:szCs w:val="1"/>
                <w:color w:val="auto"/>
              </w:rPr>
            </w:pPr>
          </w:p>
        </w:tc>
      </w:tr>
      <w:tr>
        <w:trPr>
          <w:trHeight w:val="176"/>
        </w:trPr>
        <w:tc>
          <w:tcPr>
            <w:tcW w:w="1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Cost of revenue</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2,020.2</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2,062.9</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0" w:type="dxa"/>
            <w:vAlign w:val="bottom"/>
          </w:tcPr>
          <w:p>
            <w:pPr>
              <w:spacing w:after="0"/>
              <w:rPr>
                <w:sz w:val="1"/>
                <w:szCs w:val="1"/>
                <w:color w:val="auto"/>
              </w:rPr>
            </w:pPr>
          </w:p>
        </w:tc>
      </w:tr>
      <w:tr>
        <w:trPr>
          <w:trHeight w:val="176"/>
        </w:trPr>
        <w:tc>
          <w:tcPr>
            <w:tcW w:w="1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Research and</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(211.2)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513.6</w:t>
            </w:r>
          </w:p>
        </w:tc>
        <w:tc>
          <w:tcPr>
            <w:tcW w:w="0" w:type="dxa"/>
            <w:vAlign w:val="bottom"/>
          </w:tcPr>
          <w:p>
            <w:pPr>
              <w:spacing w:after="0"/>
              <w:rPr>
                <w:sz w:val="1"/>
                <w:szCs w:val="1"/>
                <w:color w:val="auto"/>
              </w:rPr>
            </w:pPr>
          </w:p>
        </w:tc>
      </w:tr>
      <w:tr>
        <w:trPr>
          <w:trHeight w:val="176"/>
        </w:trPr>
        <w:tc>
          <w:tcPr>
            <w:tcW w:w="1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Research and</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development margin</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29"/>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344.7</w:t>
            </w:r>
          </w:p>
        </w:tc>
        <w:tc>
          <w:tcPr>
            <w:tcW w:w="0" w:type="dxa"/>
            <w:vAlign w:val="bottom"/>
          </w:tcPr>
          <w:p>
            <w:pPr>
              <w:spacing w:after="0"/>
              <w:rPr>
                <w:sz w:val="1"/>
                <w:szCs w:val="1"/>
                <w:color w:val="auto"/>
              </w:rPr>
            </w:pPr>
          </w:p>
        </w:tc>
      </w:tr>
      <w:tr>
        <w:trPr>
          <w:trHeight w:val="176"/>
        </w:trPr>
        <w:tc>
          <w:tcPr>
            <w:tcW w:w="1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Sales and marketing</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176"/>
        </w:trPr>
        <w:tc>
          <w:tcPr>
            <w:tcW w:w="1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General and</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176"/>
        </w:trPr>
        <w:tc>
          <w:tcPr>
            <w:tcW w:w="1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General and</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administrative</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12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176"/>
        </w:trPr>
        <w:tc>
          <w:tcPr>
            <w:tcW w:w="1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gain on real</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estate assets</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Net gain on real</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estate assets margin</w:t>
            </w:r>
          </w:p>
        </w:tc>
        <w:tc>
          <w:tcPr>
            <w:tcW w:w="3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1"/>
                <w:szCs w:val="21"/>
                <w:color w:val="auto"/>
              </w:rPr>
            </w:pPr>
          </w:p>
        </w:tc>
        <w:tc>
          <w:tcPr>
            <w:tcW w:w="15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5"/>
        </w:trPr>
        <w:tc>
          <w:tcPr>
            <w:tcW w:w="1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from</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300.8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(1.3)</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1,023.9</w:t>
            </w:r>
          </w:p>
        </w:tc>
        <w:tc>
          <w:tcPr>
            <w:tcW w:w="0" w:type="dxa"/>
            <w:vAlign w:val="bottom"/>
          </w:tcPr>
          <w:p>
            <w:pPr>
              <w:spacing w:after="0"/>
              <w:rPr>
                <w:sz w:val="1"/>
                <w:szCs w:val="1"/>
                <w:color w:val="auto"/>
              </w:rPr>
            </w:pPr>
          </w:p>
        </w:tc>
      </w:tr>
      <w:tr>
        <w:trPr>
          <w:trHeight w:val="236"/>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40" w:firstLine="8"/>
        <w:spacing w:after="0" w:line="272" w:lineRule="auto"/>
        <w:tabs>
          <w:tab w:leader="none" w:pos="165"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gain on real estate related assets as a result of our Virtual First work model, primarily resulting from a reduction of the liability for unrecoverable common area maintenance costs due to sublease activity at our San Francisco, California corporate headquarters.</w:t>
      </w:r>
    </w:p>
    <w:p>
      <w:pPr>
        <w:spacing w:after="0" w:line="148" w:lineRule="exact"/>
        <w:rPr>
          <w:rFonts w:ascii="Times New Roman" w:cs="Times New Roman" w:eastAsia="Times New Roman" w:hAnsi="Times New Roman"/>
          <w:sz w:val="20"/>
          <w:szCs w:val="20"/>
          <w:color w:val="auto"/>
          <w:vertAlign w:val="superscript"/>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expenses related to our reduction in workforce in the fourth quarter of 2024, such as severance, benefits and other related items.</w:t>
      </w:r>
    </w:p>
    <w:p>
      <w:pPr>
        <w:sectPr>
          <w:pgSz w:w="11900" w:h="16838" w:orient="portrait"/>
          <w:cols w:equalWidth="0" w:num="1">
            <w:col w:w="11220"/>
          </w:cols>
          <w:pgMar w:left="320" w:top="882" w:right="359" w:bottom="1440" w:gutter="0" w:footer="0" w:header="0"/>
        </w:sectPr>
      </w:pPr>
    </w:p>
    <w:bookmarkStart w:id="12" w:name="page13"/>
    <w:bookmarkEnd w:id="12"/>
    <w:p>
      <w:pPr>
        <w:ind w:left="5040"/>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3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Twelve Months Ended December 31, 2024</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Reconciliation of GAAP to Non-GAAP results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Stock-based</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loss on real</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Workforce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60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related and other</w:t>
            </w: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reduction</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18"/>
                <w:szCs w:val="18"/>
                <w:b w:val="1"/>
                <w:bCs w:val="1"/>
                <w:color w:val="auto"/>
              </w:rPr>
              <w:t>estate assets</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18"/>
                <w:szCs w:val="18"/>
                <w:b w:val="1"/>
                <w:bCs w:val="1"/>
                <w:color w:val="auto"/>
              </w:rPr>
              <w:t>expense</w:t>
            </w:r>
            <w:r>
              <w:rPr>
                <w:rFonts w:ascii="Times New Roman" w:cs="Times New Roman" w:eastAsia="Times New Roman" w:hAnsi="Times New Roman"/>
                <w:sz w:val="23"/>
                <w:szCs w:val="23"/>
                <w:b w:val="1"/>
                <w:bCs w:val="1"/>
                <w:color w:val="auto"/>
                <w:vertAlign w:val="superscript"/>
              </w:rPr>
              <w:t>(2)</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445.1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406.7</w:t>
            </w:r>
          </w:p>
        </w:tc>
        <w:tc>
          <w:tcPr>
            <w:tcW w:w="0" w:type="dxa"/>
            <w:vAlign w:val="bottom"/>
          </w:tcPr>
          <w:p>
            <w:pPr>
              <w:spacing w:after="0"/>
              <w:rPr>
                <w:sz w:val="1"/>
                <w:szCs w:val="1"/>
                <w:color w:val="auto"/>
              </w:rPr>
            </w:pPr>
          </w:p>
        </w:tc>
      </w:tr>
      <w:tr>
        <w:trPr>
          <w:trHeight w:val="229"/>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2,141.5</w:t>
            </w:r>
          </w:p>
        </w:tc>
        <w:tc>
          <w:tcPr>
            <w:tcW w:w="0" w:type="dxa"/>
            <w:vAlign w:val="bottom"/>
          </w:tcPr>
          <w:p>
            <w:pPr>
              <w:spacing w:after="0"/>
              <w:rPr>
                <w:sz w:val="1"/>
                <w:szCs w:val="1"/>
                <w:color w:val="auto"/>
              </w:rPr>
            </w:pPr>
          </w:p>
        </w:tc>
      </w:tr>
      <w:tr>
        <w:trPr>
          <w:trHeight w:val="229"/>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84.0 %</w:t>
            </w:r>
          </w:p>
        </w:tc>
        <w:tc>
          <w:tcPr>
            <w:tcW w:w="0" w:type="dxa"/>
            <w:vAlign w:val="bottom"/>
          </w:tcPr>
          <w:p>
            <w:pPr>
              <w:spacing w:after="0"/>
              <w:rPr>
                <w:sz w:val="1"/>
                <w:szCs w:val="1"/>
                <w:color w:val="auto"/>
              </w:rPr>
            </w:pPr>
          </w:p>
        </w:tc>
      </w:tr>
      <w:tr>
        <w:trPr>
          <w:trHeight w:val="176"/>
        </w:trPr>
        <w:tc>
          <w:tcPr>
            <w:tcW w:w="1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Research and</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914.9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(247.6)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618.1</w:t>
            </w:r>
          </w:p>
        </w:tc>
        <w:tc>
          <w:tcPr>
            <w:tcW w:w="0" w:type="dxa"/>
            <w:vAlign w:val="bottom"/>
          </w:tcPr>
          <w:p>
            <w:pPr>
              <w:spacing w:after="0"/>
              <w:rPr>
                <w:sz w:val="1"/>
                <w:szCs w:val="1"/>
                <w:color w:val="auto"/>
              </w:rPr>
            </w:pPr>
          </w:p>
        </w:tc>
      </w:tr>
      <w:tr>
        <w:trPr>
          <w:trHeight w:val="176"/>
        </w:trPr>
        <w:tc>
          <w:tcPr>
            <w:tcW w:w="1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Research and</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development margin</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411.8</w:t>
            </w:r>
          </w:p>
        </w:tc>
        <w:tc>
          <w:tcPr>
            <w:tcW w:w="0" w:type="dxa"/>
            <w:vAlign w:val="bottom"/>
          </w:tcPr>
          <w:p>
            <w:pPr>
              <w:spacing w:after="0"/>
              <w:rPr>
                <w:sz w:val="1"/>
                <w:szCs w:val="1"/>
                <w:color w:val="auto"/>
              </w:rPr>
            </w:pPr>
          </w:p>
        </w:tc>
      </w:tr>
      <w:tr>
        <w:trPr>
          <w:trHeight w:val="175"/>
        </w:trPr>
        <w:tc>
          <w:tcPr>
            <w:tcW w:w="1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Sales and marketing</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176"/>
        </w:trPr>
        <w:tc>
          <w:tcPr>
            <w:tcW w:w="1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General and</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r>
        <w:trPr>
          <w:trHeight w:val="176"/>
        </w:trPr>
        <w:tc>
          <w:tcPr>
            <w:tcW w:w="1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General and</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administrative margin</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176"/>
        </w:trPr>
        <w:tc>
          <w:tcPr>
            <w:tcW w:w="1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on real estate</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Net loss on real estate</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assets margin</w:t>
            </w:r>
          </w:p>
        </w:tc>
        <w:tc>
          <w:tcPr>
            <w:tcW w:w="2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14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21"/>
                <w:szCs w:val="21"/>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1"/>
                <w:szCs w:val="21"/>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5"/>
        </w:trPr>
        <w:tc>
          <w:tcPr>
            <w:tcW w:w="1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from</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486.2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346.5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927.5</w:t>
            </w:r>
          </w:p>
        </w:tc>
        <w:tc>
          <w:tcPr>
            <w:tcW w:w="0" w:type="dxa"/>
            <w:vAlign w:val="bottom"/>
          </w:tcPr>
          <w:p>
            <w:pPr>
              <w:spacing w:after="0"/>
              <w:rPr>
                <w:sz w:val="1"/>
                <w:szCs w:val="1"/>
                <w:color w:val="auto"/>
              </w:rPr>
            </w:pPr>
          </w:p>
        </w:tc>
      </w:tr>
      <w:tr>
        <w:trPr>
          <w:trHeight w:val="236"/>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impairment loss related to real estate assets as a result of our Virtual First work model.</w:t>
      </w:r>
    </w:p>
    <w:p>
      <w:pPr>
        <w:spacing w:after="0" w:line="192"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expenses related to our reduction in workforce in the fourth quarter of 2024, such as severance, benefits and other related items.</w:t>
      </w:r>
    </w:p>
    <w:p>
      <w:pPr>
        <w:sectPr>
          <w:pgSz w:w="11900" w:h="16838" w:orient="portrait"/>
          <w:cols w:equalWidth="0" w:num="1">
            <w:col w:w="11220"/>
          </w:cols>
          <w:pgMar w:left="320" w:top="882" w:right="359" w:bottom="1440" w:gutter="0" w:footer="0" w:header="0"/>
        </w:sectPr>
      </w:pPr>
    </w:p>
    <w:bookmarkStart w:id="13" w:name="page14"/>
    <w:bookmarkEnd w:id="13"/>
    <w:p>
      <w:pPr>
        <w:ind w:left="5040"/>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3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b w:val="1"/>
          <w:bCs w:val="1"/>
          <w:color w:val="auto"/>
        </w:rPr>
        <w:t>Three and Twelve Months Ended December 31, 2025 and 2024</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Reconciliation of GAAP net income to Non-GAAP net income and Non-GAAP diluted net income per share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3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7"/>
                <w:szCs w:val="17"/>
                <w:color w:val="auto"/>
              </w:rPr>
            </w:pPr>
          </w:p>
        </w:tc>
        <w:tc>
          <w:tcPr>
            <w:tcW w:w="29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41"/>
        </w:trPr>
        <w:tc>
          <w:tcPr>
            <w:tcW w:w="45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5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income</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and other expenses</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real estate assets</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Workforce reduction expense</w:t>
            </w:r>
          </w:p>
        </w:tc>
        <w:tc>
          <w:tcPr>
            <w:tcW w:w="10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equity investments</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effects of non-GAAP adjustments</w:t>
            </w: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Non-GAAP diluted net income per share</w:t>
            </w:r>
          </w:p>
        </w:tc>
        <w:tc>
          <w:tcPr>
            <w:tcW w:w="1060" w:type="dxa"/>
            <w:vAlign w:val="bottom"/>
            <w:tcBorders>
              <w:bottom w:val="single" w:sz="8" w:color="auto"/>
            </w:tcBorders>
          </w:tcPr>
          <w:p>
            <w:pPr>
              <w:jc w:val="right"/>
              <w:ind w:right="8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to compute Non-GAAP diluted</w:t>
            </w:r>
          </w:p>
        </w:tc>
        <w:tc>
          <w:tcPr>
            <w:tcW w:w="10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0" w:type="dxa"/>
            <w:vAlign w:val="bottom"/>
          </w:tcPr>
          <w:p>
            <w:pPr>
              <w:spacing w:after="0"/>
              <w:rPr>
                <w:sz w:val="1"/>
                <w:szCs w:val="1"/>
                <w:color w:val="auto"/>
              </w:rPr>
            </w:pPr>
          </w:p>
        </w:tc>
      </w:tr>
      <w:tr>
        <w:trPr>
          <w:trHeight w:val="236"/>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0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Dropbox,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Three and Twelve Months Ended December 31, 2025 and 2024</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Reconciliation of unlevered free cash flow and supplemental cash flow disclosure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millions, except for percentages)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8"/>
                <w:szCs w:val="18"/>
                <w:color w:val="auto"/>
              </w:rPr>
            </w:pPr>
          </w:p>
        </w:tc>
        <w:tc>
          <w:tcPr>
            <w:tcW w:w="30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38"/>
        </w:trPr>
        <w:tc>
          <w:tcPr>
            <w:tcW w:w="42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Unlevered free cash flow reconciliation:</w:t>
            </w:r>
          </w:p>
        </w:tc>
        <w:tc>
          <w:tcPr>
            <w:tcW w:w="10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235.4</w:t>
            </w:r>
          </w:p>
        </w:tc>
        <w:tc>
          <w:tcPr>
            <w:tcW w:w="116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213.8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951.8</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894.1</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224.9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210.5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930.8</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871.6</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Free cash flow margin</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35.4 %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32.7 %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36.9 %</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34.2 %</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2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Cash paid for interest on debt, net of the associated tax</w:t>
            </w: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w:t>
            </w:r>
          </w:p>
        </w:tc>
        <w:tc>
          <w:tcPr>
            <w:tcW w:w="10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Unlevered free cash flow</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250.5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210.5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871.6</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2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2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Key employee holdback payments related to</w:t>
            </w:r>
          </w:p>
        </w:tc>
        <w:tc>
          <w:tcPr>
            <w:tcW w:w="1040" w:type="dxa"/>
            <w:vAlign w:val="bottom"/>
            <w:vMerge w:val="restart"/>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vMerge w:val="restart"/>
            <w:shd w:val="clear" w:color="auto" w:fill="CCEEFF"/>
          </w:tcPr>
          <w:p>
            <w:pPr>
              <w:spacing w:after="0"/>
              <w:rPr>
                <w:sz w:val="15"/>
                <w:szCs w:val="15"/>
                <w:color w:val="auto"/>
              </w:rPr>
            </w:pPr>
          </w:p>
        </w:tc>
        <w:tc>
          <w:tcPr>
            <w:tcW w:w="1060" w:type="dxa"/>
            <w:vAlign w:val="bottom"/>
            <w:vMerge w:val="restart"/>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1"/>
        </w:trPr>
        <w:tc>
          <w:tcPr>
            <w:tcW w:w="4220" w:type="dxa"/>
            <w:vAlign w:val="bottom"/>
            <w:tcBorders>
              <w:bottom w:val="single" w:sz="8" w:color="CCEEFF"/>
            </w:tcBorders>
            <w:shd w:val="clear" w:color="auto" w:fill="CCEEFF"/>
          </w:tcPr>
          <w:p>
            <w:pPr>
              <w:ind w:left="220"/>
              <w:spacing w:after="0" w:line="211" w:lineRule="exact"/>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Payments related to workforce reduction</w:t>
            </w:r>
            <w:r>
              <w:rPr>
                <w:rFonts w:ascii="Times New Roman" w:cs="Times New Roman" w:eastAsia="Times New Roman" w:hAnsi="Times New Roman"/>
                <w:sz w:val="23"/>
                <w:szCs w:val="23"/>
                <w:color w:val="auto"/>
                <w:vertAlign w:val="superscript"/>
              </w:rPr>
              <w:t>(2)</w:t>
            </w:r>
          </w:p>
        </w:tc>
        <w:tc>
          <w:tcPr>
            <w:tcW w:w="1040" w:type="dxa"/>
            <w:vAlign w:val="bottom"/>
            <w:tcBorders>
              <w:top w:val="single" w:sz="8" w:color="auto"/>
              <w:bottom w:val="single" w:sz="8" w:color="auto"/>
            </w:tcBorders>
          </w:tcPr>
          <w:p>
            <w:pPr>
              <w:jc w:val="right"/>
              <w:ind w:right="8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8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220" w:type="dxa"/>
            <w:vAlign w:val="bottom"/>
            <w:tcBorders>
              <w:bottom w:val="single" w:sz="8" w:color="CCEEFF"/>
            </w:tcBorders>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Cash paid for lease termination</w:t>
            </w:r>
            <w:r>
              <w:rPr>
                <w:rFonts w:ascii="Times New Roman" w:cs="Times New Roman" w:eastAsia="Times New Roman" w:hAnsi="Times New Roman"/>
                <w:sz w:val="23"/>
                <w:szCs w:val="23"/>
                <w:color w:val="auto"/>
                <w:vertAlign w:val="superscript"/>
              </w:rPr>
              <w:t>(3)</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right="340" w:firstLine="8"/>
        <w:spacing w:after="0" w:line="251" w:lineRule="auto"/>
        <w:tabs>
          <w:tab w:leader="none" w:pos="163"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payments related to employee holdbacks pertaining to our acquisitions included in cash flows from operating activities. The related expenses are recognized within research and development expenses over the required service periods.</w:t>
      </w:r>
    </w:p>
    <w:p>
      <w:pPr>
        <w:spacing w:after="0" w:line="225" w:lineRule="exact"/>
        <w:rPr>
          <w:rFonts w:ascii="Times New Roman" w:cs="Times New Roman" w:eastAsia="Times New Roman" w:hAnsi="Times New Roman"/>
          <w:sz w:val="19"/>
          <w:szCs w:val="19"/>
          <w:color w:val="auto"/>
          <w:vertAlign w:val="superscript"/>
        </w:rPr>
      </w:pPr>
    </w:p>
    <w:p>
      <w:pPr>
        <w:ind w:right="40" w:firstLine="8"/>
        <w:spacing w:after="0" w:line="251" w:lineRule="auto"/>
        <w:tabs>
          <w:tab w:leader="none" w:pos="163"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payments made related to our reduction in workforce in the fourth quarter of 2024, such as severance, benefits, and other related items. During the quarter ended December 31, 2024 and years ended December 31, 2025 and 2024, total cash payments included the accrued pro rata amount of annual employee bonus.</w:t>
      </w:r>
    </w:p>
    <w:p>
      <w:pPr>
        <w:sectPr>
          <w:pgSz w:w="11900" w:h="16838" w:orient="portrait"/>
          <w:cols w:equalWidth="0" w:num="1">
            <w:col w:w="11220"/>
          </w:cols>
          <w:pgMar w:left="320" w:top="882" w:right="359" w:bottom="1440" w:gutter="0" w:footer="0" w:header="0"/>
        </w:sectPr>
      </w:pPr>
    </w:p>
    <w:bookmarkStart w:id="14" w:name="page15"/>
    <w:bookmarkEnd w:id="14"/>
    <w:p>
      <w:pPr>
        <w:ind w:left="180" w:hanging="172"/>
        <w:spacing w:after="0"/>
        <w:tabs>
          <w:tab w:leader="none" w:pos="18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payments made for the partial lease termination of our San Francisco, California corporate headquarters during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Non-GAAP Financial Measures</w:t>
      </w:r>
    </w:p>
    <w:p>
      <w:pPr>
        <w:spacing w:after="0" w:line="25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unlevered FCF and non-GAAP diluted net income per share. We also present various margins, all of which are calculated as the applicable non-GAAP financial measure divided by revenue. We have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acquisition-related and other expenses, which include third-party diligence costs, expenses related to key employee holdback agreements, net (gain) loss on real estate assets, expenses related to our reduction in workforce, net (gain) loss on equity investments and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Unlevered FCF represents net cash provided by operating activities adjusted for cash paid for capital expenditures and cash paid for interest on indebtedness and is calculated by adding cash paid for interest on debt, net of the associated tax benefit, to FCF. In order to present revenue on a constant currency basis for the quarter ended December 31, 2025, we calculate constant currency revenue growth rates by applying the prior period weighted average exchange rates to current period results. We calculate constant currency Total ARR growth rates by applying the current period rate to prior period results. We present constant currency information to provide a framework for assessing how our underlying business performed excluding the effect of foreign currency rate fluctuations. We have also presented revenue and total ARR excluding FormSwift because we significantly reduced our investment at the beginning of 2025 and plan to wind down operations by the end of 2026, which we believe provides a useful view of our ongoing results of operations.</w:t>
      </w:r>
    </w:p>
    <w:p>
      <w:pPr>
        <w:spacing w:after="0" w:line="2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21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FCF is an indicator of our liquidity over the long term and provides useful information regarding cash provided by operating activities and cash used for investments in property and equipment required to maintain and grow our business. Unlevered FCF provides additional information about our liquidity adjusted for the impact of our capital structure. FCF and unlevered FCF are presented for supplemental informational purposes only and should not be considered a substitute for financial information presented in accordance with GAAP. FCF and unlevered FCF each have limitations as analytical tools, and neither metric should be considered in isolation or as a substitute for analysis of other GAAP financial measures, such as net cash provided by operating activities. Some of the limitations of FCF and unlevered FCF are that they each do not reflect our future contractual commitments, exclude investments made to acquire assets under finance leases, include capital expenditures, and may be calculated differently by other companies in our industry, limiting their respective usefulness as comparative measures.</w:t>
      </w:r>
    </w:p>
    <w:p>
      <w:pPr>
        <w:spacing w:after="0" w:line="2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use of non-GAAP cost of revenue, gross profit, operating expenses, income from operations, net income, free cash flow, unlevered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expenses related to key employee holdback payments related to our various acquisitions, payments related to workforce reduction and cash paid for lease termination. These non-GAAP financial measures should be considered in addition to, not as a substitute for or in isolation from, measures prepared in accordance with GAAP. Further, these</w:t>
      </w:r>
    </w:p>
    <w:p>
      <w:pPr>
        <w:sectPr>
          <w:pgSz w:w="11900" w:h="16838" w:orient="portrait"/>
          <w:cols w:equalWidth="0" w:num="1">
            <w:col w:w="11240"/>
          </w:cols>
          <w:pgMar w:left="320" w:top="1107" w:right="339" w:bottom="1440" w:gutter="0" w:footer="0" w:header="0"/>
        </w:sectPr>
      </w:pPr>
    </w:p>
    <w:bookmarkStart w:id="15" w:name="page16"/>
    <w:bookmarkEnd w:id="15"/>
    <w:p>
      <w:pPr>
        <w:spacing w:after="0" w:line="312" w:lineRule="auto"/>
        <w:rPr>
          <w:sz w:val="20"/>
          <w:szCs w:val="20"/>
          <w:color w:val="auto"/>
        </w:rPr>
      </w:pPr>
      <w:r>
        <w:rPr>
          <w:rFonts w:ascii="Times New Roman" w:cs="Times New Roman" w:eastAsia="Times New Roman" w:hAnsi="Times New Roman"/>
          <w:sz w:val="17"/>
          <w:szCs w:val="17"/>
          <w:color w:val="auto"/>
        </w:rPr>
        <w:t>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180"/>
          </w:cols>
          <w:pgMar w:left="320" w:top="891"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Stabler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ir@dropbox.com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Maddy Pelton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press@dropbox.com</w:t>
      </w:r>
    </w:p>
    <w:sectPr>
      <w:pgSz w:w="11900" w:h="16838" w:orient="portrait"/>
      <w:cols w:equalWidth="0" w:num="1">
        <w:col w:w="10139"/>
      </w:cols>
      <w:pgMar w:left="320" w:top="8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lvl>
    <w:lvl w:ilvl="1">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2026-02-19T15:47:48Z</dcterms:created>
  <dcterms:modified xsi:type="dcterms:W3CDTF">2026-02-19T15:47:48Z</dcterms:modified>
</cp:coreProperties>
</file>