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1491209.xml.htm"/>
      <w:bookmarkStart w:id="1" w:name="kswkform4_17514912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06/30/2025</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w:t>
            </w:r>
            <w:r>
              <w:rPr/>
              <w:t xml:space="preserve"> </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526,094</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27.9392</w:t>
            </w:r>
            <w:r>
              <w:rPr>
                <w:rFonts w:ascii="Times;serif" w:hAnsi="Times;serif"/>
                <w:color w:val="008000"/>
                <w:position w:val="7"/>
                <w:sz w:val="16"/>
                <w:sz w:val="20"/>
                <w:shd w:fill="FFFFFF" w:val="clear"/>
              </w:rPr>
              <w:t>(3)</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516,094</w:t>
            </w:r>
            <w:r>
              <w:rPr>
                <w:rFonts w:ascii="Times;serif" w:hAnsi="Times;serif"/>
                <w:color w:val="008000"/>
                <w:position w:val="7"/>
                <w:sz w:val="16"/>
                <w:sz w:val="20"/>
                <w:shd w:fill="FFFFFF" w:val="clear"/>
              </w:rPr>
              <w:t>(2)</w:t>
            </w:r>
            <w:r>
              <w:rPr/>
              <w:t xml:space="preserve"> </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sold pursuant to a Rule 10b5-1 trading plan adopted by the Reporting Person on May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2029. In the event the Reporting Person ceases to be a Service Provider, the unvested restricted stock awards and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$27.67 to $28.27.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pPr>
      <w:bookmarkStart w:id="2" w:name="section16powerofattorney.htm"/>
      <w:bookmarkStart w:id="3" w:name="kssection16powerofattorney"/>
      <w:bookmarkEnd w:id="2"/>
      <w:bookmarkEnd w:id="3"/>
      <w:r>
        <w:rPr/>
        <w:drawing>
          <wp:inline distT="0" distB="0" distL="0" distR="0">
            <wp:extent cx="10077450"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77450"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34440"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729</Words>
  <Characters>3934</Characters>
  <CharactersWithSpaces>4599</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section16powerofattorney</dc:title>
</cp:coreProperties>
</file>