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5304155</wp:posOffset>
            </wp:positionH>
            <wp:positionV relativeFrom="paragraph">
              <wp:posOffset>-603250</wp:posOffset>
            </wp:positionV>
            <wp:extent cx="8255" cy="603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88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-611505</wp:posOffset>
            </wp:positionV>
            <wp:extent cx="8255" cy="612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4022725</wp:posOffset>
            </wp:positionH>
            <wp:positionV relativeFrom="paragraph">
              <wp:posOffset>-586740</wp:posOffset>
            </wp:positionV>
            <wp:extent cx="1264920" cy="563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920" cy="5632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27940</wp:posOffset>
            </wp:positionV>
            <wp:extent cx="6968490" cy="1868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86880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Regan Timothy</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08/17/2020</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1" w:right="640" w:hanging="1"/>
        <w:spacing w:after="0" w:line="23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21"/>
        <w:spacing w:after="0"/>
        <w:rPr>
          <w:sz w:val="20"/>
          <w:szCs w:val="20"/>
          <w:color w:val="auto"/>
        </w:rPr>
      </w:pPr>
      <w:r>
        <w:rPr>
          <w:rFonts w:ascii="Arial" w:cs="Arial" w:eastAsia="Arial" w:hAnsi="Arial"/>
          <w:sz w:val="17"/>
          <w:szCs w:val="17"/>
          <w:color w:val="0000FF"/>
        </w:rPr>
        <w:t>Chief Accounting Officer</w:t>
      </w:r>
    </w:p>
    <w:p>
      <w:pPr>
        <w:spacing w:after="0" w:line="536" w:lineRule="exact"/>
        <w:rPr>
          <w:sz w:val="24"/>
          <w:szCs w:val="24"/>
          <w:color w:val="auto"/>
        </w:rPr>
      </w:pPr>
    </w:p>
    <w:p>
      <w:pPr>
        <w:sectPr>
          <w:pgSz w:w="11900" w:h="16838" w:orient="portrait"/>
          <w:cols w:equalWidth="0" w:num="3">
            <w:col w:w="3180" w:space="720"/>
            <w:col w:w="3119" w:space="720"/>
            <w:col w:w="3341"/>
          </w:cols>
          <w:pgMar w:left="460" w:top="221" w:right="359" w:bottom="1440" w:gutter="0" w:footer="0" w:header="0"/>
          <w:type w:val="continuous"/>
        </w:sectPr>
      </w:pPr>
    </w:p>
    <w:p>
      <w:pPr>
        <w:spacing w:after="0" w:line="13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2" w:lineRule="exact"/>
        <w:rPr>
          <w:sz w:val="24"/>
          <w:szCs w:val="24"/>
          <w:color w:val="auto"/>
        </w:rPr>
      </w:pPr>
    </w:p>
    <w:p>
      <w:pPr>
        <w:ind w:left="120" w:right="200"/>
        <w:spacing w:after="0"/>
        <w:rPr>
          <w:sz w:val="20"/>
          <w:szCs w:val="20"/>
          <w:color w:val="auto"/>
        </w:rPr>
      </w:pPr>
      <w:r>
        <w:rPr>
          <w:rFonts w:ascii="Arial" w:cs="Arial" w:eastAsia="Arial" w:hAnsi="Arial"/>
          <w:sz w:val="33"/>
          <w:szCs w:val="33"/>
          <w:color w:val="0000FF"/>
          <w:vertAlign w:val="superscript"/>
        </w:rPr>
        <w:t>SAN</w:t>
      </w:r>
      <w:r>
        <w:rPr>
          <w:rFonts w:ascii="Arial" w:cs="Arial" w:eastAsia="Arial" w:hAnsi="Arial"/>
          <w:sz w:val="17"/>
          <w:szCs w:val="17"/>
          <w:color w:val="0000FF"/>
        </w:rPr>
        <w:t xml:space="preserve"> CA 94158 FRANCISCO</w:t>
      </w:r>
    </w:p>
    <w:p>
      <w:pPr>
        <w:spacing w:after="0" w:line="34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6"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264795</wp:posOffset>
            </wp:positionV>
            <wp:extent cx="6968490" cy="1297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8490" cy="1297305"/>
                    </a:xfrm>
                    <a:prstGeom prst="rect">
                      <a:avLst/>
                    </a:prstGeom>
                    <a:noFill/>
                  </pic:spPr>
                </pic:pic>
              </a:graphicData>
            </a:graphic>
          </wp:anchor>
        </w:drawing>
      </w:r>
    </w:p>
    <w:p>
      <w:pPr>
        <w:spacing w:after="0" w:line="476" w:lineRule="exact"/>
        <w:rPr>
          <w:sz w:val="24"/>
          <w:szCs w:val="24"/>
          <w:color w:val="auto"/>
        </w:rPr>
      </w:pPr>
    </w:p>
    <w:p>
      <w:pPr>
        <w:sectPr>
          <w:pgSz w:w="11900" w:h="16838" w:orient="portrait"/>
          <w:cols w:equalWidth="0" w:num="2">
            <w:col w:w="3180" w:space="72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8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0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08/17/2020</w:t>
            </w:r>
          </w:p>
        </w:tc>
        <w:tc>
          <w:tcPr>
            <w:tcW w:w="9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C</w:t>
            </w:r>
          </w:p>
        </w:tc>
        <w:tc>
          <w:tcPr>
            <w:tcW w:w="70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0"/>
              </w:rPr>
              <w:t>4,088</w:t>
            </w:r>
            <w:r>
              <w:rPr>
                <w:rFonts w:ascii="Arial" w:cs="Arial" w:eastAsia="Arial" w:hAnsi="Arial"/>
                <w:sz w:val="21"/>
                <w:szCs w:val="21"/>
                <w:color w:val="008000"/>
                <w:w w:val="80"/>
                <w:vertAlign w:val="superscript"/>
              </w:rPr>
              <w:t>(1)</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30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144,134</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08/17/2020</w:t>
            </w:r>
          </w:p>
        </w:tc>
        <w:tc>
          <w:tcPr>
            <w:tcW w:w="9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0"/>
              </w:rPr>
              <w:t>4,082</w:t>
            </w:r>
            <w:r>
              <w:rPr>
                <w:rFonts w:ascii="Arial" w:cs="Arial" w:eastAsia="Arial" w:hAnsi="Arial"/>
                <w:sz w:val="21"/>
                <w:szCs w:val="21"/>
                <w:color w:val="008000"/>
                <w:w w:val="80"/>
                <w:vertAlign w:val="superscript"/>
              </w:rPr>
              <w:t>(3)</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19.5</w:t>
            </w:r>
          </w:p>
        </w:tc>
        <w:tc>
          <w:tcPr>
            <w:tcW w:w="1300" w:type="dxa"/>
            <w:vAlign w:val="bottom"/>
            <w:tcBorders>
              <w:bottom w:val="single" w:sz="8" w:color="2C2C2C"/>
            </w:tcBorders>
            <w:gridSpan w:val="3"/>
          </w:tcPr>
          <w:p>
            <w:pPr>
              <w:ind w:left="340"/>
              <w:spacing w:after="0"/>
              <w:rPr>
                <w:sz w:val="20"/>
                <w:szCs w:val="20"/>
                <w:color w:val="auto"/>
              </w:rPr>
            </w:pPr>
            <w:r>
              <w:rPr>
                <w:rFonts w:ascii="Arial" w:cs="Arial" w:eastAsia="Arial" w:hAnsi="Arial"/>
                <w:sz w:val="17"/>
                <w:szCs w:val="17"/>
                <w:color w:val="0000FF"/>
              </w:rPr>
              <w:t>140,052</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9"/>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(1)</w:t>
            </w:r>
          </w:p>
        </w:tc>
        <w:tc>
          <w:tcPr>
            <w:tcW w:w="620" w:type="dxa"/>
            <w:vAlign w:val="bottom"/>
          </w:tcPr>
          <w:p>
            <w:pPr>
              <w:jc w:val="center"/>
              <w:ind w:right="37"/>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4,088</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3"/>
                <w:szCs w:val="13"/>
                <w:color w:val="0000FF"/>
              </w:rPr>
              <w:t>8,412</w:t>
            </w:r>
            <w:r>
              <w:rPr>
                <w:rFonts w:ascii="Arial" w:cs="Arial" w:eastAsia="Arial" w:hAnsi="Arial"/>
                <w:sz w:val="21"/>
                <w:szCs w:val="21"/>
                <w:color w:val="008000"/>
                <w:vertAlign w:val="superscript"/>
              </w:rPr>
              <w:t>(4)</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Arial" w:cs="Arial" w:eastAsia="Arial" w:hAnsi="Arial"/>
                <w:sz w:val="13"/>
                <w:szCs w:val="13"/>
                <w:color w:val="0000FF"/>
              </w:rPr>
              <w:t>08/17/2020</w:t>
            </w:r>
          </w:p>
        </w:tc>
        <w:tc>
          <w:tcPr>
            <w:tcW w:w="1120" w:type="dxa"/>
            <w:vAlign w:val="bottom"/>
          </w:tcPr>
          <w:p>
            <w:pPr>
              <w:spacing w:after="0"/>
              <w:rPr>
                <w:sz w:val="12"/>
                <w:szCs w:val="12"/>
                <w:color w:val="auto"/>
              </w:rPr>
            </w:pPr>
          </w:p>
        </w:tc>
        <w:tc>
          <w:tcPr>
            <w:tcW w:w="740" w:type="dxa"/>
            <w:vAlign w:val="bottom"/>
          </w:tcPr>
          <w:p>
            <w:pPr>
              <w:ind w:left="160"/>
              <w:spacing w:after="0" w:line="141" w:lineRule="exact"/>
              <w:rPr>
                <w:sz w:val="20"/>
                <w:szCs w:val="20"/>
                <w:color w:val="auto"/>
              </w:rPr>
            </w:pPr>
            <w:r>
              <w:rPr>
                <w:rFonts w:ascii="Arial" w:cs="Arial" w:eastAsia="Arial" w:hAnsi="Arial"/>
                <w:sz w:val="13"/>
                <w:szCs w:val="13"/>
                <w:color w:val="0000FF"/>
              </w:rPr>
              <w:t>C</w:t>
            </w:r>
          </w:p>
        </w:tc>
        <w:tc>
          <w:tcPr>
            <w:tcW w:w="980" w:type="dxa"/>
            <w:vAlign w:val="bottom"/>
          </w:tcPr>
          <w:p>
            <w:pPr>
              <w:jc w:val="right"/>
              <w:ind w:right="141"/>
              <w:spacing w:after="0" w:line="141" w:lineRule="exact"/>
              <w:rPr>
                <w:sz w:val="20"/>
                <w:szCs w:val="20"/>
                <w:color w:val="auto"/>
              </w:rPr>
            </w:pPr>
            <w:r>
              <w:rPr>
                <w:rFonts w:ascii="Arial" w:cs="Arial" w:eastAsia="Arial" w:hAnsi="Arial"/>
                <w:sz w:val="13"/>
                <w:szCs w:val="13"/>
                <w:color w:val="0000FF"/>
              </w:rPr>
              <w:t>4,088</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ind w:left="2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vMerge w:val="restart"/>
          </w:tcPr>
          <w:p>
            <w:pPr>
              <w:jc w:val="center"/>
              <w:ind w:right="61"/>
              <w:spacing w:after="0"/>
              <w:rPr>
                <w:sz w:val="20"/>
                <w:szCs w:val="20"/>
                <w:color w:val="auto"/>
              </w:rPr>
            </w:pPr>
            <w:r>
              <w:rPr>
                <w:rFonts w:ascii="Arial" w:cs="Arial" w:eastAsia="Arial" w:hAnsi="Arial"/>
                <w:sz w:val="13"/>
                <w:szCs w:val="13"/>
                <w:color w:val="0000FF"/>
              </w:rPr>
              <w:t>2,162</w:t>
            </w:r>
            <w:r>
              <w:rPr>
                <w:rFonts w:ascii="Arial" w:cs="Arial" w:eastAsia="Arial" w:hAnsi="Arial"/>
                <w:sz w:val="21"/>
                <w:szCs w:val="21"/>
                <w:color w:val="008000"/>
                <w:vertAlign w:val="superscript"/>
              </w:rPr>
              <w:t>(3)</w:t>
            </w: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ind w:left="240"/>
              <w:spacing w:after="0"/>
              <w:rPr>
                <w:sz w:val="20"/>
                <w:szCs w:val="20"/>
                <w:color w:val="auto"/>
              </w:rPr>
            </w:pPr>
            <w:r>
              <w:rPr>
                <w:rFonts w:ascii="Arial" w:cs="Arial" w:eastAsia="Arial" w:hAnsi="Arial"/>
                <w:sz w:val="11"/>
                <w:szCs w:val="11"/>
                <w:color w:val="008000"/>
              </w:rPr>
              <w:t>(5)</w:t>
            </w:r>
          </w:p>
        </w:tc>
        <w:tc>
          <w:tcPr>
            <w:tcW w:w="620" w:type="dxa"/>
            <w:vAlign w:val="bottom"/>
          </w:tcPr>
          <w:p>
            <w:pPr>
              <w:jc w:val="center"/>
              <w:ind w:right="37"/>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2,162</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200"/>
              <w:spacing w:after="0"/>
              <w:rPr>
                <w:sz w:val="20"/>
                <w:szCs w:val="20"/>
                <w:color w:val="auto"/>
              </w:rPr>
            </w:pPr>
            <w:r>
              <w:rPr>
                <w:rFonts w:ascii="Arial" w:cs="Arial" w:eastAsia="Arial" w:hAnsi="Arial"/>
                <w:sz w:val="13"/>
                <w:szCs w:val="13"/>
                <w:color w:val="0000FF"/>
              </w:rPr>
              <w:t>6,250</w:t>
            </w:r>
            <w:r>
              <w:rPr>
                <w:rFonts w:ascii="Arial" w:cs="Arial" w:eastAsia="Arial" w:hAnsi="Arial"/>
                <w:sz w:val="21"/>
                <w:szCs w:val="21"/>
                <w:color w:val="008000"/>
                <w:vertAlign w:val="superscript"/>
              </w:rPr>
              <w:t>(4)</w:t>
            </w: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1" w:lineRule="exact"/>
              <w:rPr>
                <w:sz w:val="20"/>
                <w:szCs w:val="20"/>
                <w:color w:val="auto"/>
              </w:rPr>
            </w:pPr>
            <w:r>
              <w:rPr>
                <w:rFonts w:ascii="Arial" w:cs="Arial" w:eastAsia="Arial" w:hAnsi="Arial"/>
                <w:sz w:val="13"/>
                <w:szCs w:val="13"/>
                <w:color w:val="0000FF"/>
              </w:rPr>
              <w:t>08/17/2020</w:t>
            </w:r>
          </w:p>
        </w:tc>
        <w:tc>
          <w:tcPr>
            <w:tcW w:w="1120" w:type="dxa"/>
            <w:vAlign w:val="bottom"/>
          </w:tcPr>
          <w:p>
            <w:pPr>
              <w:spacing w:after="0"/>
              <w:rPr>
                <w:sz w:val="12"/>
                <w:szCs w:val="12"/>
                <w:color w:val="auto"/>
              </w:rPr>
            </w:pPr>
          </w:p>
        </w:tc>
        <w:tc>
          <w:tcPr>
            <w:tcW w:w="740" w:type="dxa"/>
            <w:vAlign w:val="bottom"/>
          </w:tcPr>
          <w:p>
            <w:pPr>
              <w:ind w:left="180"/>
              <w:spacing w:after="0" w:line="141" w:lineRule="exact"/>
              <w:rPr>
                <w:sz w:val="20"/>
                <w:szCs w:val="20"/>
                <w:color w:val="auto"/>
              </w:rPr>
            </w:pPr>
            <w:r>
              <w:rPr>
                <w:rFonts w:ascii="Arial" w:cs="Arial" w:eastAsia="Arial" w:hAnsi="Arial"/>
                <w:sz w:val="13"/>
                <w:szCs w:val="13"/>
                <w:color w:val="0000FF"/>
              </w:rPr>
              <w:t>F</w:t>
            </w: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tcPr>
          <w:p>
            <w:pPr>
              <w:ind w:left="20"/>
              <w:spacing w:after="0" w:line="141"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19.5</w:t>
            </w:r>
          </w:p>
        </w:tc>
        <w:tc>
          <w:tcPr>
            <w:tcW w:w="860" w:type="dxa"/>
            <w:vAlign w:val="bottom"/>
            <w:gridSpan w:val="2"/>
            <w:vMerge w:val="continue"/>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Arial" w:cs="Arial" w:eastAsia="Arial" w:hAnsi="Arial"/>
                <w:sz w:val="13"/>
                <w:szCs w:val="13"/>
                <w:color w:val="0000FF"/>
                <w:w w:val="85"/>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-2145030</wp:posOffset>
            </wp:positionV>
            <wp:extent cx="7033895" cy="2186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186940"/>
                    </a:xfrm>
                    <a:prstGeom prst="rect">
                      <a:avLst/>
                    </a:prstGeom>
                    <a:noFill/>
                  </pic:spPr>
                </pic:pic>
              </a:graphicData>
            </a:graphic>
          </wp:anchor>
        </w:drawing>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4,088 shares of Class B Common Stock were converted into 4,088 shares of Class A Common Stock at the election of the Reporting Person and had no expiration date.</w:t>
      </w:r>
    </w:p>
    <w:p>
      <w:pPr>
        <w:spacing w:after="0" w:line="43" w:lineRule="exact"/>
        <w:rPr>
          <w:rFonts w:ascii="Arial" w:cs="Arial" w:eastAsia="Arial" w:hAnsi="Arial"/>
          <w:sz w:val="13"/>
          <w:szCs w:val="13"/>
          <w:color w:val="008000"/>
        </w:rPr>
      </w:pPr>
    </w:p>
    <w:p>
      <w:pPr>
        <w:ind w:left="40" w:right="240" w:firstLine="1"/>
        <w:spacing w:after="0" w:line="288"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units. Each restricted stock unit represents the Reporting Person's right to receive one share of Class A Common Stock, subject to the applicable vesting schedule through February 15, 2024. In the event the Reporting Person ceases to be a Service Provider, the unvested restricted stock units will be cancelled by the Issuer.</w:t>
      </w:r>
    </w:p>
    <w:p>
      <w:pPr>
        <w:spacing w:after="0" w:line="2" w:lineRule="exact"/>
        <w:rPr>
          <w:rFonts w:ascii="Arial" w:cs="Arial" w:eastAsia="Arial" w:hAnsi="Arial"/>
          <w:sz w:val="12"/>
          <w:szCs w:val="12"/>
          <w:color w:val="008000"/>
        </w:rPr>
      </w:pPr>
    </w:p>
    <w:p>
      <w:pPr>
        <w:ind w:left="40" w:right="54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previously reported.</w:t>
      </w:r>
    </w:p>
    <w:p>
      <w:pPr>
        <w:spacing w:after="0" w:line="26" w:lineRule="exact"/>
        <w:rPr>
          <w:rFonts w:ascii="Arial" w:cs="Arial" w:eastAsia="Arial" w:hAnsi="Arial"/>
          <w:sz w:val="13"/>
          <w:szCs w:val="13"/>
          <w:color w:val="008000"/>
        </w:rPr>
      </w:pPr>
    </w:p>
    <w:p>
      <w:pPr>
        <w:ind w:left="40" w:right="32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are restricted stock units. Each restricted stock unit represents the Reporting Person's right to receive one share of Class B Common Stock, subject to the applicable vesting schedule through November 15, 2020. In the event the Reporting Person ceases to be a Service Provider, any then unvested restricted stock units will be cancelled by the Issuer.</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Issuer's Class B Common Stock is convertible into the Issuer's Class A Common Stock on a one-for-one basis at the Reporting Person's election and has no expiration date.</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9"/>
              </w:rPr>
              <w:t>/s/ Bart E. Volkmer, Attorney-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08/19/2020</w:t>
            </w:r>
          </w:p>
        </w:tc>
        <w:tc>
          <w:tcPr>
            <w:tcW w:w="0" w:type="dxa"/>
            <w:vAlign w:val="bottom"/>
          </w:tcPr>
          <w:p>
            <w:pPr>
              <w:spacing w:after="0"/>
              <w:rPr>
                <w:sz w:val="1"/>
                <w:szCs w:val="1"/>
                <w:color w:val="auto"/>
              </w:rPr>
            </w:pPr>
          </w:p>
        </w:tc>
      </w:tr>
      <w:tr>
        <w:trPr>
          <w:trHeight w:val="88"/>
        </w:trPr>
        <w:tc>
          <w:tcPr>
            <w:tcW w:w="480" w:type="dxa"/>
            <w:vAlign w:val="bottom"/>
            <w:tcBorders>
              <w:top w:val="single" w:sz="8" w:color="auto"/>
              <w:bottom w:val="single" w:sz="8" w:color="auto"/>
            </w:tcBorders>
            <w:vMerge w:val="restart"/>
          </w:tcPr>
          <w:p>
            <w:pPr>
              <w:spacing w:after="0" w:line="185" w:lineRule="exact"/>
              <w:rPr>
                <w:sz w:val="20"/>
                <w:szCs w:val="20"/>
                <w:color w:val="auto"/>
              </w:rPr>
            </w:pPr>
            <w:r>
              <w:rPr>
                <w:rFonts w:ascii="Arial" w:cs="Arial" w:eastAsia="Arial" w:hAnsi="Arial"/>
                <w:sz w:val="17"/>
                <w:szCs w:val="17"/>
                <w:color w:val="0000FF"/>
                <w:w w:val="86"/>
              </w:rPr>
              <w:t>In-Fact</w:t>
            </w:r>
          </w:p>
        </w:tc>
        <w:tc>
          <w:tcPr>
            <w:tcW w:w="15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80" w:type="dxa"/>
            <w:vAlign w:val="bottom"/>
            <w:tcBorders>
              <w:bottom w:val="single" w:sz="8" w:color="auto"/>
            </w:tcBorders>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3"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34440" TargetMode="External"/><Relationship Id="rId14"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2020-08-19T17:06:42Z</dcterms:created>
  <dcterms:modified xsi:type="dcterms:W3CDTF">2020-08-19T17:06:42Z</dcterms:modified>
</cp:coreProperties>
</file>