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00" w:lineRule="exact"/>
        <w:rPr>
          <w:sz w:val="24"/>
          <w:szCs w:val="24"/>
          <w:color w:val="auto"/>
        </w:rPr>
      </w:pPr>
    </w:p>
    <w:p>
      <w:pPr>
        <w:spacing w:after="0" w:line="20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November 7, 2019</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1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6"/>
          <w:szCs w:val="36"/>
          <w:b w:val="1"/>
          <w:bCs w:val="1"/>
          <w:color w:val="auto"/>
        </w:rPr>
        <w:t>DROPBOX, INC.</w:t>
      </w:r>
    </w:p>
    <w:p>
      <w:pPr>
        <w:spacing w:after="0" w:line="5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520"/>
          </w:cols>
          <w:pgMar w:left="240" w:top="214" w:right="139" w:bottom="1440" w:gutter="0" w:footer="0" w:header="0"/>
        </w:sectPr>
      </w:pPr>
    </w:p>
    <w:p>
      <w:pPr>
        <w:spacing w:after="0" w:line="200" w:lineRule="exact"/>
        <w:rPr>
          <w:sz w:val="24"/>
          <w:szCs w:val="24"/>
          <w:color w:val="auto"/>
        </w:rPr>
      </w:pPr>
    </w:p>
    <w:p>
      <w:pPr>
        <w:spacing w:after="0" w:line="324"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7"/>
          <w:szCs w:val="17"/>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26-0138832</w:t>
      </w:r>
    </w:p>
    <w:p>
      <w:pPr>
        <w:spacing w:after="0" w:line="74" w:lineRule="exact"/>
        <w:rPr>
          <w:sz w:val="24"/>
          <w:szCs w:val="24"/>
          <w:color w:val="auto"/>
        </w:rPr>
      </w:pPr>
    </w:p>
    <w:p>
      <w:pPr>
        <w:sectPr>
          <w:pgSz w:w="11900" w:h="16838" w:orient="portrait"/>
          <w:cols w:equalWidth="0" w:num="3">
            <w:col w:w="4660" w:space="720"/>
            <w:col w:w="2540" w:space="720"/>
            <w:col w:w="2880"/>
          </w:cols>
          <w:pgMar w:left="240" w:top="214" w:right="13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42" w:lineRule="exact"/>
        <w:rPr>
          <w:sz w:val="24"/>
          <w:szCs w:val="24"/>
          <w:color w:val="auto"/>
        </w:rPr>
      </w:pPr>
    </w:p>
    <w:p>
      <w:pPr>
        <w:sectPr>
          <w:pgSz w:w="11900" w:h="16838" w:orient="portrait"/>
          <w:cols w:equalWidth="0" w:num="3">
            <w:col w:w="4000" w:space="720"/>
            <w:col w:w="2220" w:space="720"/>
            <w:col w:w="3860"/>
          </w:cols>
          <w:pgMar w:left="240" w:top="214" w:right="1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8"/>
          <w:szCs w:val="18"/>
          <w:b w:val="1"/>
          <w:bCs w:val="1"/>
          <w:color w:val="auto"/>
        </w:rPr>
        <w:t>incorporation)</w:t>
      </w:r>
    </w:p>
    <w:p>
      <w:pPr>
        <w:sectPr>
          <w:pgSz w:w="11900" w:h="16838" w:orient="portrait"/>
          <w:cols w:equalWidth="0" w:num="1">
            <w:col w:w="11520"/>
          </w:cols>
          <w:pgMar w:left="240" w:top="214" w:right="139" w:bottom="1440" w:gutter="0" w:footer="0" w:header="0"/>
          <w:type w:val="continuous"/>
        </w:sectPr>
      </w:pP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857-6800</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0" w:lineRule="exact"/>
        <w:rPr>
          <w:sz w:val="24"/>
          <w:szCs w:val="24"/>
          <w:color w:val="auto"/>
        </w:rPr>
      </w:pPr>
    </w:p>
    <w:p>
      <w:pPr>
        <w:spacing w:after="0" w:line="222" w:lineRule="exact"/>
        <w:rPr>
          <w:sz w:val="24"/>
          <w:szCs w:val="24"/>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4" w:lineRule="exact"/>
        <w:rPr>
          <w:sz w:val="24"/>
          <w:szCs w:val="24"/>
          <w:color w:val="auto"/>
        </w:rPr>
      </w:pPr>
    </w:p>
    <w:p>
      <w:pPr>
        <w:ind w:left="500"/>
        <w:spacing w:after="0" w:line="242" w:lineRule="exact"/>
        <w:rPr>
          <w:sz w:val="20"/>
          <w:szCs w:val="20"/>
          <w:color w:val="auto"/>
        </w:rPr>
      </w:pP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sz w:val="24"/>
          <w:szCs w:val="24"/>
          <w:color w:val="auto"/>
        </w:rPr>
      </w:pPr>
    </w:p>
    <w:p>
      <w:pPr>
        <w:ind w:left="500"/>
        <w:spacing w:after="0" w:line="242" w:lineRule="exact"/>
        <w:rPr>
          <w:sz w:val="20"/>
          <w:szCs w:val="20"/>
          <w:color w:val="auto"/>
        </w:rPr>
      </w:pP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sz w:val="24"/>
          <w:szCs w:val="24"/>
          <w:color w:val="auto"/>
        </w:rPr>
      </w:pPr>
    </w:p>
    <w:p>
      <w:pPr>
        <w:ind w:left="500"/>
        <w:spacing w:after="0" w:line="242" w:lineRule="exact"/>
        <w:rPr>
          <w:sz w:val="20"/>
          <w:szCs w:val="20"/>
          <w:color w:val="auto"/>
        </w:rPr>
      </w:pP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sz w:val="24"/>
          <w:szCs w:val="24"/>
          <w:color w:val="auto"/>
        </w:rPr>
      </w:pPr>
    </w:p>
    <w:p>
      <w:pPr>
        <w:ind w:left="500"/>
        <w:spacing w:after="0" w:line="242" w:lineRule="exact"/>
        <w:rPr>
          <w:sz w:val="20"/>
          <w:szCs w:val="20"/>
          <w:color w:val="auto"/>
        </w:rPr>
      </w:pP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459105</wp:posOffset>
            </wp:positionH>
            <wp:positionV relativeFrom="paragraph">
              <wp:posOffset>102870</wp:posOffset>
            </wp:positionV>
            <wp:extent cx="6347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spacing w:after="0" w:line="345"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2720" w:type="dxa"/>
            <w:vAlign w:val="bottom"/>
            <w:gridSpan w:val="2"/>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0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37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600" w:type="dxa"/>
            <w:vAlign w:val="bottom"/>
          </w:tcPr>
          <w:p>
            <w:pPr>
              <w:spacing w:after="0"/>
              <w:rPr>
                <w:sz w:val="18"/>
                <w:szCs w:val="18"/>
                <w:color w:val="auto"/>
              </w:rPr>
            </w:pPr>
          </w:p>
        </w:tc>
        <w:tc>
          <w:tcPr>
            <w:tcW w:w="2700" w:type="dxa"/>
            <w:vAlign w:val="bottom"/>
            <w:gridSpan w:val="2"/>
          </w:tcPr>
          <w:p>
            <w:pPr>
              <w:jc w:val="center"/>
              <w:ind w:right="1540"/>
              <w:spacing w:after="0"/>
              <w:rPr>
                <w:sz w:val="20"/>
                <w:szCs w:val="20"/>
                <w:color w:val="auto"/>
              </w:rPr>
            </w:pPr>
            <w:r>
              <w:rPr>
                <w:rFonts w:ascii="Times New Roman" w:cs="Times New Roman" w:eastAsia="Times New Roman" w:hAnsi="Times New Roman"/>
                <w:sz w:val="14"/>
                <w:szCs w:val="14"/>
                <w:color w:val="auto"/>
              </w:rPr>
              <w:t>DBX</w:t>
            </w:r>
          </w:p>
        </w:tc>
        <w:tc>
          <w:tcPr>
            <w:tcW w:w="2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337"/>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6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301" w:lineRule="exact"/>
        <w:rPr>
          <w:sz w:val="24"/>
          <w:szCs w:val="24"/>
          <w:color w:val="auto"/>
        </w:rPr>
      </w:pPr>
    </w:p>
    <w:p>
      <w:pPr>
        <w:ind w:right="260"/>
        <w:spacing w:after="0" w:line="26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520"/>
          </w:cols>
          <w:pgMar w:left="240" w:top="214" w:right="1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On November 7, 2019, Dropbox, Inc. (“Dropbox”) issued a press release and will hold a conference call announcing its financial results for the quarter ended September 30, 2019. A copy of the press release is attached as Exhibit 99.1 to this current report on Form 8-K and is incorporated by reference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7, 2019,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99"/>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196"/>
        </w:trPr>
        <w:tc>
          <w:tcPr>
            <w:tcW w:w="116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entitled “Dropbox Announces Fiscal 2019 Third Quarter Results” dated November 7, 2019</w:t>
              </w:r>
            </w:hyperlink>
          </w:p>
        </w:tc>
        <w:tc>
          <w:tcPr>
            <w:tcW w:w="2420" w:type="dxa"/>
            <w:vAlign w:val="bottom"/>
          </w:tcPr>
          <w:p>
            <w:pPr>
              <w:spacing w:after="0"/>
              <w:rPr>
                <w:sz w:val="17"/>
                <w:szCs w:val="17"/>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2019</w:t>
      </w:r>
    </w:p>
    <w:p>
      <w:pPr>
        <w:spacing w:after="0" w:line="200" w:lineRule="exact"/>
        <w:rPr>
          <w:sz w:val="20"/>
          <w:szCs w:val="20"/>
          <w:color w:val="auto"/>
        </w:rPr>
      </w:pPr>
    </w:p>
    <w:p>
      <w:pPr>
        <w:spacing w:after="0" w:line="39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6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/s/ Ajay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34290</wp:posOffset>
            </wp:positionV>
            <wp:extent cx="2827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5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Ajay Vashee</w:t>
      </w:r>
    </w:p>
    <w:p>
      <w:pPr>
        <w:spacing w:after="0" w:line="6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60"/>
          </w:cols>
          <w:pgMar w:left="240" w:top="576" w:right="3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Dropbox Announces Fiscal 2019 Third Quarter Results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Revenue of $428.2 Million, Up 19% Year-Over-Year</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Net Cash Provided by Operating Activities of $149.7 Million and Free Cash Flow of $102.5 Million</w:t>
      </w:r>
    </w:p>
    <w:p>
      <w:pPr>
        <w:spacing w:after="0" w:line="20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FRANCISCO, Calif. </w:t>
      </w:r>
      <w:r>
        <w:rPr>
          <w:rFonts w:ascii="Times New Roman" w:cs="Times New Roman" w:eastAsia="Times New Roman" w:hAnsi="Times New Roman"/>
          <w:sz w:val="18"/>
          <w:szCs w:val="18"/>
          <w:color w:val="auto"/>
        </w:rPr>
        <w:t>- November 7, 2019 - Dropbox, Inc. (NASDAQ: DBX), the world's first smart workspace, today announced financial results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third fiscal quarter ended September 30, 2019.</w:t>
      </w:r>
    </w:p>
    <w:p>
      <w:pPr>
        <w:spacing w:after="0" w:line="15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“We had a strong Q3 highlighted by 19% top line growth and margin expansion." said Dropbox Co-founder and Chief Executive Officer Drew Houston. “We’re excited about the early momentum we’ve seen with our new desktop app — millions are already using it since it was made generally available on September 25. Together with the launch of Dropbox Spaces, we’re making great progress towards building the world’s first smart workspace where people can focus on the work that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2019 Results</w:t>
      </w:r>
    </w:p>
    <w:p>
      <w:pPr>
        <w:spacing w:after="0" w:line="229" w:lineRule="exact"/>
        <w:rPr>
          <w:sz w:val="20"/>
          <w:szCs w:val="20"/>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$428.2 million, an increase of 19% from the same period last year.</w:t>
      </w:r>
    </w:p>
    <w:p>
      <w:pPr>
        <w:spacing w:after="0" w:line="224" w:lineRule="exact"/>
        <w:rPr>
          <w:rFonts w:ascii="Times New Roman" w:cs="Times New Roman" w:eastAsia="Times New Roman" w:hAnsi="Times New Roman"/>
          <w:sz w:val="18"/>
          <w:szCs w:val="18"/>
          <w:color w:val="auto"/>
        </w:rPr>
      </w:pPr>
    </w:p>
    <w:p>
      <w:pPr>
        <w:ind w:left="660" w:right="520" w:hanging="328"/>
        <w:spacing w:after="0" w:line="281"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users totaled 14.0 million, as compared to 12.3 million for the same period last year. Average revenue per paying user was $123.15, as compared to $118.60 for the same period last year.</w:t>
      </w:r>
    </w:p>
    <w:p>
      <w:pPr>
        <w:spacing w:after="0" w:line="162" w:lineRule="exact"/>
        <w:rPr>
          <w:rFonts w:ascii="Times New Roman" w:cs="Times New Roman" w:eastAsia="Times New Roman" w:hAnsi="Times New Roman"/>
          <w:sz w:val="18"/>
          <w:szCs w:val="18"/>
          <w:color w:val="auto"/>
        </w:rPr>
      </w:pPr>
    </w:p>
    <w:p>
      <w:pPr>
        <w:ind w:left="660" w:right="100" w:hanging="328"/>
        <w:spacing w:after="0" w:line="281"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75.5%, as compared to 75.0% in the same period last year. Non-GAAP gross margin was 76.7%, as compared to 75.9% in the same period last year.</w:t>
      </w:r>
    </w:p>
    <w:p>
      <w:pPr>
        <w:spacing w:after="0" w:line="162"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was (4.3)%, as compared to (2.5)% in the same period last year. Non-GAAP operating margin, which excludes stock-based compensation, acquisition-related and other expenses, and amortization of acquired intangible assets, was 13.1%, as compared to 12.8% in the same period last year.</w:t>
      </w:r>
    </w:p>
    <w:p>
      <w:pPr>
        <w:spacing w:after="0" w:line="175" w:lineRule="exact"/>
        <w:rPr>
          <w:rFonts w:ascii="Times New Roman" w:cs="Times New Roman" w:eastAsia="Times New Roman" w:hAnsi="Times New Roman"/>
          <w:sz w:val="18"/>
          <w:szCs w:val="18"/>
          <w:color w:val="auto"/>
        </w:rPr>
      </w:pPr>
    </w:p>
    <w:p>
      <w:pPr>
        <w:ind w:left="660" w:right="600" w:hanging="328"/>
        <w:spacing w:after="0" w:line="281"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was ($17.0) million, as compared to ($5.8) million in the same period last year. Non-GAAP net income was $55.9 million, as compared to $45.0 million in the same period last year.</w:t>
      </w:r>
    </w:p>
    <w:p>
      <w:pPr>
        <w:spacing w:after="0" w:line="162"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$149.7 million, as compared to $128.0 million in the same period last year. Free cash flow was $102.5 million, as compared to $120.0 million in the same period last year.</w:t>
      </w:r>
    </w:p>
    <w:p>
      <w:pPr>
        <w:spacing w:after="0" w:line="162"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GAAP basic and diluted net loss per share was ($0.04), as compared to ($0.01) in the same period last year. Non-GAAP diluted net income per share was $0.13, as compared to $0.11 in the same period last year. </w:t>
      </w:r>
      <w:r>
        <w:rPr>
          <w:rFonts w:ascii="Times New Roman" w:cs="Times New Roman" w:eastAsia="Times New Roman" w:hAnsi="Times New Roman"/>
          <w:sz w:val="25"/>
          <w:szCs w:val="25"/>
          <w:color w:val="auto"/>
          <w:vertAlign w:val="superscript"/>
        </w:rPr>
        <w:t>(1)</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were $1.031 billion at the end of the third quarter of 2019.</w:t>
      </w:r>
    </w:p>
    <w:p>
      <w:pPr>
        <w:spacing w:after="0" w:line="242" w:lineRule="exact"/>
        <w:rPr>
          <w:rFonts w:ascii="Times New Roman" w:cs="Times New Roman" w:eastAsia="Times New Roman" w:hAnsi="Times New Roman"/>
          <w:sz w:val="18"/>
          <w:szCs w:val="18"/>
          <w:color w:val="auto"/>
        </w:rPr>
      </w:pPr>
    </w:p>
    <w:p>
      <w:pPr>
        <w:ind w:right="200" w:firstLine="8"/>
        <w:spacing w:after="0" w:line="275" w:lineRule="auto"/>
        <w:tabs>
          <w:tab w:leader="none" w:pos="174" w:val="left"/>
        </w:tabs>
        <w:numPr>
          <w:ilvl w:val="0"/>
          <w:numId w:val="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Non-GAAP diluted net income per share is calculated based upon 418.7 million and 420.0 million diluted weighted-average shares of common stock for the three months ended September 30, 2019 and 2018, respectively.</w:t>
      </w:r>
    </w:p>
    <w:p>
      <w:pPr>
        <w:sectPr>
          <w:pgSz w:w="11900" w:h="16838" w:orient="portrait"/>
          <w:cols w:equalWidth="0" w:num="1">
            <w:col w:w="11380"/>
          </w:cols>
          <w:pgMar w:left="240" w:top="576" w:right="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Dropbox will provide forward-looking guidance in connection with this quarterly earnings announcement on its conference call, webcast, and on its investor relations website at investors.dropbox.com.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Dropbox plans to host a conference call today to review its third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investors.dropbox.com. Following the completion of the call, a telephonic replay will be available through 11:59 PM ET on November 14, 2019 at (855) 859-2056 from the United States or (404) 537-3406 internationally with recording access code 1636338.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Upcoming Events</w:t>
      </w:r>
    </w:p>
    <w:p>
      <w:pPr>
        <w:spacing w:after="0" w:line="229" w:lineRule="exact"/>
        <w:rPr>
          <w:sz w:val="20"/>
          <w:szCs w:val="20"/>
          <w:color w:val="auto"/>
        </w:rPr>
      </w:pPr>
    </w:p>
    <w:p>
      <w:pPr>
        <w:ind w:left="660" w:right="320" w:hanging="328"/>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 Finkelstein, Vice President of Corporate Finance &amp; Strategy, will be presenting at the RBC Capital Markets Technology, Internet, Media and Telecommunications Conference in New York, NY on Tuesday, November 19, 2019 at 4:05 p.m. ET.</w:t>
      </w:r>
    </w:p>
    <w:p>
      <w:pPr>
        <w:spacing w:after="0" w:line="257"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At the time of this event, a live webcast will be accessible from the Dropbox investor relations website at investors.dropbox.com. Following the event, a replay will be made available at the same location.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Dropbox</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Dropbox is the world's first smart workspace that helps people and teams focus on the work that matters. With more than 600 million registered users across 180 countries, we're on a mission to design a more enlightened way of working. Dropbox is headquartered in San Francisco, CA, and has 12 offices around the world. For more information on our mission and products, visit dropbox.com.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among other things, statements regarding Dropbox's strategies and new products and features, future financial and operational performance, the demand for and engagement with our platform and product features, and the benefits from new product experiences and acquisitions.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the Company believes may affect its business, financial condition, and results of operations. These forward-looking statements speak only as of the date of this press release and are subject to risks, uncertainties, and assumptions including, but not limited to: (i) our ability to retain and upgrade paying users; (ii) our ability to attract new users or convert registered users to paying users; (iii) our revenue growth rate; (iv) our history of net losses; (v) our liability for any unauthorized access to our data or our users’ content, including through privacy and data security breaches; (vi) significant disruption of service on our platform or loss of content; (vii) any decline in demand for our platform or for content collaboration solutions in general; (viii) changes in the interoperability of our platform across devices, operating systems, and third-party applications that we do not control; (ix) competition in our markets; (x) our ability to respond to rapid technological changes, extend our platform, or develop new features; (xi) our ability to manage our growth or plan for future growth; (xii) our acquisition of other businesses and the potential of such acquisitions to require significant management attention, disrupt our business, or dilute stockholder value; and (xiii)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w:t>
      </w:r>
    </w:p>
    <w:p>
      <w:pPr>
        <w:sectPr>
          <w:pgSz w:w="11900" w:h="16838" w:orient="portrait"/>
          <w:cols w:equalWidth="0" w:num="1">
            <w:col w:w="11420"/>
          </w:cols>
          <w:pgMar w:left="240" w:top="576" w:right="239" w:bottom="1440" w:gutter="0" w:footer="0" w:header="0"/>
        </w:sectPr>
      </w:pPr>
    </w:p>
    <w:bookmarkStart w:id="5" w:name="page6"/>
    <w:bookmarkEnd w:id="5"/>
    <w:p>
      <w:pPr>
        <w:spacing w:after="0" w:line="260" w:lineRule="auto"/>
        <w:rPr>
          <w:sz w:val="20"/>
          <w:szCs w:val="20"/>
          <w:color w:val="auto"/>
        </w:rPr>
      </w:pPr>
      <w:r>
        <w:rPr>
          <w:rFonts w:ascii="Times New Roman" w:cs="Times New Roman" w:eastAsia="Times New Roman" w:hAnsi="Times New Roman"/>
          <w:sz w:val="18"/>
          <w:szCs w:val="18"/>
          <w:color w:val="auto"/>
        </w:rPr>
        <w:t>Form 10-Q for the quarter ended June 30, 2019. Additional information will be made available in our quarterly report on Form 10-Q and other future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320"/>
          </w:cols>
          <w:pgMar w:left="24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1,215.3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1,015.8</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280"/>
              <w:spacing w:after="0" w:line="27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5"/>
                <w:szCs w:val="25"/>
                <w:color w:val="auto"/>
                <w:vertAlign w:val="superscript"/>
              </w:rPr>
              <w:t>(1)</w:t>
            </w:r>
          </w:p>
        </w:tc>
        <w:tc>
          <w:tcPr>
            <w:tcW w:w="1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909.2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715.5</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1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631.4</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3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1,197.5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1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40"/>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120" w:type="dxa"/>
            <w:vAlign w:val="bottom"/>
            <w:vMerge w:val="restart"/>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shares used in computing net</w:t>
            </w: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7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per share attributable to common</w:t>
            </w:r>
          </w:p>
        </w:tc>
        <w:tc>
          <w:tcPr>
            <w:tcW w:w="1120" w:type="dxa"/>
            <w:vAlign w:val="bottom"/>
          </w:tcPr>
          <w:p>
            <w:pPr>
              <w:spacing w:after="0"/>
              <w:rPr>
                <w:sz w:val="18"/>
                <w:szCs w:val="18"/>
                <w:color w:val="auto"/>
              </w:rPr>
            </w:pP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342.0</w:t>
            </w:r>
          </w:p>
        </w:tc>
        <w:tc>
          <w:tcPr>
            <w:tcW w:w="0" w:type="dxa"/>
            <w:vAlign w:val="bottom"/>
          </w:tcPr>
          <w:p>
            <w:pPr>
              <w:spacing w:after="0"/>
              <w:rPr>
                <w:sz w:val="1"/>
                <w:szCs w:val="1"/>
                <w:color w:val="auto"/>
              </w:rPr>
            </w:pPr>
          </w:p>
        </w:tc>
      </w:tr>
      <w:tr>
        <w:trPr>
          <w:trHeight w:val="241"/>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8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00" w:type="dxa"/>
            <w:vAlign w:val="bottom"/>
          </w:tcPr>
          <w:p>
            <w:pPr>
              <w:spacing w:after="0"/>
              <w:rPr>
                <w:sz w:val="18"/>
                <w:szCs w:val="18"/>
                <w:color w:val="auto"/>
              </w:rPr>
            </w:pPr>
          </w:p>
        </w:tc>
      </w:tr>
      <w:tr>
        <w:trPr>
          <w:trHeight w:val="238"/>
        </w:trPr>
        <w:tc>
          <w:tcPr>
            <w:tcW w:w="3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8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3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4"/>
              </w:rPr>
              <w:t>2018</w:t>
            </w: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r>
      <w:tr>
        <w:trPr>
          <w:trHeight w:val="243"/>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339.0</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r>
      <w:tr>
        <w:trPr>
          <w:trHeight w:val="243"/>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125.3</w:t>
            </w:r>
          </w:p>
        </w:tc>
      </w:tr>
    </w:tbl>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ind w:left="52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519.3</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1,210.2</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Finance lease obligation</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837.5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obligation, non-current</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Other non-current liabilities</w:t>
            </w:r>
            <w:r>
              <w:rPr>
                <w:rFonts w:ascii="Times New Roman" w:cs="Times New Roman" w:eastAsia="Times New Roman" w:hAnsi="Times New Roman"/>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0"/>
                <w:szCs w:val="20"/>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1,017.3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2,337.5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676.8</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1,694.1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8"/>
        <w:spacing w:after="0" w:line="234" w:lineRule="auto"/>
        <w:tabs>
          <w:tab w:leader="none" w:pos="19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As of December 31, 2018 the Company had non-current deferred rent of $81.0 million. As of September 30, 2019, deferred rent is now included in the determination of the Company's operating lease right-of-use asset due to the adoption of ASC 842.</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ind w:left="52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1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1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121.6</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596.6</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losses (gains) on equity investments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40.6</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60.8</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Tenant improvement allowance reimbursement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301.7</w:t>
            </w:r>
          </w:p>
        </w:tc>
      </w:tr>
      <w:tr>
        <w:trPr>
          <w:trHeight w:val="203"/>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Capital expenditures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Business combinations,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Purchases of short-term investments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Proceeds from sales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8" w:lineRule="exact"/>
        <w:rPr>
          <w:sz w:val="20"/>
          <w:szCs w:val="20"/>
          <w:color w:val="auto"/>
        </w:rPr>
      </w:pPr>
    </w:p>
    <w:p>
      <w:pPr>
        <w:ind w:left="280"/>
        <w:spacing w:after="0" w:line="298" w:lineRule="auto"/>
        <w:rPr>
          <w:sz w:val="20"/>
          <w:szCs w:val="20"/>
          <w:color w:val="auto"/>
        </w:rPr>
      </w:pPr>
      <w:r>
        <w:rPr>
          <w:rFonts w:ascii="Times New Roman" w:cs="Times New Roman" w:eastAsia="Times New Roman" w:hAnsi="Times New Roman"/>
          <w:sz w:val="16"/>
          <w:szCs w:val="16"/>
          <w:color w:val="auto"/>
        </w:rPr>
        <w:t>Proceeds from initial public offering and private placement, net of underwriters' discounts and commissions</w:t>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Payments of 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Shares repurchased for tax withholdings on release of restricted stock</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Proceeds from issuance of common stock, net of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70"/>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0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(664.3)</w:t>
            </w:r>
          </w:p>
        </w:tc>
      </w:tr>
      <w:tr>
        <w:trPr>
          <w:trHeight w:val="270"/>
        </w:trPr>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341.0</w:t>
            </w:r>
          </w:p>
        </w:tc>
        <w:tc>
          <w:tcPr>
            <w:tcW w:w="10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61.6</w:t>
            </w:r>
          </w:p>
        </w:tc>
      </w:tr>
      <w:tr>
        <w:trPr>
          <w:trHeight w:val="270"/>
        </w:trPr>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w:t>
            </w:r>
          </w:p>
        </w:tc>
        <w:tc>
          <w:tcPr>
            <w:tcW w:w="1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236.7</w:t>
            </w:r>
          </w:p>
        </w:tc>
        <w:tc>
          <w:tcPr>
            <w:tcW w:w="10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101.9</w:t>
            </w:r>
          </w:p>
        </w:tc>
      </w:tr>
      <w:tr>
        <w:trPr>
          <w:trHeight w:val="270"/>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(529.0)</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675"/>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746.6</w:t>
            </w:r>
          </w:p>
        </w:tc>
      </w:tr>
      <w:tr>
        <w:trPr>
          <w:trHeight w:val="270"/>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70"/>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w:t>
            </w:r>
          </w:p>
        </w:tc>
      </w:tr>
      <w:tr>
        <w:trPr>
          <w:trHeight w:val="270"/>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r>
      <w:tr>
        <w:trPr>
          <w:trHeight w:val="270"/>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70"/>
        </w:trPr>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bl>
    <w:p>
      <w:pPr>
        <w:spacing w:after="0" w:line="13" w:lineRule="exact"/>
        <w:rPr>
          <w:sz w:val="20"/>
          <w:szCs w:val="20"/>
          <w:color w:val="auto"/>
        </w:rPr>
      </w:pPr>
    </w:p>
    <w:p>
      <w:pPr>
        <w:sectPr>
          <w:pgSz w:w="11900" w:h="16838" w:orient="portrait"/>
          <w:cols w:equalWidth="0" w:num="2">
            <w:col w:w="6380" w:space="140"/>
            <w:col w:w="490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400" w:type="dxa"/>
            <w:vAlign w:val="bottom"/>
            <w:tcBorders>
              <w:top w:val="single" w:sz="8" w:color="auto"/>
              <w:bottom w:val="single" w:sz="8" w:color="CCEEFF"/>
            </w:tcBorders>
            <w:shd w:val="clear" w:color="auto" w:fill="CCEEFF"/>
          </w:tcPr>
          <w:p>
            <w:pPr>
              <w:spacing w:after="0"/>
              <w:rPr>
                <w:sz w:val="23"/>
                <w:szCs w:val="23"/>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CCEEFF"/>
            </w:tcBorders>
            <w:shd w:val="clear" w:color="auto" w:fill="CCEEFF"/>
          </w:tcPr>
          <w:p>
            <w:pPr>
              <w:spacing w:after="0"/>
              <w:rPr>
                <w:sz w:val="23"/>
                <w:szCs w:val="23"/>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335.0</w:t>
            </w:r>
          </w:p>
        </w:tc>
      </w:tr>
      <w:tr>
        <w:trPr>
          <w:trHeight w:val="21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6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106.2</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 beginning of period</w:t>
            </w:r>
          </w:p>
        </w:tc>
        <w:tc>
          <w:tcPr>
            <w:tcW w:w="4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343.6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430.0</w:t>
            </w:r>
          </w:p>
        </w:tc>
      </w:tr>
      <w:tr>
        <w:trPr>
          <w:trHeight w:val="33"/>
        </w:trPr>
        <w:tc>
          <w:tcPr>
            <w:tcW w:w="6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r>
      <w:tr>
        <w:trPr>
          <w:trHeight w:val="217"/>
        </w:trPr>
        <w:tc>
          <w:tcPr>
            <w:tcW w:w="6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72.7</w:t>
            </w:r>
          </w:p>
        </w:tc>
      </w:tr>
      <w:tr>
        <w:trPr>
          <w:trHeight w:val="33"/>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months ended September 30,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Acquisition-related</w:t>
            </w: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Intangibles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and other expenses</w:t>
            </w:r>
          </w:p>
        </w:tc>
        <w:tc>
          <w:tcPr>
            <w:tcW w:w="24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Non-GAAP</w:t>
            </w:r>
          </w:p>
        </w:tc>
      </w:tr>
      <w:tr>
        <w:trPr>
          <w:trHeight w:val="27"/>
        </w:trPr>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Cost of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99.7</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328.5</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129.9</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99.1</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43.5</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56.0</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months ended September 30, 2018</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440" w:type="dxa"/>
            <w:vAlign w:val="bottom"/>
          </w:tcPr>
          <w:p>
            <w:pPr>
              <w:spacing w:after="0"/>
              <w:rPr>
                <w:sz w:val="20"/>
                <w:szCs w:val="20"/>
                <w:color w:val="auto"/>
              </w:rPr>
            </w:pPr>
          </w:p>
        </w:tc>
        <w:tc>
          <w:tcPr>
            <w:tcW w:w="19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Non-GAAP</w:t>
            </w:r>
          </w:p>
        </w:tc>
      </w:tr>
      <w:tr>
        <w:trPr>
          <w:trHeight w:val="27"/>
        </w:trPr>
        <w:tc>
          <w:tcPr>
            <w:tcW w:w="38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Cost of revenue</w:t>
            </w:r>
          </w:p>
        </w:tc>
        <w:tc>
          <w:tcPr>
            <w:tcW w:w="1660" w:type="dxa"/>
            <w:vAlign w:val="bottom"/>
            <w:tcBorders>
              <w:bottom w:val="single" w:sz="8" w:color="CCEEFF"/>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87.0</w:t>
            </w: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1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7"/>
        </w:trPr>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273.3</w:t>
            </w: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7"/>
        </w:trPr>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105.0</w:t>
            </w: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1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86.9</w:t>
            </w: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1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7"/>
        </w:trPr>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35.3</w:t>
            </w: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1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60" w:type="dxa"/>
            <w:vAlign w:val="bottom"/>
            <w:tcBorders>
              <w:bottom w:val="single" w:sz="8" w:color="CCEEFF"/>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46.1</w:t>
            </w: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ectPr>
          <w:pgSz w:w="11900" w:h="16838" w:orient="portrait"/>
          <w:cols w:equalWidth="0" w:num="1">
            <w:col w:w="11420"/>
          </w:cols>
          <w:pgMar w:left="240" w:top="571"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Nine months ended September 30,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Acquisition-related</w:t>
            </w: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Intangibles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and other expenses</w:t>
            </w:r>
          </w:p>
        </w:tc>
        <w:tc>
          <w:tcPr>
            <w:tcW w:w="24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Non-GAAP</w:t>
            </w:r>
          </w:p>
        </w:tc>
      </w:tr>
      <w:tr>
        <w:trPr>
          <w:trHeight w:val="27"/>
        </w:trPr>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Cost of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291.8</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909.2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923.5</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367.7</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289.8</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130.5</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135.5</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Nine months ended September 30, 2018</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Employer payroll</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20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taxes related to the</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GAAP</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release of two-tier RSUs</w:t>
            </w:r>
          </w:p>
        </w:tc>
        <w:tc>
          <w:tcPr>
            <w:tcW w:w="30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Non-GAAP</w:t>
            </w:r>
          </w:p>
        </w:tc>
      </w:tr>
      <w:tr>
        <w:trPr>
          <w:trHeight w:val="27"/>
        </w:trPr>
        <w:tc>
          <w:tcPr>
            <w:tcW w:w="3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Cost of revenue</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255.3</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760.5</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284.1</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248.8</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99.1</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(482.0)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596.6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128.5</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bl>
    <w:p>
      <w:pPr>
        <w:sectPr>
          <w:pgSz w:w="11900" w:h="16838" w:orient="portrait"/>
          <w:cols w:equalWidth="0" w:num="1">
            <w:col w:w="11420"/>
          </w:cols>
          <w:pgMar w:left="240" w:top="787"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and nine months ended September 30, 2019 and 2018</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net loss to Non-GAAP net income and Non-GAAP diluted net income per share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7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 net loss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and other expenses</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losses (gains) on equity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Employer payroll taxes related to the release of two-tier RSUs</w:t>
            </w:r>
          </w:p>
        </w:tc>
        <w:tc>
          <w:tcPr>
            <w:tcW w:w="10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effects of non-GAAP adjustments</w:t>
            </w:r>
          </w:p>
        </w:tc>
        <w:tc>
          <w:tcPr>
            <w:tcW w:w="10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Non-GAAP net income</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diluted net income per share</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shares used to compute Non-GAAP diluted</w:t>
            </w: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408.0</w:t>
            </w:r>
          </w:p>
        </w:tc>
        <w:tc>
          <w:tcPr>
            <w:tcW w:w="0" w:type="dxa"/>
            <w:vAlign w:val="bottom"/>
          </w:tcPr>
          <w:p>
            <w:pPr>
              <w:spacing w:after="0"/>
              <w:rPr>
                <w:sz w:val="1"/>
                <w:szCs w:val="1"/>
                <w:color w:val="auto"/>
              </w:rPr>
            </w:pPr>
          </w:p>
        </w:tc>
      </w:tr>
      <w:tr>
        <w:trPr>
          <w:trHeight w:val="241"/>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and nine months ended September 30, 2019 and 2018</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free cash flow and supplemental cash flow disclosure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7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 reconciliation:</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128.0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341.7</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Free cash flow margin</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2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expenditures related to our new corporate</w:t>
            </w:r>
          </w:p>
        </w:tc>
        <w:tc>
          <w:tcPr>
            <w:tcW w:w="102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04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9"/>
                <w:szCs w:val="19"/>
                <w:color w:val="auto"/>
              </w:rPr>
            </w:pPr>
          </w:p>
        </w:tc>
        <w:tc>
          <w:tcPr>
            <w:tcW w:w="5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3"/>
        </w:trPr>
        <w:tc>
          <w:tcPr>
            <w:tcW w:w="4520" w:type="dxa"/>
            <w:vAlign w:val="bottom"/>
          </w:tcPr>
          <w:p>
            <w:pPr>
              <w:ind w:left="280"/>
              <w:spacing w:after="0" w:line="247" w:lineRule="exact"/>
              <w:rPr>
                <w:sz w:val="20"/>
                <w:szCs w:val="20"/>
                <w:color w:val="auto"/>
              </w:rPr>
            </w:pPr>
            <w:r>
              <w:rPr>
                <w:rFonts w:ascii="Times New Roman" w:cs="Times New Roman" w:eastAsia="Times New Roman" w:hAnsi="Times New Roman"/>
                <w:sz w:val="18"/>
                <w:szCs w:val="18"/>
                <w:color w:val="auto"/>
              </w:rPr>
              <w:t>headquarters, net of tenant improvement allowances</w:t>
            </w:r>
            <w:r>
              <w:rPr>
                <w:rFonts w:ascii="Times New Roman" w:cs="Times New Roman" w:eastAsia="Times New Roman" w:hAnsi="Times New Roman"/>
                <w:sz w:val="25"/>
                <w:szCs w:val="25"/>
                <w:color w:val="auto"/>
                <w:vertAlign w:val="superscript"/>
              </w:rPr>
              <w:t>(1)</w:t>
            </w:r>
          </w:p>
        </w:tc>
        <w:tc>
          <w:tcPr>
            <w:tcW w:w="102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40" w:firstLine="8"/>
        <w:spacing w:after="0" w:line="245" w:lineRule="auto"/>
        <w:tabs>
          <w:tab w:leader="none" w:pos="192"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Capital expenditures include cash outflows related to the build-out of our new corporate headquarters in San Francisco, CA. Net cash provided by operating activities include tenant improvement allowances related to our new corporate headquarters, and represents cash received from our landlord to partially offset this build-out. These amounts are presented net in the table above.</w:t>
      </w:r>
    </w:p>
    <w:p>
      <w:pPr>
        <w:sectPr>
          <w:pgSz w:w="11900" w:h="16838" w:orient="portrait"/>
          <w:cols w:equalWidth="0" w:num="1">
            <w:col w:w="11420"/>
          </w:cols>
          <w:pgMar w:left="240" w:top="57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provide investors and others with additional information regarding Dropbox's results, we have disclosed the following non-GAAP financial measures: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differs from GAAP in that it excludes stock-based compensation expense, amortization of acquired intangible assets, other acquisition-related expenses, which include third-party diligence costs and compensation expense for key acquired personnel, and employer payroll tax expense relating to the release of two-tier RSUs in connection with our initial public offering during the six months ended June 30, 2018. Non-GAAP net income also excludes net gains and losses on equity investments, and includes the income tax effect of the aforementioned adjustments, including the tax effects of acquired intangible assets. FCF differs from GAAP net cash provided by operating activities in that it treats capital expenditures as a reduction to net cash provided by operating activities. Free cash flow margin is calculated as FCF divided by revenue. Non-GAAP diluted net income per share differs from GAAP diluted net loss per share in that the numerator utilizes the non-GAAP net income as described above, and the weighted-average shares used in the computation include certain shares that are excluded from the GAAP diluted net loss per share calculation because their effect would have been anti-dilutive.</w:t>
      </w:r>
    </w:p>
    <w:p>
      <w:pPr>
        <w:spacing w:after="0" w:line="19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includes capital expenditures related to our new corporate headquarters, and may be calculated differently by other companies in our industry, limiting its usefulness as a comparative measure.</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compensates for these limitations by reconciling the non-GAAP financial measures to the most comparable GAAP financial measures. Additionally, we have provided supplemental disclosures in our reconciliation of net cash provided by operating activities to free cash flow to include capital expenditures related to our new corporate headquarters, net of tenant improvement allowances.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420"/>
          </w:cols>
          <w:pgMar w:left="240" w:top="576"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Darren Yip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ir@dropbox.com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Tessa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press@dropbox.com</w:t>
      </w:r>
    </w:p>
    <w:sectPr>
      <w:pgSz w:w="11900" w:h="16838" w:orient="portrait"/>
      <w:cols w:equalWidth="0" w:num="1">
        <w:col w:w="10219"/>
      </w:cols>
      <w:pgMar w:left="2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2019-12-28T02:08:39Z</dcterms:created>
  <dcterms:modified xsi:type="dcterms:W3CDTF">2019-12-28T02:08:39Z</dcterms:modified>
</cp:coreProperties>
</file>