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spacing w:after="0" w:line="187" w:lineRule="exact"/>
              <w:rPr>
                <w:rFonts w:ascii="Times New Roman" w:cs="Times New Roman" w:eastAsia="Times New Roman" w:hAnsi="Times New Roman"/>
                <w:sz w:val="17"/>
                <w:szCs w:val="17"/>
                <w:color w:val="0000EE"/>
                <w:w w:val="91"/>
              </w:rPr>
            </w:pPr>
            <w:hyperlink r:id="rId13">
              <w:r>
                <w:rPr>
                  <w:rFonts w:ascii="Times New Roman" w:cs="Times New Roman" w:eastAsia="Times New Roman" w:hAnsi="Times New Roman"/>
                  <w:sz w:val="17"/>
                  <w:szCs w:val="17"/>
                  <w:color w:val="0000EE"/>
                  <w:w w:val="91"/>
                </w:rPr>
                <w:t>Cox Eric</w:t>
              </w:r>
            </w:hyperlink>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0000EE"/>
            </w:tcBorders>
            <w:vMerge w:val="continue"/>
          </w:tcPr>
          <w:p>
            <w:pPr>
              <w:spacing w:after="0"/>
              <w:rPr>
                <w:sz w:val="3"/>
                <w:szCs w:val="3"/>
                <w:color w:val="auto"/>
              </w:rPr>
            </w:pPr>
          </w:p>
        </w:tc>
        <w:tc>
          <w:tcPr>
            <w:tcW w:w="540" w:type="dxa"/>
            <w:vAlign w:val="bottom"/>
            <w:vMerge w:val="restart"/>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ind w:left="40"/>
              <w:spacing w:after="0" w:line="113" w:lineRule="exact"/>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9"/>
                <w:szCs w:val="9"/>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top w:val="single" w:sz="8" w:color="EEEEEE"/>
            </w:tcBorders>
          </w:tcPr>
          <w:p>
            <w:pPr>
              <w:spacing w:after="0"/>
              <w:rPr>
                <w:sz w:val="6"/>
                <w:szCs w:val="6"/>
                <w:color w:val="auto"/>
              </w:rPr>
            </w:pPr>
          </w:p>
        </w:tc>
        <w:tc>
          <w:tcPr>
            <w:tcW w:w="540" w:type="dxa"/>
            <w:vAlign w:val="bottom"/>
            <w:tcBorders>
              <w:top w:val="single" w:sz="8" w:color="EEEEEE"/>
            </w:tcBorders>
          </w:tcPr>
          <w:p>
            <w:pPr>
              <w:spacing w:after="0"/>
              <w:rPr>
                <w:sz w:val="6"/>
                <w:szCs w:val="6"/>
                <w:color w:val="auto"/>
              </w:rPr>
            </w:pPr>
          </w:p>
        </w:tc>
        <w:tc>
          <w:tcPr>
            <w:tcW w:w="62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20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ind w:left="40"/>
              <w:spacing w:after="0" w:line="85" w:lineRule="exact"/>
              <w:rPr>
                <w:sz w:val="20"/>
                <w:szCs w:val="20"/>
                <w:color w:val="auto"/>
              </w:rPr>
            </w:pPr>
            <w:r>
              <w:rPr>
                <w:rFonts w:ascii="Arial" w:cs="Arial" w:eastAsia="Arial" w:hAnsi="Arial"/>
                <w:sz w:val="9"/>
                <w:szCs w:val="9"/>
                <w:color w:val="auto"/>
              </w:rPr>
              <w:t>below)</w:t>
            </w: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2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3"/>
                <w:szCs w:val="13"/>
                <w:color w:val="0000FF"/>
              </w:rPr>
              <w:t>Chief Customer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700" w:type="dxa"/>
            <w:vAlign w:val="bottom"/>
            <w:gridSpan w:val="7"/>
            <w:vMerge w:val="continue"/>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04/01/2025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20" w:type="dxa"/>
            <w:vAlign w:val="bottom"/>
            <w:tcBorders>
              <w:bottom w:val="single" w:sz="8" w:color="808080"/>
            </w:tcBorders>
            <w:gridSpan w:val="3"/>
          </w:tcPr>
          <w:p>
            <w:pPr>
              <w:spacing w:after="0"/>
              <w:rPr>
                <w:sz w:val="15"/>
                <w:szCs w:val="15"/>
                <w:color w:val="auto"/>
              </w:rPr>
            </w:pPr>
          </w:p>
        </w:tc>
        <w:tc>
          <w:tcPr>
            <w:tcW w:w="1480" w:type="dxa"/>
            <w:vAlign w:val="bottom"/>
            <w:tcBorders>
              <w:bottom w:val="single" w:sz="8" w:color="808080"/>
            </w:tcBorders>
            <w:gridSpan w:val="4"/>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gridSpan w:val="2"/>
          </w:tcPr>
          <w:p>
            <w:pPr>
              <w:spacing w:after="0"/>
              <w:rPr>
                <w:sz w:val="15"/>
                <w:szCs w:val="15"/>
                <w:color w:val="auto"/>
              </w:rPr>
            </w:pPr>
          </w:p>
        </w:tc>
        <w:tc>
          <w:tcPr>
            <w:tcW w:w="2760" w:type="dxa"/>
            <w:vAlign w:val="bottom"/>
            <w:tcBorders>
              <w:bottom w:val="single" w:sz="8" w:color="808080"/>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gridSpan w:val="3"/>
          </w:tcPr>
          <w:p>
            <w:pPr>
              <w:ind w:left="40"/>
              <w:spacing w:after="0"/>
              <w:rPr>
                <w:sz w:val="20"/>
                <w:szCs w:val="20"/>
                <w:color w:val="auto"/>
              </w:rPr>
            </w:pPr>
            <w:r>
              <w:rPr>
                <w:rFonts w:ascii="Arial" w:cs="Arial" w:eastAsia="Arial" w:hAnsi="Arial"/>
                <w:sz w:val="10"/>
                <w:szCs w:val="10"/>
                <w:color w:val="auto"/>
              </w:rPr>
              <w:t>(Street)</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2C2C2C"/>
            </w:tcBorders>
          </w:tcPr>
          <w:p>
            <w:pPr>
              <w:spacing w:after="0"/>
              <w:rPr>
                <w:sz w:val="12"/>
                <w:szCs w:val="12"/>
                <w:color w:val="auto"/>
              </w:rPr>
            </w:pPr>
          </w:p>
        </w:tc>
        <w:tc>
          <w:tcPr>
            <w:tcW w:w="2700" w:type="dxa"/>
            <w:vAlign w:val="bottom"/>
            <w:tcBorders>
              <w:top w:val="single" w:sz="8" w:color="2C2C2C"/>
            </w:tcBorders>
            <w:gridSpan w:val="7"/>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Borders>
              <w:top w:val="single" w:sz="8" w:color="2C2C2C"/>
            </w:tcBorders>
          </w:tcPr>
          <w:p>
            <w:pPr>
              <w:spacing w:after="0"/>
              <w:rPr>
                <w:sz w:val="12"/>
                <w:szCs w:val="12"/>
                <w:color w:val="auto"/>
              </w:rPr>
            </w:pPr>
          </w:p>
        </w:tc>
        <w:tc>
          <w:tcPr>
            <w:tcW w:w="540" w:type="dxa"/>
            <w:vAlign w:val="bottom"/>
            <w:tcBorders>
              <w:top w:val="single" w:sz="8" w:color="2C2C2C"/>
            </w:tcBorders>
          </w:tcPr>
          <w:p>
            <w:pPr>
              <w:spacing w:after="0"/>
              <w:rPr>
                <w:sz w:val="12"/>
                <w:szCs w:val="12"/>
                <w:color w:val="auto"/>
              </w:rPr>
            </w:pPr>
          </w:p>
        </w:tc>
        <w:tc>
          <w:tcPr>
            <w:tcW w:w="220" w:type="dxa"/>
            <w:vAlign w:val="bottom"/>
            <w:tcBorders>
              <w:top w:val="single" w:sz="8" w:color="2C2C2C"/>
            </w:tcBorders>
          </w:tcPr>
          <w:p>
            <w:pPr>
              <w:spacing w:after="0"/>
              <w:rPr>
                <w:sz w:val="12"/>
                <w:szCs w:val="12"/>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6"/>
                <w:szCs w:val="16"/>
                <w:color w:val="auto"/>
              </w:rPr>
            </w:pPr>
          </w:p>
        </w:tc>
        <w:tc>
          <w:tcPr>
            <w:tcW w:w="10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94158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0"/>
                <w:szCs w:val="10"/>
                <w:color w:val="auto"/>
              </w:rPr>
              <w:t>(City)</w:t>
            </w:r>
          </w:p>
        </w:tc>
        <w:tc>
          <w:tcPr>
            <w:tcW w:w="620" w:type="dxa"/>
            <w:vAlign w:val="bottom"/>
          </w:tcPr>
          <w:p>
            <w:pPr>
              <w:ind w:left="1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58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3"/>
                <w:szCs w:val="13"/>
                <w:color w:val="0000FF"/>
              </w:rPr>
              <w:t>04/01/2025</w:t>
            </w: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83,910</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122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3"/>
                <w:szCs w:val="13"/>
                <w:color w:val="0000FF"/>
              </w:rPr>
              <w:t>405,781</w:t>
            </w:r>
            <w:r>
              <w:rPr>
                <w:rFonts w:ascii="Times New Roman" w:cs="Times New Roman" w:eastAsia="Times New Roman" w:hAnsi="Times New Roman"/>
                <w:sz w:val="17"/>
                <w:szCs w:val="17"/>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54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80" w:hanging="6"/>
        <w:spacing w:after="0" w:line="25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securities are restricted stock units. Each restricted stock unit represents the Reporting Person's right to receive one share of Class A Common Stock. The restricted stock units vest quarterly over four years as follows: (i) 1.82% of the shares on May 15, 2025 and each three-month anniversary thereafter through February 15, 2026; (ii) 2.73% of the shares on May 15, 2026 and each three-month anniversary thereafter through February 15, 2027; (iii) 4.55% of the shares on May 15, 2027 and each three-month anniversary thereafter through November 15, 2027; and (iv) 13.63% of the shares on February 15, 2028 and each three-month anniversary thereafter through February 15, 2029.</w:t>
      </w:r>
    </w:p>
    <w:p>
      <w:pPr>
        <w:spacing w:after="0" w:line="12" w:lineRule="exact"/>
        <w:rPr>
          <w:rFonts w:ascii="Times New Roman" w:cs="Times New Roman" w:eastAsia="Times New Roman" w:hAnsi="Times New Roman"/>
          <w:sz w:val="10"/>
          <w:szCs w:val="10"/>
          <w:color w:val="008000"/>
        </w:rPr>
      </w:pPr>
    </w:p>
    <w:p>
      <w:pPr>
        <w:ind w:left="40" w:right="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04/03/2025</w:t>
            </w:r>
          </w:p>
        </w:tc>
      </w:tr>
      <w:tr>
        <w:trPr>
          <w:trHeight w:val="178"/>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73472"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2025-04-03T15:50:58Z</dcterms:created>
  <dcterms:modified xsi:type="dcterms:W3CDTF">2025-04-03T15:50:58Z</dcterms:modified>
</cp:coreProperties>
</file>