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3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3"/>
                </w:rPr>
                <w:t>Dasdan Ali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Technology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200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14,321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29.61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595,939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shares that have been withheld by the Issuer to satisfy tax withholding and remittance obligations in connection with the vesting and net settlement of restricted stock units previously reported.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2029. In the event the Reporting Person ceases to be a Service Provider, the unvested restricted stock awards and restricted stock units will be cancelled by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963980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2025-05-19T16:44:41Z</dcterms:created>
  <dcterms:modified xsi:type="dcterms:W3CDTF">2025-05-19T16:44:41Z</dcterms:modified>
</cp:coreProperties>
</file>