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Yoon William T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Chief Legal Officer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7,498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24.53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198,730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shares that have been withheld by the Issuer to satisfy tax withholding and remittance obligations in connection with the vesting and net settlement of restricted stock units previously reported.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6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2029.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59795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2026-02-19T17:18:27Z</dcterms:created>
  <dcterms:modified xsi:type="dcterms:W3CDTF">2026-02-19T17:18:27Z</dcterms:modified>
</cp:coreProperties>
</file>