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4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30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-146050</wp:posOffset>
            </wp:positionV>
            <wp:extent cx="95250" cy="95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5250" cy="95250"/>
                    </a:xfrm>
                    <a:prstGeom prst="rect">
                      <a:avLst/>
                    </a:prstGeom>
                    <a:noFill/>
                  </pic:spPr>
                </pic:pic>
              </a:graphicData>
            </a:graphic>
          </wp:anchor>
        </w:drawing>
      </w:r>
    </w:p>
    <w:p>
      <w:pPr>
        <w:spacing w:after="0" w:line="180" w:lineRule="exact"/>
        <w:rPr>
          <w:sz w:val="24"/>
          <w:szCs w:val="24"/>
          <w:color w:val="auto"/>
        </w:rPr>
      </w:pPr>
    </w:p>
    <w:p>
      <w:pPr>
        <w:ind w:left="280" w:right="240"/>
        <w:spacing w:after="0" w:line="238"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-384175</wp:posOffset>
            </wp:positionV>
            <wp:extent cx="95250" cy="95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250" cy="952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12"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7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4876800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3567430</wp:posOffset>
            </wp:positionH>
            <wp:positionV relativeFrom="paragraph">
              <wp:posOffset>-488950</wp:posOffset>
            </wp:positionV>
            <wp:extent cx="50800" cy="50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-2069465</wp:posOffset>
            </wp:positionH>
            <wp:positionV relativeFrom="paragraph">
              <wp:posOffset>448310</wp:posOffset>
            </wp:positionV>
            <wp:extent cx="7023100" cy="2999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3100" cy="2999740"/>
                    </a:xfrm>
                    <a:prstGeom prst="rect">
                      <a:avLst/>
                    </a:prstGeom>
                    <a:noFill/>
                  </pic:spPr>
                </pic:pic>
              </a:graphicData>
            </a:graphic>
          </wp:anchor>
        </w:drawing>
      </w:r>
    </w:p>
    <w:p>
      <w:pPr>
        <w:spacing w:after="0" w:line="721" w:lineRule="exact"/>
        <w:rPr>
          <w:sz w:val="24"/>
          <w:szCs w:val="24"/>
          <w:color w:val="auto"/>
        </w:rPr>
      </w:pPr>
    </w:p>
    <w:p>
      <w:pPr>
        <w:sectPr>
          <w:pgSz w:w="11900" w:h="16838" w:orient="portrait"/>
          <w:cols w:equalWidth="0" w:num="2">
            <w:col w:w="2520" w:space="720"/>
            <w:col w:w="7780"/>
          </w:cols>
          <w:pgMar w:left="440" w:top="199"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6"/>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spacing w:after="0"/>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Peacock Karen</w:t>
              </w:r>
            </w:hyperlink>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5"/>
          </w:tcPr>
          <w:p>
            <w:pPr>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ind w:left="40"/>
              <w:spacing w:after="0"/>
              <w:rPr>
                <w:sz w:val="20"/>
                <w:szCs w:val="20"/>
                <w:color w:val="auto"/>
              </w:rPr>
            </w:pPr>
            <w:r>
              <w:rPr>
                <w:rFonts w:ascii="Arial" w:cs="Arial" w:eastAsia="Arial" w:hAnsi="Arial"/>
                <w:sz w:val="10"/>
                <w:szCs w:val="10"/>
                <w:color w:val="auto"/>
              </w:rPr>
              <w:t>(Check all applicable)</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gridSpan w:val="2"/>
            <w:vMerge w:val="restart"/>
          </w:tcPr>
          <w:p>
            <w:pPr>
              <w:ind w:left="140"/>
              <w:spacing w:after="0" w:line="113" w:lineRule="exact"/>
              <w:rPr>
                <w:sz w:val="20"/>
                <w:szCs w:val="20"/>
                <w:color w:val="auto"/>
              </w:rPr>
            </w:pPr>
            <w:r>
              <w:rPr>
                <w:rFonts w:ascii="Arial" w:cs="Arial" w:eastAsia="Arial" w:hAnsi="Arial"/>
                <w:sz w:val="10"/>
                <w:szCs w:val="10"/>
                <w:color w:val="auto"/>
              </w:rPr>
              <w:t>Director</w:t>
            </w: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0" w:type="dxa"/>
            <w:vAlign w:val="bottom"/>
            <w:gridSpan w:val="3"/>
            <w:vMerge w:val="restart"/>
          </w:tcPr>
          <w:p>
            <w:pPr>
              <w:ind w:left="240"/>
              <w:spacing w:after="0" w:line="113" w:lineRule="exact"/>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0"/>
                <w:szCs w:val="10"/>
                <w:color w:val="auto"/>
                <w:w w:val="99"/>
              </w:rPr>
              <w:t>Officer (give title below)</w:t>
            </w:r>
          </w:p>
        </w:tc>
        <w:tc>
          <w:tcPr>
            <w:tcW w:w="300" w:type="dxa"/>
            <w:vAlign w:val="bottom"/>
          </w:tcPr>
          <w:p>
            <w:pPr>
              <w:spacing w:after="0"/>
              <w:rPr>
                <w:sz w:val="5"/>
                <w:szCs w:val="5"/>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560" w:type="dxa"/>
            <w:vAlign w:val="bottom"/>
            <w:vMerge w:val="restart"/>
          </w:tcPr>
          <w:p>
            <w:pPr>
              <w:ind w:left="20"/>
              <w:spacing w:after="0"/>
              <w:rPr>
                <w:sz w:val="20"/>
                <w:szCs w:val="20"/>
                <w:color w:val="auto"/>
              </w:rPr>
            </w:pPr>
            <w:r>
              <w:rPr>
                <w:rFonts w:ascii="Arial" w:cs="Arial" w:eastAsia="Arial" w:hAnsi="Arial"/>
                <w:sz w:val="10"/>
                <w:szCs w:val="10"/>
                <w:color w:val="auto"/>
              </w:rPr>
              <w:t>(First)</w:t>
            </w:r>
          </w:p>
        </w:tc>
        <w:tc>
          <w:tcPr>
            <w:tcW w:w="680" w:type="dxa"/>
            <w:vAlign w:val="bottom"/>
          </w:tcPr>
          <w:p>
            <w:pPr>
              <w:spacing w:after="0"/>
              <w:rPr>
                <w:sz w:val="6"/>
                <w:szCs w:val="6"/>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w w:val="98"/>
              </w:rPr>
              <w:t>3. Date of Earliest Transaction (Month/Day/Year)</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09/08/2025</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200</w:t>
            </w: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gridSpan w:val="3"/>
          </w:tcPr>
          <w:p>
            <w:pPr>
              <w:spacing w:after="0" w:line="20" w:lineRule="exact"/>
              <w:rPr>
                <w:sz w:val="1"/>
                <w:szCs w:val="1"/>
                <w:color w:val="auto"/>
              </w:rPr>
            </w:pPr>
          </w:p>
        </w:tc>
        <w:tc>
          <w:tcPr>
            <w:tcW w:w="1500" w:type="dxa"/>
            <w:vAlign w:val="bottom"/>
            <w:tcBorders>
              <w:bottom w:val="single" w:sz="8" w:color="2C2C2C"/>
            </w:tcBorders>
            <w:gridSpan w:val="4"/>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gridSpan w:val="2"/>
          </w:tcPr>
          <w:p>
            <w:pPr>
              <w:spacing w:after="0" w:line="20" w:lineRule="exact"/>
              <w:rPr>
                <w:sz w:val="1"/>
                <w:szCs w:val="1"/>
                <w:color w:val="auto"/>
              </w:rPr>
            </w:pPr>
          </w:p>
        </w:tc>
        <w:tc>
          <w:tcPr>
            <w:tcW w:w="2040" w:type="dxa"/>
            <w:vAlign w:val="bottom"/>
            <w:tcBorders>
              <w:bottom w:val="single" w:sz="8" w:color="2C2C2C"/>
            </w:tcBorders>
            <w:gridSpan w:val="4"/>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266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2600" w:type="dxa"/>
            <w:vAlign w:val="bottom"/>
            <w:gridSpan w:val="6"/>
            <w:vMerge w:val="restart"/>
          </w:tcPr>
          <w:p>
            <w:pPr>
              <w:ind w:left="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2660" w:type="dxa"/>
            <w:vAlign w:val="bottom"/>
            <w:gridSpan w:val="7"/>
            <w:vMerge w:val="continue"/>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260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5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CA</w:t>
            </w:r>
          </w:p>
        </w:tc>
        <w:tc>
          <w:tcPr>
            <w:tcW w:w="680" w:type="dxa"/>
            <w:vAlign w:val="bottom"/>
          </w:tcPr>
          <w:p>
            <w:pPr>
              <w:spacing w:after="0"/>
              <w:rPr>
                <w:sz w:val="16"/>
                <w:szCs w:val="16"/>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94158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6"/>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0"/>
                <w:szCs w:val="10"/>
                <w:color w:val="auto"/>
              </w:rPr>
              <w:t>(City)</w:t>
            </w:r>
          </w:p>
        </w:tc>
        <w:tc>
          <w:tcPr>
            <w:tcW w:w="560" w:type="dxa"/>
            <w:vAlign w:val="bottom"/>
          </w:tcPr>
          <w:p>
            <w:pPr>
              <w:ind w:left="20"/>
              <w:spacing w:after="0"/>
              <w:rPr>
                <w:sz w:val="20"/>
                <w:szCs w:val="20"/>
                <w:color w:val="auto"/>
              </w:rPr>
            </w:pPr>
            <w:r>
              <w:rPr>
                <w:rFonts w:ascii="Arial" w:cs="Arial" w:eastAsia="Arial" w:hAnsi="Arial"/>
                <w:sz w:val="10"/>
                <w:szCs w:val="10"/>
                <w:color w:val="auto"/>
              </w:rPr>
              <w:t>(State)</w:t>
            </w:r>
          </w:p>
        </w:tc>
        <w:tc>
          <w:tcPr>
            <w:tcW w:w="6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264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808080"/>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960" w:type="dxa"/>
            <w:vAlign w:val="bottom"/>
            <w:tcBorders>
              <w:top w:val="single" w:sz="8" w:color="2C2C2C"/>
            </w:tcBorders>
          </w:tcPr>
          <w:p>
            <w:pPr>
              <w:spacing w:after="0"/>
              <w:rPr>
                <w:sz w:val="16"/>
                <w:szCs w:val="16"/>
                <w:color w:val="auto"/>
              </w:rPr>
            </w:pPr>
          </w:p>
        </w:tc>
        <w:tc>
          <w:tcPr>
            <w:tcW w:w="26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38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700" w:type="dxa"/>
            <w:vAlign w:val="bottom"/>
            <w:tcBorders>
              <w:top w:val="single" w:sz="8" w:color="2C2C2C"/>
            </w:tcBorders>
          </w:tcPr>
          <w:p>
            <w:pPr>
              <w:spacing w:after="0"/>
              <w:rPr>
                <w:sz w:val="16"/>
                <w:szCs w:val="16"/>
                <w:color w:val="auto"/>
              </w:rPr>
            </w:pP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40" w:type="dxa"/>
            <w:vAlign w:val="bottom"/>
            <w:tcBorders>
              <w:bottom w:val="single" w:sz="8" w:color="2C2C2C"/>
            </w:tcBorders>
            <w:gridSpan w:val="2"/>
          </w:tcPr>
          <w:p>
            <w:pPr>
              <w:spacing w:after="0" w:line="20" w:lineRule="exact"/>
              <w:rPr>
                <w:sz w:val="1"/>
                <w:szCs w:val="1"/>
                <w:color w:val="auto"/>
              </w:rPr>
            </w:pPr>
          </w:p>
        </w:tc>
        <w:tc>
          <w:tcPr>
            <w:tcW w:w="82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gridSpan w:val="3"/>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060" w:type="dxa"/>
            <w:vAlign w:val="bottom"/>
            <w:tcBorders>
              <w:bottom w:val="single" w:sz="8" w:color="2C2C2C"/>
            </w:tcBorders>
            <w:gridSpan w:val="5"/>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gridSpan w:val="2"/>
          </w:tcPr>
          <w:p>
            <w:pPr>
              <w:spacing w:after="0" w:line="20" w:lineRule="exact"/>
              <w:rPr>
                <w:sz w:val="1"/>
                <w:szCs w:val="1"/>
                <w:color w:val="auto"/>
              </w:rPr>
            </w:pPr>
          </w:p>
        </w:tc>
        <w:tc>
          <w:tcPr>
            <w:tcW w:w="98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gridSpan w:val="4"/>
          </w:tcPr>
          <w:p>
            <w:pPr>
              <w:ind w:left="18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140" w:type="dxa"/>
            <w:vAlign w:val="bottom"/>
          </w:tcPr>
          <w:p>
            <w:pPr>
              <w:spacing w:after="0"/>
              <w:rPr>
                <w:sz w:val="8"/>
                <w:szCs w:val="8"/>
                <w:color w:val="auto"/>
              </w:rPr>
            </w:pPr>
          </w:p>
        </w:tc>
        <w:tc>
          <w:tcPr>
            <w:tcW w:w="8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gridSpan w:val="5"/>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if any</w:t>
            </w: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w w:val="98"/>
              </w:rPr>
              <w:t>Class A Common Stock</w:t>
            </w:r>
          </w:p>
        </w:tc>
        <w:tc>
          <w:tcPr>
            <w:tcW w:w="5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260"/>
              <w:spacing w:after="0"/>
              <w:rPr>
                <w:sz w:val="20"/>
                <w:szCs w:val="20"/>
                <w:color w:val="auto"/>
              </w:rPr>
            </w:pPr>
            <w:r>
              <w:rPr>
                <w:rFonts w:ascii="Times New Roman" w:cs="Times New Roman" w:eastAsia="Times New Roman" w:hAnsi="Times New Roman"/>
                <w:sz w:val="13"/>
                <w:szCs w:val="13"/>
                <w:color w:val="0000FF"/>
              </w:rPr>
              <w:t>09/08/2025</w:t>
            </w:r>
          </w:p>
        </w:tc>
        <w:tc>
          <w:tcPr>
            <w:tcW w:w="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8"/>
                <w:szCs w:val="8"/>
                <w:color w:val="008000"/>
              </w:rPr>
              <w:t>(1)</w:t>
            </w:r>
          </w:p>
        </w:tc>
        <w:tc>
          <w:tcPr>
            <w:tcW w:w="3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3"/>
                <w:szCs w:val="13"/>
                <w:color w:val="0000FF"/>
              </w:rPr>
              <w:t>2,000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Borders>
              <w:bottom w:val="single" w:sz="8" w:color="2C2C2C"/>
            </w:tcBorders>
            <w:gridSpan w:val="2"/>
          </w:tcPr>
          <w:p>
            <w:pPr>
              <w:jc w:val="right"/>
              <w:ind w:right="17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30</w:t>
            </w:r>
          </w:p>
        </w:tc>
        <w:tc>
          <w:tcPr>
            <w:tcW w:w="82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1"/>
              </w:rPr>
              <w:t>23,295</w:t>
            </w:r>
            <w:r>
              <w:rPr>
                <w:rFonts w:ascii="Times New Roman" w:cs="Times New Roman" w:eastAsia="Times New Roman" w:hAnsi="Times New Roman"/>
                <w:sz w:val="16"/>
                <w:szCs w:val="16"/>
                <w:color w:val="008000"/>
                <w:w w:val="91"/>
                <w:vertAlign w:val="superscript"/>
              </w:rPr>
              <w:t>(2)</w:t>
            </w: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96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40" w:type="dxa"/>
            <w:vAlign w:val="bottom"/>
            <w:tcBorders>
              <w:bottom w:val="single" w:sz="8" w:color="2C2C2C"/>
            </w:tcBorders>
            <w:gridSpan w:val="2"/>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gridSpan w:val="3"/>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gridSpan w:val="2"/>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4"/>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60" w:type="dxa"/>
            <w:vAlign w:val="bottom"/>
          </w:tcPr>
          <w:p>
            <w:pPr>
              <w:ind w:left="20"/>
              <w:spacing w:after="0"/>
              <w:rPr>
                <w:sz w:val="20"/>
                <w:szCs w:val="20"/>
                <w:color w:val="auto"/>
              </w:rPr>
            </w:pPr>
            <w:r>
              <w:rPr>
                <w:rFonts w:ascii="Arial" w:cs="Arial" w:eastAsia="Arial" w:hAnsi="Arial"/>
                <w:sz w:val="9"/>
                <w:szCs w:val="9"/>
                <w:b w:val="1"/>
                <w:bCs w:val="1"/>
                <w:color w:val="auto"/>
              </w:rPr>
              <w:t>2.</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100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3"/>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Conversion</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6"/>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Price of</w:t>
            </w:r>
          </w:p>
        </w:tc>
        <w:tc>
          <w:tcPr>
            <w:tcW w:w="680" w:type="dxa"/>
            <w:vAlign w:val="bottom"/>
          </w:tcPr>
          <w:p>
            <w:pPr>
              <w:spacing w:after="0"/>
              <w:rPr>
                <w:sz w:val="8"/>
                <w:szCs w:val="8"/>
                <w:color w:val="auto"/>
              </w:rPr>
            </w:pP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vMerge w:val="restart"/>
          </w:tcPr>
          <w:p>
            <w:pPr>
              <w:ind w:left="2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8"/>
                <w:szCs w:val="8"/>
                <w:color w:val="auto"/>
              </w:rPr>
            </w:pPr>
          </w:p>
        </w:tc>
        <w:tc>
          <w:tcPr>
            <w:tcW w:w="50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b w:val="1"/>
                <w:bCs w:val="1"/>
                <w:color w:val="auto"/>
                <w:w w:val="97"/>
              </w:rPr>
              <w:t>Code</w:t>
            </w:r>
          </w:p>
        </w:tc>
        <w:tc>
          <w:tcPr>
            <w:tcW w:w="40" w:type="dxa"/>
            <w:vAlign w:val="bottom"/>
          </w:tcPr>
          <w:p>
            <w:pPr>
              <w:spacing w:after="0"/>
              <w:rPr>
                <w:sz w:val="10"/>
                <w:szCs w:val="10"/>
                <w:color w:val="auto"/>
              </w:rPr>
            </w:pPr>
          </w:p>
        </w:tc>
        <w:tc>
          <w:tcPr>
            <w:tcW w:w="540" w:type="dxa"/>
            <w:vAlign w:val="bottom"/>
          </w:tcPr>
          <w:p>
            <w:pPr>
              <w:ind w:left="140"/>
              <w:spacing w:after="0"/>
              <w:rPr>
                <w:sz w:val="20"/>
                <w:szCs w:val="20"/>
                <w:color w:val="auto"/>
              </w:rPr>
            </w:pPr>
            <w:r>
              <w:rPr>
                <w:rFonts w:ascii="Arial" w:cs="Arial" w:eastAsia="Arial" w:hAnsi="Arial"/>
                <w:sz w:val="9"/>
                <w:szCs w:val="9"/>
                <w:b w:val="1"/>
                <w:bCs w:val="1"/>
                <w:color w:val="auto"/>
              </w:rPr>
              <w:t>V</w:t>
            </w:r>
          </w:p>
        </w:tc>
        <w:tc>
          <w:tcPr>
            <w:tcW w:w="140" w:type="dxa"/>
            <w:vAlign w:val="bottom"/>
          </w:tcPr>
          <w:p>
            <w:pPr>
              <w:ind w:left="20"/>
              <w:spacing w:after="0"/>
              <w:rPr>
                <w:sz w:val="20"/>
                <w:szCs w:val="20"/>
                <w:color w:val="auto"/>
              </w:rPr>
            </w:pPr>
            <w:r>
              <w:rPr>
                <w:rFonts w:ascii="Arial" w:cs="Arial" w:eastAsia="Arial" w:hAnsi="Arial"/>
                <w:sz w:val="9"/>
                <w:szCs w:val="9"/>
                <w:b w:val="1"/>
                <w:bCs w:val="1"/>
                <w:color w:val="auto"/>
                <w:w w:val="79"/>
              </w:rPr>
              <w:t>(A)</w:t>
            </w:r>
          </w:p>
        </w:tc>
        <w:tc>
          <w:tcPr>
            <w:tcW w:w="800" w:type="dxa"/>
            <w:vAlign w:val="bottom"/>
            <w:gridSpan w:val="2"/>
          </w:tcPr>
          <w:p>
            <w:pPr>
              <w:ind w:left="3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00" w:type="dxa"/>
            <w:vAlign w:val="bottom"/>
          </w:tcPr>
          <w:p>
            <w:pPr>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sold pursuant to a Rule 10b5-1 trading plan adopted by the Reporting Person on February 24, 2025.</w:t>
      </w:r>
    </w:p>
    <w:p>
      <w:pPr>
        <w:spacing w:after="0" w:line="35" w:lineRule="exact"/>
        <w:rPr>
          <w:rFonts w:ascii="Times New Roman" w:cs="Times New Roman" w:eastAsia="Times New Roman" w:hAnsi="Times New Roman"/>
          <w:sz w:val="10"/>
          <w:szCs w:val="10"/>
          <w:color w:val="008000"/>
        </w:rPr>
      </w:pPr>
    </w:p>
    <w:p>
      <w:pPr>
        <w:ind w:left="40" w:right="32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units. Each restricted stock unit represents the Reporting Person's right to receive one share of Class A Common Stock, subject to the applicable vesting schedule through May 15, 2026 or the day prior to the date of the Issuer's next annual meeting of stockholders. In the event the Reporting Person ceases to be a Service Provider, the unvested restricted stock units will be cancelled by the Issuer.</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09/10/2025</w:t>
            </w:r>
          </w:p>
        </w:tc>
      </w:tr>
      <w:tr>
        <w:trPr>
          <w:trHeight w:val="172"/>
        </w:trPr>
        <w:tc>
          <w:tcPr>
            <w:tcW w:w="6580" w:type="dxa"/>
            <w:vAlign w:val="bottom"/>
          </w:tcPr>
          <w:p>
            <w:pPr>
              <w:spacing w:after="0"/>
              <w:rPr>
                <w:sz w:val="14"/>
                <w:szCs w:val="14"/>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3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4"/>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377825</wp:posOffset>
            </wp:positionH>
            <wp:positionV relativeFrom="page">
              <wp:posOffset>292100</wp:posOffset>
            </wp:positionV>
            <wp:extent cx="6950075" cy="8792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50075" cy="8792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6299"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2025-09-10T15:53:58Z</dcterms:created>
  <dcterms:modified xsi:type="dcterms:W3CDTF">2025-09-10T15:53:58Z</dcterms:modified>
</cp:coreProperties>
</file>