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00"/>
        <w:spacing w:after="0"/>
        <w:rPr>
          <w:sz w:val="20"/>
          <w:szCs w:val="20"/>
          <w:color w:val="auto"/>
        </w:rPr>
      </w:pPr>
      <w:r>
        <w:rPr>
          <w:rFonts w:ascii="Arial" w:cs="Arial" w:eastAsia="Arial" w:hAnsi="Arial"/>
          <w:sz w:val="32"/>
          <w:szCs w:val="32"/>
          <w:b w:val="1"/>
          <w:bCs w:val="1"/>
          <w:color w:val="auto"/>
        </w:rPr>
        <w:t>UNITED STATES</w:t>
      </w:r>
    </w:p>
    <w:p>
      <w:pPr>
        <w:spacing w:after="0" w:line="46" w:lineRule="exact"/>
        <w:rPr>
          <w:sz w:val="24"/>
          <w:szCs w:val="24"/>
          <w:color w:val="auto"/>
        </w:rPr>
      </w:pPr>
    </w:p>
    <w:p>
      <w:pPr>
        <w:jc w:val="center"/>
        <w:ind w:right="100"/>
        <w:spacing w:after="0"/>
        <w:rPr>
          <w:sz w:val="20"/>
          <w:szCs w:val="20"/>
          <w:color w:val="auto"/>
        </w:rPr>
      </w:pPr>
      <w:r>
        <w:rPr>
          <w:rFonts w:ascii="Arial" w:cs="Arial" w:eastAsia="Arial" w:hAnsi="Arial"/>
          <w:sz w:val="32"/>
          <w:szCs w:val="32"/>
          <w:b w:val="1"/>
          <w:bCs w:val="1"/>
          <w:color w:val="auto"/>
        </w:rPr>
        <w:t>SECURITIES AND EXCHANGE COMMISSION</w:t>
      </w:r>
    </w:p>
    <w:p>
      <w:pPr>
        <w:spacing w:after="0" w:line="11" w:lineRule="exact"/>
        <w:rPr>
          <w:sz w:val="24"/>
          <w:szCs w:val="24"/>
          <w:color w:val="auto"/>
        </w:rPr>
      </w:pPr>
    </w:p>
    <w:p>
      <w:pPr>
        <w:jc w:val="center"/>
        <w:ind w:right="100"/>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2917190</wp:posOffset>
            </wp:positionH>
            <wp:positionV relativeFrom="paragraph">
              <wp:posOffset>243840</wp:posOffset>
            </wp:positionV>
            <wp:extent cx="1430655"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430655" cy="8255"/>
                    </a:xfrm>
                    <a:prstGeom prst="rect">
                      <a:avLst/>
                    </a:prstGeom>
                    <a:noFill/>
                  </pic:spPr>
                </pic:pic>
              </a:graphicData>
            </a:graphic>
          </wp:anchor>
        </w:drawing>
      </w:r>
    </w:p>
    <w:p>
      <w:pPr>
        <w:spacing w:after="0" w:line="366" w:lineRule="exact"/>
        <w:rPr>
          <w:sz w:val="24"/>
          <w:szCs w:val="24"/>
          <w:color w:val="auto"/>
        </w:rPr>
      </w:pPr>
    </w:p>
    <w:p>
      <w:pPr>
        <w:jc w:val="center"/>
        <w:ind w:right="100"/>
        <w:spacing w:after="0"/>
        <w:rPr>
          <w:sz w:val="20"/>
          <w:szCs w:val="20"/>
          <w:color w:val="auto"/>
        </w:rPr>
      </w:pPr>
      <w:r>
        <w:rPr>
          <w:rFonts w:ascii="Arial" w:cs="Arial" w:eastAsia="Arial" w:hAnsi="Arial"/>
          <w:sz w:val="36"/>
          <w:szCs w:val="36"/>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2917190</wp:posOffset>
            </wp:positionH>
            <wp:positionV relativeFrom="paragraph">
              <wp:posOffset>44450</wp:posOffset>
            </wp:positionV>
            <wp:extent cx="1430655"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430655" cy="8255"/>
                    </a:xfrm>
                    <a:prstGeom prst="rect">
                      <a:avLst/>
                    </a:prstGeom>
                    <a:noFill/>
                  </pic:spPr>
                </pic:pic>
              </a:graphicData>
            </a:graphic>
          </wp:anchor>
        </w:drawing>
      </w:r>
    </w:p>
    <w:p>
      <w:pPr>
        <w:spacing w:after="0" w:line="200" w:lineRule="exact"/>
        <w:rPr>
          <w:sz w:val="24"/>
          <w:szCs w:val="24"/>
          <w:color w:val="auto"/>
        </w:rPr>
      </w:pPr>
    </w:p>
    <w:p>
      <w:pPr>
        <w:spacing w:after="0" w:line="227" w:lineRule="exact"/>
        <w:rPr>
          <w:sz w:val="24"/>
          <w:szCs w:val="24"/>
          <w:color w:val="auto"/>
        </w:rPr>
      </w:pPr>
    </w:p>
    <w:p>
      <w:pPr>
        <w:jc w:val="center"/>
        <w:ind w:right="100"/>
        <w:spacing w:after="0"/>
        <w:rPr>
          <w:sz w:val="20"/>
          <w:szCs w:val="20"/>
          <w:color w:val="auto"/>
        </w:rPr>
      </w:pPr>
      <w:r>
        <w:rPr>
          <w:rFonts w:ascii="Arial" w:cs="Arial" w:eastAsia="Arial" w:hAnsi="Arial"/>
          <w:sz w:val="22"/>
          <w:szCs w:val="22"/>
          <w:b w:val="1"/>
          <w:bCs w:val="1"/>
          <w:color w:val="auto"/>
        </w:rPr>
        <w:t>CURRENT REPORT</w:t>
      </w:r>
    </w:p>
    <w:p>
      <w:pPr>
        <w:spacing w:after="0" w:line="27" w:lineRule="exact"/>
        <w:rPr>
          <w:sz w:val="24"/>
          <w:szCs w:val="24"/>
          <w:color w:val="auto"/>
        </w:rPr>
      </w:pPr>
    </w:p>
    <w:p>
      <w:pPr>
        <w:jc w:val="center"/>
        <w:ind w:right="100"/>
        <w:spacing w:after="0"/>
        <w:rPr>
          <w:sz w:val="20"/>
          <w:szCs w:val="20"/>
          <w:color w:val="auto"/>
        </w:rPr>
      </w:pPr>
      <w:r>
        <w:rPr>
          <w:rFonts w:ascii="Arial" w:cs="Arial" w:eastAsia="Arial" w:hAnsi="Arial"/>
          <w:sz w:val="22"/>
          <w:szCs w:val="22"/>
          <w:b w:val="1"/>
          <w:bCs w:val="1"/>
          <w:color w:val="auto"/>
        </w:rPr>
        <w:t>Pursuant to Section 13 or 15(d)</w:t>
      </w:r>
    </w:p>
    <w:p>
      <w:pPr>
        <w:spacing w:after="0" w:line="3" w:lineRule="exact"/>
        <w:rPr>
          <w:sz w:val="24"/>
          <w:szCs w:val="24"/>
          <w:color w:val="auto"/>
        </w:rPr>
      </w:pPr>
    </w:p>
    <w:p>
      <w:pPr>
        <w:jc w:val="center"/>
        <w:ind w:right="100"/>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236" w:lineRule="exact"/>
        <w:rPr>
          <w:sz w:val="24"/>
          <w:szCs w:val="24"/>
          <w:color w:val="auto"/>
        </w:rPr>
      </w:pPr>
    </w:p>
    <w:p>
      <w:pPr>
        <w:jc w:val="center"/>
        <w:ind w:right="100"/>
        <w:spacing w:after="0"/>
        <w:rPr>
          <w:sz w:val="20"/>
          <w:szCs w:val="20"/>
          <w:color w:val="auto"/>
        </w:rPr>
      </w:pPr>
      <w:r>
        <w:rPr>
          <w:rFonts w:ascii="Arial" w:cs="Arial" w:eastAsia="Arial" w:hAnsi="Arial"/>
          <w:sz w:val="22"/>
          <w:szCs w:val="22"/>
          <w:b w:val="1"/>
          <w:bCs w:val="1"/>
          <w:color w:val="auto"/>
        </w:rPr>
        <w:t>August 9, 2018</w:t>
      </w:r>
    </w:p>
    <w:p>
      <w:pPr>
        <w:spacing w:after="0" w:line="27" w:lineRule="exact"/>
        <w:rPr>
          <w:sz w:val="24"/>
          <w:szCs w:val="24"/>
          <w:color w:val="auto"/>
        </w:rPr>
      </w:pPr>
    </w:p>
    <w:p>
      <w:pPr>
        <w:jc w:val="center"/>
        <w:ind w:right="100"/>
        <w:spacing w:after="0"/>
        <w:rPr>
          <w:sz w:val="20"/>
          <w:szCs w:val="20"/>
          <w:color w:val="auto"/>
        </w:rPr>
      </w:pPr>
      <w:r>
        <w:rPr>
          <w:rFonts w:ascii="Arial" w:cs="Arial" w:eastAsia="Arial" w:hAnsi="Arial"/>
          <w:sz w:val="22"/>
          <w:szCs w:val="22"/>
          <w:b w:val="1"/>
          <w:bCs w:val="1"/>
          <w:color w:val="auto"/>
        </w:rPr>
        <w:t>Date of Report (date of earliest event reported)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2060575</wp:posOffset>
            </wp:positionH>
            <wp:positionV relativeFrom="paragraph">
              <wp:posOffset>243840</wp:posOffset>
            </wp:positionV>
            <wp:extent cx="3143885"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143885" cy="8255"/>
                    </a:xfrm>
                    <a:prstGeom prst="rect">
                      <a:avLst/>
                    </a:prstGeom>
                    <a:noFill/>
                  </pic:spPr>
                </pic:pic>
              </a:graphicData>
            </a:graphic>
          </wp:anchor>
        </w:drawing>
      </w:r>
    </w:p>
    <w:p>
      <w:pPr>
        <w:spacing w:after="0" w:line="366" w:lineRule="exact"/>
        <w:rPr>
          <w:sz w:val="24"/>
          <w:szCs w:val="24"/>
          <w:color w:val="auto"/>
        </w:rPr>
      </w:pPr>
    </w:p>
    <w:p>
      <w:pPr>
        <w:jc w:val="center"/>
        <w:ind w:right="100"/>
        <w:spacing w:after="0"/>
        <w:rPr>
          <w:sz w:val="20"/>
          <w:szCs w:val="20"/>
          <w:color w:val="auto"/>
        </w:rPr>
      </w:pPr>
      <w:r>
        <w:rPr>
          <w:rFonts w:ascii="Arial" w:cs="Arial" w:eastAsia="Arial" w:hAnsi="Arial"/>
          <w:sz w:val="36"/>
          <w:szCs w:val="36"/>
          <w:b w:val="1"/>
          <w:bCs w:val="1"/>
          <w:color w:val="auto"/>
        </w:rPr>
        <w:t>DROPBOX, INC.</w:t>
      </w:r>
    </w:p>
    <w:p>
      <w:pPr>
        <w:spacing w:after="0" w:line="45" w:lineRule="exact"/>
        <w:rPr>
          <w:sz w:val="24"/>
          <w:szCs w:val="24"/>
          <w:color w:val="auto"/>
        </w:rPr>
      </w:pPr>
    </w:p>
    <w:p>
      <w:pPr>
        <w:jc w:val="center"/>
        <w:ind w:right="100"/>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2060575</wp:posOffset>
            </wp:positionH>
            <wp:positionV relativeFrom="paragraph">
              <wp:posOffset>21590</wp:posOffset>
            </wp:positionV>
            <wp:extent cx="314388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143885" cy="8255"/>
                    </a:xfrm>
                    <a:prstGeom prst="rect">
                      <a:avLst/>
                    </a:prstGeom>
                    <a:noFill/>
                  </pic:spPr>
                </pic:pic>
              </a:graphicData>
            </a:graphic>
          </wp:anchor>
        </w:drawing>
      </w:r>
    </w:p>
    <w:p>
      <w:pPr>
        <w:sectPr>
          <w:pgSz w:w="11900" w:h="16838" w:orient="portrait"/>
          <w:cols w:equalWidth="0" w:num="1">
            <w:col w:w="11520"/>
          </w:cols>
          <w:pgMar w:left="240" w:top="678" w:right="139" w:bottom="1440" w:gutter="0" w:footer="0" w:header="0"/>
        </w:sectPr>
      </w:pPr>
    </w:p>
    <w:p>
      <w:pPr>
        <w:spacing w:after="0" w:line="200" w:lineRule="exact"/>
        <w:rPr>
          <w:sz w:val="24"/>
          <w:szCs w:val="24"/>
          <w:color w:val="auto"/>
        </w:rPr>
      </w:pPr>
    </w:p>
    <w:p>
      <w:pPr>
        <w:spacing w:after="0" w:line="369" w:lineRule="exact"/>
        <w:rPr>
          <w:sz w:val="24"/>
          <w:szCs w:val="24"/>
          <w:color w:val="auto"/>
        </w:rPr>
      </w:pPr>
    </w:p>
    <w:p>
      <w:pPr>
        <w:ind w:left="2040"/>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49" w:lineRule="exact"/>
        <w:rPr>
          <w:sz w:val="24"/>
          <w:szCs w:val="24"/>
          <w:color w:val="auto"/>
        </w:rPr>
      </w:pPr>
    </w:p>
    <w:p>
      <w:pPr>
        <w:jc w:val="center"/>
        <w:ind w:right="1760"/>
        <w:spacing w:after="0"/>
        <w:rPr>
          <w:sz w:val="20"/>
          <w:szCs w:val="20"/>
          <w:color w:val="auto"/>
        </w:rPr>
      </w:pPr>
      <w:r>
        <w:rPr>
          <w:rFonts w:ascii="Arial" w:cs="Arial" w:eastAsia="Arial" w:hAnsi="Arial"/>
          <w:sz w:val="16"/>
          <w:szCs w:val="16"/>
          <w:b w:val="1"/>
          <w:bCs w:val="1"/>
          <w:color w:val="auto"/>
        </w:rPr>
        <w:t>001-38434</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49"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26-0138832</w:t>
      </w:r>
    </w:p>
    <w:p>
      <w:pPr>
        <w:spacing w:after="0" w:line="86" w:lineRule="exact"/>
        <w:rPr>
          <w:sz w:val="24"/>
          <w:szCs w:val="24"/>
          <w:color w:val="auto"/>
        </w:rPr>
      </w:pPr>
    </w:p>
    <w:p>
      <w:pPr>
        <w:sectPr>
          <w:pgSz w:w="11900" w:h="16838" w:orient="portrait"/>
          <w:cols w:equalWidth="0" w:num="3">
            <w:col w:w="4660" w:space="720"/>
            <w:col w:w="2540" w:space="720"/>
            <w:col w:w="2880"/>
          </w:cols>
          <w:pgMar w:left="240" w:top="678" w:right="139" w:bottom="1440" w:gutter="0" w:footer="0" w:header="0"/>
          <w:type w:val="continuous"/>
        </w:sectPr>
      </w:pPr>
    </w:p>
    <w:p>
      <w:pPr>
        <w:jc w:val="center"/>
        <w:ind w:left="820"/>
        <w:spacing w:after="0"/>
        <w:rPr>
          <w:sz w:val="20"/>
          <w:szCs w:val="20"/>
          <w:color w:val="auto"/>
        </w:rPr>
      </w:pPr>
      <w:r>
        <w:rPr>
          <w:rFonts w:ascii="Arial" w:cs="Arial" w:eastAsia="Arial" w:hAnsi="Arial"/>
          <w:sz w:val="16"/>
          <w:szCs w:val="16"/>
          <w:b w:val="1"/>
          <w:bCs w:val="1"/>
          <w:color w:val="auto"/>
        </w:rPr>
        <w:t>(State or other jurisdiction of</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6"/>
          <w:szCs w:val="16"/>
          <w:b w:val="1"/>
          <w:bCs w:val="1"/>
          <w:color w:val="auto"/>
        </w:rPr>
        <w:t>(Commission File Number)</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6"/>
          <w:szCs w:val="16"/>
          <w:b w:val="1"/>
          <w:bCs w:val="1"/>
          <w:color w:val="auto"/>
        </w:rPr>
        <w:t>(I. R. S. Employer Identification No.)</w:t>
      </w:r>
    </w:p>
    <w:p>
      <w:pPr>
        <w:spacing w:after="0" w:line="50" w:lineRule="exact"/>
        <w:rPr>
          <w:sz w:val="24"/>
          <w:szCs w:val="24"/>
          <w:color w:val="auto"/>
        </w:rPr>
      </w:pPr>
    </w:p>
    <w:p>
      <w:pPr>
        <w:sectPr>
          <w:pgSz w:w="11900" w:h="16838" w:orient="portrait"/>
          <w:cols w:equalWidth="0" w:num="3">
            <w:col w:w="4000" w:space="720"/>
            <w:col w:w="2220" w:space="720"/>
            <w:col w:w="3860"/>
          </w:cols>
          <w:pgMar w:left="240" w:top="678" w:right="139" w:bottom="1440" w:gutter="0" w:footer="0" w:header="0"/>
          <w:type w:val="continuous"/>
        </w:sectPr>
      </w:pPr>
    </w:p>
    <w:p>
      <w:pPr>
        <w:ind w:left="1840"/>
        <w:spacing w:after="0"/>
        <w:rPr>
          <w:sz w:val="20"/>
          <w:szCs w:val="20"/>
          <w:color w:val="auto"/>
        </w:rPr>
      </w:pPr>
      <w:r>
        <w:rPr>
          <w:rFonts w:ascii="Arial" w:cs="Arial" w:eastAsia="Arial" w:hAnsi="Arial"/>
          <w:sz w:val="16"/>
          <w:szCs w:val="16"/>
          <w:b w:val="1"/>
          <w:bCs w:val="1"/>
          <w:color w:val="auto"/>
        </w:rPr>
        <w:t>incorporation)</w:t>
      </w:r>
    </w:p>
    <w:p>
      <w:pPr>
        <w:sectPr>
          <w:pgSz w:w="11900" w:h="16838" w:orient="portrait"/>
          <w:cols w:equalWidth="0" w:num="1">
            <w:col w:w="11520"/>
          </w:cols>
          <w:pgMar w:left="240" w:top="678" w:right="139" w:bottom="1440" w:gutter="0" w:footer="0" w:header="0"/>
          <w:type w:val="continuous"/>
        </w:sectPr>
      </w:pPr>
    </w:p>
    <w:p>
      <w:pPr>
        <w:spacing w:after="0" w:line="202" w:lineRule="exact"/>
        <w:rPr>
          <w:sz w:val="24"/>
          <w:szCs w:val="24"/>
          <w:color w:val="auto"/>
        </w:rPr>
      </w:pPr>
    </w:p>
    <w:p>
      <w:pPr>
        <w:jc w:val="center"/>
        <w:ind w:right="100"/>
        <w:spacing w:after="0"/>
        <w:rPr>
          <w:sz w:val="20"/>
          <w:szCs w:val="20"/>
          <w:color w:val="auto"/>
        </w:rPr>
      </w:pPr>
      <w:r>
        <w:rPr>
          <w:rFonts w:ascii="Arial" w:cs="Arial" w:eastAsia="Arial" w:hAnsi="Arial"/>
          <w:sz w:val="18"/>
          <w:szCs w:val="18"/>
          <w:b w:val="1"/>
          <w:bCs w:val="1"/>
          <w:color w:val="auto"/>
        </w:rPr>
        <w:t>333 Brannan St.</w:t>
      </w:r>
    </w:p>
    <w:p>
      <w:pPr>
        <w:spacing w:after="0" w:line="27" w:lineRule="exact"/>
        <w:rPr>
          <w:sz w:val="24"/>
          <w:szCs w:val="24"/>
          <w:color w:val="auto"/>
        </w:rPr>
      </w:pPr>
    </w:p>
    <w:p>
      <w:pPr>
        <w:jc w:val="center"/>
        <w:ind w:right="100"/>
        <w:spacing w:after="0"/>
        <w:rPr>
          <w:sz w:val="20"/>
          <w:szCs w:val="20"/>
          <w:color w:val="auto"/>
        </w:rPr>
      </w:pPr>
      <w:r>
        <w:rPr>
          <w:rFonts w:ascii="Arial" w:cs="Arial" w:eastAsia="Arial" w:hAnsi="Arial"/>
          <w:sz w:val="18"/>
          <w:szCs w:val="18"/>
          <w:b w:val="1"/>
          <w:bCs w:val="1"/>
          <w:color w:val="auto"/>
        </w:rPr>
        <w:t>San Francisco, California 94107</w:t>
      </w:r>
    </w:p>
    <w:p>
      <w:pPr>
        <w:spacing w:after="0" w:line="9" w:lineRule="exact"/>
        <w:rPr>
          <w:sz w:val="24"/>
          <w:szCs w:val="24"/>
          <w:color w:val="auto"/>
        </w:rPr>
      </w:pPr>
    </w:p>
    <w:p>
      <w:pPr>
        <w:jc w:val="center"/>
        <w:ind w:right="100"/>
        <w:spacing w:after="0"/>
        <w:rPr>
          <w:sz w:val="20"/>
          <w:szCs w:val="20"/>
          <w:color w:val="auto"/>
        </w:rPr>
      </w:pPr>
      <w:r>
        <w:rPr>
          <w:rFonts w:ascii="Arial" w:cs="Arial" w:eastAsia="Arial" w:hAnsi="Arial"/>
          <w:sz w:val="18"/>
          <w:szCs w:val="18"/>
          <w:b w:val="1"/>
          <w:bCs w:val="1"/>
          <w:color w:val="auto"/>
        </w:rPr>
        <w:t>(Address of principal executive offices)</w:t>
      </w:r>
    </w:p>
    <w:p>
      <w:pPr>
        <w:spacing w:after="0" w:line="9" w:lineRule="exact"/>
        <w:rPr>
          <w:sz w:val="24"/>
          <w:szCs w:val="24"/>
          <w:color w:val="auto"/>
        </w:rPr>
      </w:pPr>
    </w:p>
    <w:p>
      <w:pPr>
        <w:jc w:val="center"/>
        <w:ind w:right="100"/>
        <w:spacing w:after="0"/>
        <w:rPr>
          <w:sz w:val="20"/>
          <w:szCs w:val="20"/>
          <w:color w:val="auto"/>
        </w:rPr>
      </w:pPr>
      <w:r>
        <w:rPr>
          <w:rFonts w:ascii="Arial" w:cs="Arial" w:eastAsia="Arial" w:hAnsi="Arial"/>
          <w:sz w:val="18"/>
          <w:szCs w:val="18"/>
          <w:b w:val="1"/>
          <w:bCs w:val="1"/>
          <w:color w:val="auto"/>
        </w:rPr>
        <w:t>(415) 857-6800</w:t>
      </w:r>
    </w:p>
    <w:p>
      <w:pPr>
        <w:spacing w:after="0" w:line="9" w:lineRule="exact"/>
        <w:rPr>
          <w:sz w:val="24"/>
          <w:szCs w:val="24"/>
          <w:color w:val="auto"/>
        </w:rPr>
      </w:pPr>
    </w:p>
    <w:p>
      <w:pPr>
        <w:jc w:val="center"/>
        <w:ind w:right="100"/>
        <w:spacing w:after="0"/>
        <w:rPr>
          <w:sz w:val="20"/>
          <w:szCs w:val="20"/>
          <w:color w:val="auto"/>
        </w:rPr>
      </w:pPr>
      <w:r>
        <w:rPr>
          <w:rFonts w:ascii="Arial" w:cs="Arial" w:eastAsia="Arial" w:hAnsi="Arial"/>
          <w:sz w:val="18"/>
          <w:szCs w:val="18"/>
          <w:b w:val="1"/>
          <w:bCs w:val="1"/>
          <w:color w:val="auto"/>
        </w:rPr>
        <w:t>(Registrant’s telephone number, including area code)</w:t>
      </w:r>
    </w:p>
    <w:p>
      <w:pPr>
        <w:spacing w:after="0" w:line="9" w:lineRule="exact"/>
        <w:rPr>
          <w:sz w:val="24"/>
          <w:szCs w:val="24"/>
          <w:color w:val="auto"/>
        </w:rPr>
      </w:pPr>
    </w:p>
    <w:p>
      <w:pPr>
        <w:jc w:val="center"/>
        <w:ind w:right="100"/>
        <w:spacing w:after="0"/>
        <w:rPr>
          <w:sz w:val="20"/>
          <w:szCs w:val="20"/>
          <w:color w:val="auto"/>
        </w:rPr>
      </w:pPr>
      <w:r>
        <w:rPr>
          <w:rFonts w:ascii="Arial" w:cs="Arial" w:eastAsia="Arial" w:hAnsi="Arial"/>
          <w:sz w:val="18"/>
          <w:szCs w:val="18"/>
          <w:b w:val="1"/>
          <w:bCs w:val="1"/>
          <w:color w:val="auto"/>
        </w:rPr>
        <w:t>N/A</w:t>
      </w:r>
    </w:p>
    <w:p>
      <w:pPr>
        <w:spacing w:after="0" w:line="9" w:lineRule="exact"/>
        <w:rPr>
          <w:sz w:val="24"/>
          <w:szCs w:val="24"/>
          <w:color w:val="auto"/>
        </w:rPr>
      </w:pPr>
    </w:p>
    <w:p>
      <w:pPr>
        <w:jc w:val="center"/>
        <w:ind w:right="100"/>
        <w:spacing w:after="0"/>
        <w:rPr>
          <w:sz w:val="20"/>
          <w:szCs w:val="20"/>
          <w:color w:val="auto"/>
        </w:rPr>
      </w:pPr>
      <w:r>
        <w:rPr>
          <w:rFonts w:ascii="Arial" w:cs="Arial" w:eastAsia="Arial" w:hAnsi="Arial"/>
          <w:sz w:val="18"/>
          <w:szCs w:val="18"/>
          <w:b w:val="1"/>
          <w:bCs w:val="1"/>
          <w:color w:val="auto"/>
        </w:rPr>
        <w:t>(Former name or former address, if changed since last report)</w:t>
      </w:r>
    </w:p>
    <w:p>
      <w:pPr>
        <w:spacing w:after="0" w:line="237" w:lineRule="exact"/>
        <w:rPr>
          <w:sz w:val="24"/>
          <w:szCs w:val="24"/>
          <w:color w:val="auto"/>
        </w:rPr>
      </w:pPr>
    </w:p>
    <w:p>
      <w:pPr>
        <w:ind w:right="24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210" w:lineRule="exact"/>
        <w:rPr>
          <w:sz w:val="24"/>
          <w:szCs w:val="24"/>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4"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4"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4"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65"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7"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7" w:lineRule="exact"/>
        <w:rPr>
          <w:sz w:val="24"/>
          <w:szCs w:val="24"/>
          <w:color w:val="auto"/>
        </w:rPr>
      </w:pPr>
    </w:p>
    <w:p>
      <w:pPr>
        <w:ind w:right="26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ectPr>
          <w:pgSz w:w="11900" w:h="16838" w:orient="portrait"/>
          <w:cols w:equalWidth="0" w:num="1">
            <w:col w:w="11520"/>
          </w:cols>
          <w:pgMar w:left="240" w:top="678" w:right="139" w:bottom="1440" w:gutter="0" w:footer="0" w:header="0"/>
          <w:type w:val="continuous"/>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2.02 – Results of Operations and Financial Condition</w:t>
      </w:r>
    </w:p>
    <w:p>
      <w:pPr>
        <w:spacing w:after="0" w:line="229" w:lineRule="exact"/>
        <w:rPr>
          <w:sz w:val="20"/>
          <w:szCs w:val="20"/>
          <w:color w:val="auto"/>
        </w:rPr>
      </w:pPr>
    </w:p>
    <w:p>
      <w:pPr>
        <w:ind w:right="300"/>
        <w:spacing w:after="0" w:line="341" w:lineRule="auto"/>
        <w:rPr>
          <w:sz w:val="20"/>
          <w:szCs w:val="20"/>
          <w:color w:val="auto"/>
        </w:rPr>
      </w:pPr>
      <w:r>
        <w:rPr>
          <w:rFonts w:ascii="Arial" w:cs="Arial" w:eastAsia="Arial" w:hAnsi="Arial"/>
          <w:sz w:val="16"/>
          <w:szCs w:val="16"/>
          <w:color w:val="auto"/>
        </w:rPr>
        <w:t>On August 9, 2018, Dropbox, Inc. (“Dropbox”) issued a press release and will hold a conference call announcing its financial results for the quarter ended June 30, 2018. A copy of the press release is attached as Exhibit 99.1 to this current report on Form 8-K and is incorporated by reference herein.</w:t>
      </w:r>
    </w:p>
    <w:p>
      <w:pPr>
        <w:spacing w:after="0" w:line="121" w:lineRule="exact"/>
        <w:rPr>
          <w:sz w:val="20"/>
          <w:szCs w:val="20"/>
          <w:color w:val="auto"/>
        </w:rPr>
      </w:pPr>
    </w:p>
    <w:p>
      <w:pPr>
        <w:ind w:right="340"/>
        <w:spacing w:after="0" w:line="281" w:lineRule="auto"/>
        <w:rPr>
          <w:sz w:val="20"/>
          <w:szCs w:val="20"/>
          <w:color w:val="auto"/>
        </w:rPr>
      </w:pPr>
      <w:r>
        <w:rPr>
          <w:rFonts w:ascii="Arial" w:cs="Arial" w:eastAsia="Arial" w:hAnsi="Arial"/>
          <w:sz w:val="18"/>
          <w:szCs w:val="18"/>
          <w:b w:val="1"/>
          <w:bCs w:val="1"/>
          <w:color w:val="auto"/>
        </w:rPr>
        <w:t>Item 5.02 – Departure of Directors or Certain Officers; Election of Directors; Appointment of Certain Officers; Compensatory Arrangements of Certain Officers</w:t>
      </w:r>
    </w:p>
    <w:p>
      <w:pPr>
        <w:spacing w:after="0" w:line="167"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color w:val="auto"/>
        </w:rPr>
        <w:t>On August 9, 2018, Dropbox announced that Dennis Woodside is stepping down as Chief Operating Officer. He’ll remain at the company until September 4, 2018 and will serve as an advisor through the end of the year.</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7.01 – Regulation FD Disclosure</w:t>
      </w:r>
    </w:p>
    <w:p>
      <w:pPr>
        <w:spacing w:after="0" w:line="229" w:lineRule="exact"/>
        <w:rPr>
          <w:sz w:val="20"/>
          <w:szCs w:val="20"/>
          <w:color w:val="auto"/>
        </w:rPr>
      </w:pPr>
    </w:p>
    <w:p>
      <w:pPr>
        <w:ind w:right="60"/>
        <w:spacing w:after="0" w:line="341" w:lineRule="auto"/>
        <w:rPr>
          <w:sz w:val="20"/>
          <w:szCs w:val="20"/>
          <w:color w:val="auto"/>
        </w:rPr>
      </w:pPr>
      <w:r>
        <w:rPr>
          <w:rFonts w:ascii="Arial" w:cs="Arial" w:eastAsia="Arial" w:hAnsi="Arial"/>
          <w:sz w:val="16"/>
          <w:szCs w:val="16"/>
          <w:color w:val="auto"/>
        </w:rPr>
        <w:t>On August 9, 2018, Dropbox posted supplemental investor materials on its investors.dropbox.com website. Dropbox intends to use its investors.dropbox.com website as a means of disclosing material non-public information and for complying with its disclosure obligations under Regulation FD.</w:t>
      </w:r>
    </w:p>
    <w:p>
      <w:pPr>
        <w:spacing w:after="0" w:line="125" w:lineRule="exact"/>
        <w:rPr>
          <w:sz w:val="20"/>
          <w:szCs w:val="20"/>
          <w:color w:val="auto"/>
        </w:rPr>
      </w:pPr>
    </w:p>
    <w:p>
      <w:pPr>
        <w:ind w:right="280"/>
        <w:spacing w:after="0" w:line="311" w:lineRule="auto"/>
        <w:rPr>
          <w:sz w:val="20"/>
          <w:szCs w:val="20"/>
          <w:color w:val="auto"/>
        </w:rPr>
      </w:pPr>
      <w:r>
        <w:rPr>
          <w:rFonts w:ascii="Arial" w:cs="Arial" w:eastAsia="Arial" w:hAnsi="Arial"/>
          <w:sz w:val="16"/>
          <w:szCs w:val="16"/>
          <w:color w:val="auto"/>
        </w:rPr>
        <w:t>The information in this current report on Form 8-K and the exhibit attached hereto shall not be deemed “filed” for purposes of Section 18 of the Securities Exchange Act of 1934, as amended (the “Exchange Act”) or otherwise subject to the liabilities of that section, nor shall it be deemed incorporated by reference in any filing under the Securities Act of 1933, as amended, or the Exchange Act, regardless of any general incorporation language in such filing.</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8.01 – Other Events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Expected Early Lock-Up Release Date</w:t>
      </w:r>
    </w:p>
    <w:p>
      <w:pPr>
        <w:spacing w:after="0" w:line="229"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In connection with our initial public offering of Class A common stock (the “IPO”), all of our executive officers, directors and holders of our capital stock and securities convertible into or exchangeable for our capital stock as of the IPO entered into market standoff agreements with the Company or entered into lock-up agreements with the underwriters that restrict their ability to sell or transfer their shares for a period of 180 days after March 22, 2018. We refer to such period as the lock-up period.</w:t>
      </w:r>
    </w:p>
    <w:p>
      <w:pPr>
        <w:spacing w:after="0" w:line="186" w:lineRule="exact"/>
        <w:rPr>
          <w:sz w:val="20"/>
          <w:szCs w:val="20"/>
          <w:color w:val="auto"/>
        </w:rPr>
      </w:pPr>
    </w:p>
    <w:p>
      <w:pPr>
        <w:ind w:right="120"/>
        <w:spacing w:after="0" w:line="259" w:lineRule="auto"/>
        <w:rPr>
          <w:sz w:val="20"/>
          <w:szCs w:val="20"/>
          <w:color w:val="auto"/>
        </w:rPr>
      </w:pPr>
      <w:r>
        <w:rPr>
          <w:rFonts w:ascii="Arial" w:cs="Arial" w:eastAsia="Arial" w:hAnsi="Arial"/>
          <w:sz w:val="18"/>
          <w:szCs w:val="18"/>
          <w:color w:val="auto"/>
        </w:rPr>
        <w:t>Pursuant to the lock-up agreements with the underwriters, if (i) at least 120 days have elapsed since March 22, 2018, (ii) we have publicly released our earnings results for the quarterly period during which our IPO occurred, and (iii) such lock-up period is scheduled to end during or within five trading days prior to a broadly applicable period during which trading in our securities would not be permitted under our insider trading policy, or a blackout period, such lock-up period will end ten trading days prior to the commencement of such blackout period.</w:t>
      </w:r>
    </w:p>
    <w:p>
      <w:pPr>
        <w:spacing w:after="0" w:line="186" w:lineRule="exact"/>
        <w:rPr>
          <w:sz w:val="20"/>
          <w:szCs w:val="20"/>
          <w:color w:val="auto"/>
        </w:rPr>
      </w:pPr>
    </w:p>
    <w:p>
      <w:pPr>
        <w:ind w:right="100"/>
        <w:spacing w:after="0" w:line="259" w:lineRule="auto"/>
        <w:rPr>
          <w:sz w:val="20"/>
          <w:szCs w:val="20"/>
          <w:color w:val="auto"/>
        </w:rPr>
      </w:pPr>
      <w:r>
        <w:rPr>
          <w:rFonts w:ascii="Arial" w:cs="Arial" w:eastAsia="Arial" w:hAnsi="Arial"/>
          <w:sz w:val="18"/>
          <w:szCs w:val="18"/>
          <w:color w:val="auto"/>
        </w:rPr>
        <w:t>The lock-up period is scheduled to end on September 18, 2018, which falls within our quarterly blackout period that commences at the close of trading on September 7, 2018. Therefore, in accordance with the lock-up agreements with the underwriters, the restricted period will end at the close of market on August 23, 2018, which is ten trading days prior to the commencement of our quarterly blackout period. We will also release our market standoff agreements when the restricted period expires.</w:t>
      </w:r>
    </w:p>
    <w:p>
      <w:pPr>
        <w:spacing w:after="0" w:line="186" w:lineRule="exact"/>
        <w:rPr>
          <w:sz w:val="20"/>
          <w:szCs w:val="20"/>
          <w:color w:val="auto"/>
        </w:rPr>
      </w:pPr>
    </w:p>
    <w:p>
      <w:pPr>
        <w:ind w:right="100"/>
        <w:spacing w:after="0" w:line="286" w:lineRule="auto"/>
        <w:rPr>
          <w:sz w:val="20"/>
          <w:szCs w:val="20"/>
          <w:color w:val="auto"/>
        </w:rPr>
      </w:pPr>
      <w:r>
        <w:rPr>
          <w:rFonts w:ascii="Arial" w:cs="Arial" w:eastAsia="Arial" w:hAnsi="Arial"/>
          <w:sz w:val="17"/>
          <w:szCs w:val="17"/>
          <w:color w:val="auto"/>
        </w:rPr>
        <w:t>We estimate that up to approximately 358.2 million shares of Class A common stock may become eligible for sale in the public market after the close of market on August 23, 2018 (subject to continued vesting of any unvested equity awards as of such date), of which approximately 205.4 million shares would be held by affiliates and subject to the volume and other restrictions of Rule 144 of the Securities Act of 1933, as amended.</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 Financial Statements and Exhibits</w:t>
      </w:r>
    </w:p>
    <w:p>
      <w:pPr>
        <w:spacing w:after="0" w:line="350" w:lineRule="exact"/>
        <w:rPr>
          <w:sz w:val="20"/>
          <w:szCs w:val="20"/>
          <w:color w:val="auto"/>
        </w:rPr>
      </w:pPr>
    </w:p>
    <w:p>
      <w:pPr>
        <w:spacing w:after="0"/>
        <w:rPr>
          <w:sz w:val="20"/>
          <w:szCs w:val="20"/>
          <w:color w:val="auto"/>
        </w:rPr>
      </w:pPr>
      <w:r>
        <w:rPr>
          <w:rFonts w:ascii="Arial" w:cs="Arial" w:eastAsia="Arial" w:hAnsi="Arial"/>
          <w:sz w:val="18"/>
          <w:szCs w:val="18"/>
          <w:color w:val="auto"/>
        </w:rPr>
        <w:t>(d) Exhibits:</w:t>
      </w:r>
    </w:p>
    <w:p>
      <w:pPr>
        <w:sectPr>
          <w:pgSz w:w="11900" w:h="16838" w:orient="portrait"/>
          <w:cols w:equalWidth="0" w:num="1">
            <w:col w:w="11400"/>
          </w:cols>
          <w:pgMar w:left="240" w:top="796" w:right="259" w:bottom="144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34"/>
        </w:trPr>
        <w:tc>
          <w:tcPr>
            <w:tcW w:w="138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3"/>
              </w:rPr>
              <w:t>Exhibit No.</w:t>
            </w:r>
          </w:p>
        </w:tc>
        <w:tc>
          <w:tcPr>
            <w:tcW w:w="40" w:type="dxa"/>
            <w:vAlign w:val="bottom"/>
          </w:tcPr>
          <w:p>
            <w:pPr>
              <w:spacing w:after="0"/>
              <w:rPr>
                <w:sz w:val="20"/>
                <w:szCs w:val="20"/>
                <w:color w:val="auto"/>
              </w:rPr>
            </w:pPr>
          </w:p>
        </w:tc>
        <w:tc>
          <w:tcPr>
            <w:tcW w:w="10000" w:type="dxa"/>
            <w:vAlign w:val="bottom"/>
            <w:gridSpan w:val="2"/>
          </w:tcPr>
          <w:p>
            <w:pPr>
              <w:spacing w:after="0"/>
              <w:rPr>
                <w:sz w:val="20"/>
                <w:szCs w:val="20"/>
                <w:color w:val="auto"/>
              </w:rPr>
            </w:pPr>
            <w:r>
              <w:rPr>
                <w:rFonts w:ascii="Arial" w:cs="Arial" w:eastAsia="Arial" w:hAnsi="Arial"/>
                <w:sz w:val="18"/>
                <w:szCs w:val="18"/>
                <w:b w:val="1"/>
                <w:bCs w:val="1"/>
                <w:color w:val="auto"/>
              </w:rPr>
              <w:t>Exhibit Description</w:t>
            </w:r>
          </w:p>
        </w:tc>
      </w:tr>
      <w:tr>
        <w:trPr>
          <w:trHeight w:val="27"/>
        </w:trPr>
        <w:tc>
          <w:tcPr>
            <w:tcW w:w="116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7460" w:type="dxa"/>
            <w:vAlign w:val="bottom"/>
            <w:tcBorders>
              <w:bottom w:val="single" w:sz="8" w:color="auto"/>
            </w:tcBorders>
          </w:tcPr>
          <w:p>
            <w:pPr>
              <w:spacing w:after="0"/>
              <w:rPr>
                <w:sz w:val="2"/>
                <w:szCs w:val="2"/>
                <w:color w:val="auto"/>
              </w:rPr>
            </w:pPr>
          </w:p>
        </w:tc>
        <w:tc>
          <w:tcPr>
            <w:tcW w:w="2540" w:type="dxa"/>
            <w:vAlign w:val="bottom"/>
            <w:tcBorders>
              <w:bottom w:val="single" w:sz="8" w:color="auto"/>
            </w:tcBorders>
          </w:tcPr>
          <w:p>
            <w:pPr>
              <w:spacing w:after="0"/>
              <w:rPr>
                <w:sz w:val="2"/>
                <w:szCs w:val="2"/>
                <w:color w:val="auto"/>
              </w:rPr>
            </w:pPr>
          </w:p>
        </w:tc>
      </w:tr>
      <w:tr>
        <w:trPr>
          <w:trHeight w:val="196"/>
        </w:trPr>
        <w:tc>
          <w:tcPr>
            <w:tcW w:w="1160" w:type="dxa"/>
            <w:vAlign w:val="bottom"/>
          </w:tcPr>
          <w:p>
            <w:pPr>
              <w:jc w:val="right"/>
              <w:ind w:right="330"/>
              <w:spacing w:after="0" w:line="196" w:lineRule="exact"/>
              <w:rPr>
                <w:sz w:val="20"/>
                <w:szCs w:val="20"/>
                <w:color w:val="auto"/>
              </w:rPr>
            </w:pPr>
            <w:r>
              <w:rPr>
                <w:rFonts w:ascii="Arial" w:cs="Arial" w:eastAsia="Arial" w:hAnsi="Arial"/>
                <w:sz w:val="18"/>
                <w:szCs w:val="18"/>
                <w:color w:val="auto"/>
              </w:rPr>
              <w:t>99.1</w:t>
            </w:r>
          </w:p>
        </w:tc>
        <w:tc>
          <w:tcPr>
            <w:tcW w:w="2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00" w:type="dxa"/>
            <w:vAlign w:val="bottom"/>
            <w:gridSpan w:val="2"/>
          </w:tcPr>
          <w:p>
            <w:pPr>
              <w:spacing w:after="0" w:line="196" w:lineRule="exact"/>
              <w:rPr>
                <w:rFonts w:ascii="Arial" w:cs="Arial" w:eastAsia="Arial" w:hAnsi="Arial"/>
                <w:sz w:val="18"/>
                <w:szCs w:val="18"/>
                <w:color w:val="0000FF"/>
              </w:rPr>
            </w:pPr>
            <w:hyperlink w:anchor="page5">
              <w:r>
                <w:rPr>
                  <w:rFonts w:ascii="Arial" w:cs="Arial" w:eastAsia="Arial" w:hAnsi="Arial"/>
                  <w:sz w:val="18"/>
                  <w:szCs w:val="18"/>
                  <w:color w:val="0000FF"/>
                </w:rPr>
                <w:t>Press Release entitled “Dropbox Announces Fiscal 2018 Second Quarter Results” dated August 9, 2018</w:t>
              </w:r>
            </w:hyperlink>
          </w:p>
        </w:tc>
      </w:tr>
      <w:tr>
        <w:trPr>
          <w:trHeight w:val="20"/>
        </w:trPr>
        <w:tc>
          <w:tcPr>
            <w:tcW w:w="1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460" w:type="dxa"/>
            <w:vAlign w:val="bottom"/>
            <w:shd w:val="clear" w:color="auto" w:fill="0000FF"/>
          </w:tcPr>
          <w:p>
            <w:pPr>
              <w:spacing w:after="0" w:line="20" w:lineRule="exact"/>
              <w:rPr>
                <w:sz w:val="1"/>
                <w:szCs w:val="1"/>
                <w:color w:val="auto"/>
              </w:rPr>
            </w:pPr>
          </w:p>
        </w:tc>
        <w:tc>
          <w:tcPr>
            <w:tcW w:w="2540" w:type="dxa"/>
            <w:vAlign w:val="bottom"/>
          </w:tcPr>
          <w:p>
            <w:pPr>
              <w:spacing w:after="0" w:line="20" w:lineRule="exact"/>
              <w:rPr>
                <w:sz w:val="1"/>
                <w:szCs w:val="1"/>
                <w:color w:val="auto"/>
              </w:rPr>
            </w:pPr>
          </w:p>
        </w:tc>
      </w:tr>
    </w:tbl>
    <w:p>
      <w:pPr>
        <w:sectPr>
          <w:pgSz w:w="11900" w:h="16838" w:orient="portrait"/>
          <w:cols w:equalWidth="0" w:num="1">
            <w:col w:w="11420"/>
          </w:cols>
          <w:pgMar w:left="240" w:top="742" w:right="239" w:bottom="1440" w:gutter="0" w:footer="0" w:header="0"/>
        </w:sectPr>
      </w:pPr>
    </w:p>
    <w:bookmarkStart w:id="3" w:name="page4"/>
    <w:bookmarkEnd w:id="3"/>
    <w:p>
      <w:pPr>
        <w:jc w:val="center"/>
        <w:ind w:right="-15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as amended, the Registrant has duly caused this report to be signed on its behalf by the undersigned hereunto duly authorized.</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Dated: August 9, 2018</w:t>
      </w:r>
    </w:p>
    <w:p>
      <w:pPr>
        <w:spacing w:after="0" w:line="200" w:lineRule="exact"/>
        <w:rPr>
          <w:sz w:val="20"/>
          <w:szCs w:val="20"/>
          <w:color w:val="auto"/>
        </w:rPr>
      </w:pPr>
    </w:p>
    <w:p>
      <w:pPr>
        <w:spacing w:after="0" w:line="398" w:lineRule="exact"/>
        <w:rPr>
          <w:sz w:val="20"/>
          <w:szCs w:val="20"/>
          <w:color w:val="auto"/>
        </w:rPr>
      </w:pPr>
    </w:p>
    <w:p>
      <w:pPr>
        <w:ind w:left="3520"/>
        <w:spacing w:after="0"/>
        <w:rPr>
          <w:sz w:val="20"/>
          <w:szCs w:val="20"/>
          <w:color w:val="auto"/>
        </w:rPr>
      </w:pPr>
      <w:r>
        <w:rPr>
          <w:rFonts w:ascii="Arial" w:cs="Arial" w:eastAsia="Arial" w:hAnsi="Arial"/>
          <w:sz w:val="18"/>
          <w:szCs w:val="18"/>
          <w:b w:val="1"/>
          <w:bCs w:val="1"/>
          <w:color w:val="auto"/>
        </w:rPr>
        <w:t>Dropbox, Inc.</w:t>
      </w:r>
    </w:p>
    <w:p>
      <w:pPr>
        <w:spacing w:after="0" w:line="67" w:lineRule="exact"/>
        <w:rPr>
          <w:sz w:val="20"/>
          <w:szCs w:val="20"/>
          <w:color w:val="auto"/>
        </w:rPr>
      </w:pPr>
    </w:p>
    <w:p>
      <w:pPr>
        <w:ind w:left="3520"/>
        <w:spacing w:after="0"/>
        <w:rPr>
          <w:sz w:val="20"/>
          <w:szCs w:val="20"/>
          <w:color w:val="auto"/>
        </w:rPr>
      </w:pPr>
      <w:r>
        <w:rPr>
          <w:rFonts w:ascii="Arial" w:cs="Arial" w:eastAsia="Arial" w:hAnsi="Arial"/>
          <w:sz w:val="18"/>
          <w:szCs w:val="18"/>
          <w:color w:val="auto"/>
        </w:rPr>
        <w:t>/s/ Ajay Vashee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2214880</wp:posOffset>
            </wp:positionH>
            <wp:positionV relativeFrom="paragraph">
              <wp:posOffset>31750</wp:posOffset>
            </wp:positionV>
            <wp:extent cx="282702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2827020" cy="8255"/>
                    </a:xfrm>
                    <a:prstGeom prst="rect">
                      <a:avLst/>
                    </a:prstGeom>
                    <a:noFill/>
                  </pic:spPr>
                </pic:pic>
              </a:graphicData>
            </a:graphic>
          </wp:anchor>
        </w:drawing>
      </w:r>
    </w:p>
    <w:p>
      <w:pPr>
        <w:spacing w:after="0" w:line="56" w:lineRule="exact"/>
        <w:rPr>
          <w:sz w:val="20"/>
          <w:szCs w:val="20"/>
          <w:color w:val="auto"/>
        </w:rPr>
      </w:pPr>
    </w:p>
    <w:p>
      <w:pPr>
        <w:ind w:left="3520"/>
        <w:spacing w:after="0"/>
        <w:rPr>
          <w:sz w:val="20"/>
          <w:szCs w:val="20"/>
          <w:color w:val="auto"/>
        </w:rPr>
      </w:pPr>
      <w:r>
        <w:rPr>
          <w:rFonts w:ascii="Arial" w:cs="Arial" w:eastAsia="Arial" w:hAnsi="Arial"/>
          <w:sz w:val="18"/>
          <w:szCs w:val="18"/>
          <w:color w:val="auto"/>
        </w:rPr>
        <w:t>Ajay Vashee</w:t>
      </w:r>
    </w:p>
    <w:p>
      <w:pPr>
        <w:spacing w:after="0" w:line="63" w:lineRule="exact"/>
        <w:rPr>
          <w:sz w:val="20"/>
          <w:szCs w:val="20"/>
          <w:color w:val="auto"/>
        </w:rPr>
      </w:pPr>
    </w:p>
    <w:p>
      <w:pPr>
        <w:ind w:left="3520"/>
        <w:spacing w:after="0"/>
        <w:rPr>
          <w:sz w:val="20"/>
          <w:szCs w:val="20"/>
          <w:color w:val="auto"/>
        </w:rPr>
      </w:pPr>
      <w:r>
        <w:rPr>
          <w:rFonts w:ascii="Arial" w:cs="Arial" w:eastAsia="Arial" w:hAnsi="Arial"/>
          <w:sz w:val="18"/>
          <w:szCs w:val="18"/>
          <w:color w:val="auto"/>
        </w:rPr>
        <w:t>Chief Financial Officer</w:t>
      </w:r>
    </w:p>
    <w:p>
      <w:pPr>
        <w:sectPr>
          <w:pgSz w:w="11900" w:h="16838" w:orient="portrait"/>
          <w:cols w:equalWidth="0" w:num="1">
            <w:col w:w="11260"/>
          </w:cols>
          <w:pgMar w:left="240" w:top="580" w:right="399" w:bottom="1440" w:gutter="0" w:footer="0" w:header="0"/>
        </w:sectPr>
      </w:pPr>
    </w:p>
    <w:bookmarkStart w:id="4" w:name="page5"/>
    <w:bookmarkEnd w:id="4"/>
    <w:p>
      <w:pPr>
        <w:jc w:val="center"/>
        <w:ind w:right="-59"/>
        <w:spacing w:after="0"/>
        <w:rPr>
          <w:sz w:val="20"/>
          <w:szCs w:val="20"/>
          <w:color w:val="auto"/>
        </w:rPr>
      </w:pPr>
      <w:r>
        <w:rPr>
          <w:rFonts w:ascii="Arial" w:cs="Arial" w:eastAsia="Arial" w:hAnsi="Arial"/>
          <w:sz w:val="18"/>
          <w:szCs w:val="18"/>
          <w:b w:val="1"/>
          <w:bCs w:val="1"/>
          <w:color w:val="auto"/>
        </w:rPr>
        <w:t>Dropbox Announces Fiscal 2018 Second Quarter Results</w:t>
      </w:r>
    </w:p>
    <w:p>
      <w:pPr>
        <w:spacing w:after="0" w:line="22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Revenue of $339.2 million, Up 27% Year-Over-Year</w:t>
      </w:r>
    </w:p>
    <w:p>
      <w:pPr>
        <w:spacing w:after="0" w:line="2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Net Cash Provided by Operating Activities of $111.9 million and Free Cash Flow of $102.2 million</w:t>
      </w:r>
    </w:p>
    <w:p>
      <w:pPr>
        <w:spacing w:after="0" w:line="206" w:lineRule="exact"/>
        <w:rPr>
          <w:sz w:val="20"/>
          <w:szCs w:val="20"/>
          <w:color w:val="auto"/>
        </w:rPr>
      </w:pPr>
    </w:p>
    <w:p>
      <w:pPr>
        <w:ind w:right="200"/>
        <w:spacing w:after="0" w:line="281" w:lineRule="auto"/>
        <w:rPr>
          <w:sz w:val="20"/>
          <w:szCs w:val="20"/>
          <w:color w:val="auto"/>
        </w:rPr>
      </w:pPr>
      <w:r>
        <w:rPr>
          <w:rFonts w:ascii="Arial" w:cs="Arial" w:eastAsia="Arial" w:hAnsi="Arial"/>
          <w:sz w:val="18"/>
          <w:szCs w:val="18"/>
          <w:b w:val="1"/>
          <w:bCs w:val="1"/>
          <w:color w:val="auto"/>
        </w:rPr>
        <w:t xml:space="preserve">SAN FRANCISCO, Calif. </w:t>
      </w:r>
      <w:r>
        <w:rPr>
          <w:rFonts w:ascii="Arial" w:cs="Arial" w:eastAsia="Arial" w:hAnsi="Arial"/>
          <w:sz w:val="18"/>
          <w:szCs w:val="18"/>
          <w:color w:val="auto"/>
        </w:rPr>
        <w:t>- August 9, 2018 - Dropbox, Inc. (NASDAQ: DBX), a leading global collaboration platform, today announced financial results</w:t>
      </w:r>
      <w:r>
        <w:rPr>
          <w:rFonts w:ascii="Arial" w:cs="Arial" w:eastAsia="Arial" w:hAnsi="Arial"/>
          <w:sz w:val="18"/>
          <w:szCs w:val="18"/>
          <w:b w:val="1"/>
          <w:bCs w:val="1"/>
          <w:color w:val="auto"/>
        </w:rPr>
        <w:t xml:space="preserve"> </w:t>
      </w:r>
      <w:r>
        <w:rPr>
          <w:rFonts w:ascii="Arial" w:cs="Arial" w:eastAsia="Arial" w:hAnsi="Arial"/>
          <w:sz w:val="18"/>
          <w:szCs w:val="18"/>
          <w:color w:val="auto"/>
        </w:rPr>
        <w:t>for its second fiscal quarter ended June 30, 2018.</w:t>
      </w:r>
    </w:p>
    <w:p>
      <w:pPr>
        <w:spacing w:after="0" w:line="167" w:lineRule="exact"/>
        <w:rPr>
          <w:sz w:val="20"/>
          <w:szCs w:val="20"/>
          <w:color w:val="auto"/>
        </w:rPr>
      </w:pPr>
    </w:p>
    <w:p>
      <w:pPr>
        <w:ind w:right="220"/>
        <w:spacing w:after="0" w:line="259" w:lineRule="auto"/>
        <w:rPr>
          <w:sz w:val="20"/>
          <w:szCs w:val="20"/>
          <w:color w:val="auto"/>
        </w:rPr>
      </w:pPr>
      <w:r>
        <w:rPr>
          <w:rFonts w:ascii="Arial" w:cs="Arial" w:eastAsia="Arial" w:hAnsi="Arial"/>
          <w:sz w:val="18"/>
          <w:szCs w:val="18"/>
          <w:color w:val="auto"/>
        </w:rPr>
        <w:t>“We delivered another solid quarter of revenue growth in Q2, reflecting the strength of our unique business model,” said Dropbox Co-Founder and Chief Executive Officer Drew Houston. “We added over a dozen new product features to our user and admin experiences, and strengthened our infrastructure, all while driving a 30% free cash flow margin. With our massive scale and continued product innovation, we’re well on our way to advancing our mission of designing a more enlightened way of working.”</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Second Quarter Fiscal 2018 Results</w:t>
      </w:r>
    </w:p>
    <w:p>
      <w:pPr>
        <w:spacing w:after="0" w:line="229" w:lineRule="exact"/>
        <w:rPr>
          <w:sz w:val="20"/>
          <w:szCs w:val="20"/>
          <w:color w:val="auto"/>
        </w:rPr>
      </w:pPr>
    </w:p>
    <w:p>
      <w:pPr>
        <w:ind w:left="660" w:hanging="328"/>
        <w:spacing w:after="0"/>
        <w:tabs>
          <w:tab w:leader="none" w:pos="660" w:val="left"/>
        </w:tabs>
        <w:numPr>
          <w:ilvl w:val="1"/>
          <w:numId w:val="2"/>
        </w:numPr>
        <w:rPr>
          <w:rFonts w:ascii="Arial" w:cs="Arial" w:eastAsia="Arial" w:hAnsi="Arial"/>
          <w:sz w:val="18"/>
          <w:szCs w:val="18"/>
          <w:color w:val="auto"/>
        </w:rPr>
      </w:pPr>
      <w:r>
        <w:rPr>
          <w:rFonts w:ascii="Arial" w:cs="Arial" w:eastAsia="Arial" w:hAnsi="Arial"/>
          <w:sz w:val="18"/>
          <w:szCs w:val="18"/>
          <w:color w:val="auto"/>
        </w:rPr>
        <w:t>Total revenue was $339.2 million, an increase of 27% from the same period last year.</w:t>
      </w:r>
    </w:p>
    <w:p>
      <w:pPr>
        <w:spacing w:after="0" w:line="224" w:lineRule="exact"/>
        <w:rPr>
          <w:rFonts w:ascii="Arial" w:cs="Arial" w:eastAsia="Arial" w:hAnsi="Arial"/>
          <w:sz w:val="18"/>
          <w:szCs w:val="18"/>
          <w:color w:val="auto"/>
        </w:rPr>
      </w:pPr>
    </w:p>
    <w:p>
      <w:pPr>
        <w:ind w:left="660" w:right="640" w:hanging="328"/>
        <w:spacing w:after="0" w:line="277" w:lineRule="auto"/>
        <w:tabs>
          <w:tab w:leader="none" w:pos="660" w:val="left"/>
        </w:tabs>
        <w:numPr>
          <w:ilvl w:val="1"/>
          <w:numId w:val="2"/>
        </w:numPr>
        <w:rPr>
          <w:rFonts w:ascii="Arial" w:cs="Arial" w:eastAsia="Arial" w:hAnsi="Arial"/>
          <w:sz w:val="18"/>
          <w:szCs w:val="18"/>
          <w:color w:val="auto"/>
        </w:rPr>
      </w:pPr>
      <w:r>
        <w:rPr>
          <w:rFonts w:ascii="Arial" w:cs="Arial" w:eastAsia="Arial" w:hAnsi="Arial"/>
          <w:sz w:val="18"/>
          <w:szCs w:val="18"/>
          <w:color w:val="auto"/>
        </w:rPr>
        <w:t>Paying users totaled 11.9 million, as compared to 9.9 million for the same period last year. Average revenue per paying user was $116.66, as compared to $111.19 for the same period last year.</w:t>
      </w:r>
    </w:p>
    <w:p>
      <w:pPr>
        <w:spacing w:after="0" w:line="169" w:lineRule="exact"/>
        <w:rPr>
          <w:rFonts w:ascii="Arial" w:cs="Arial" w:eastAsia="Arial" w:hAnsi="Arial"/>
          <w:sz w:val="18"/>
          <w:szCs w:val="18"/>
          <w:color w:val="auto"/>
        </w:rPr>
      </w:pPr>
    </w:p>
    <w:p>
      <w:pPr>
        <w:ind w:left="660" w:right="100" w:hanging="328"/>
        <w:spacing w:after="0" w:line="277" w:lineRule="auto"/>
        <w:tabs>
          <w:tab w:leader="none" w:pos="660" w:val="left"/>
        </w:tabs>
        <w:numPr>
          <w:ilvl w:val="1"/>
          <w:numId w:val="2"/>
        </w:numPr>
        <w:rPr>
          <w:rFonts w:ascii="Arial" w:cs="Arial" w:eastAsia="Arial" w:hAnsi="Arial"/>
          <w:sz w:val="18"/>
          <w:szCs w:val="18"/>
          <w:color w:val="auto"/>
        </w:rPr>
      </w:pPr>
      <w:r>
        <w:rPr>
          <w:rFonts w:ascii="Arial" w:cs="Arial" w:eastAsia="Arial" w:hAnsi="Arial"/>
          <w:sz w:val="18"/>
          <w:szCs w:val="18"/>
          <w:color w:val="auto"/>
        </w:rPr>
        <w:t>GAAP gross margin was 73.6%, as compared to 65.4% in the same period last year. Non-GAAP gross margin was 74.5%, as compared to 66.7% in the same period last year.</w:t>
      </w:r>
    </w:p>
    <w:p>
      <w:pPr>
        <w:spacing w:after="0" w:line="169" w:lineRule="exact"/>
        <w:rPr>
          <w:rFonts w:ascii="Arial" w:cs="Arial" w:eastAsia="Arial" w:hAnsi="Arial"/>
          <w:sz w:val="18"/>
          <w:szCs w:val="18"/>
          <w:color w:val="auto"/>
        </w:rPr>
      </w:pPr>
    </w:p>
    <w:p>
      <w:pPr>
        <w:ind w:left="660" w:right="40" w:hanging="328"/>
        <w:spacing w:after="0" w:line="277" w:lineRule="auto"/>
        <w:tabs>
          <w:tab w:leader="none" w:pos="660" w:val="left"/>
        </w:tabs>
        <w:numPr>
          <w:ilvl w:val="1"/>
          <w:numId w:val="2"/>
        </w:numPr>
        <w:rPr>
          <w:rFonts w:ascii="Arial" w:cs="Arial" w:eastAsia="Arial" w:hAnsi="Arial"/>
          <w:sz w:val="18"/>
          <w:szCs w:val="18"/>
          <w:color w:val="auto"/>
        </w:rPr>
      </w:pPr>
      <w:r>
        <w:rPr>
          <w:rFonts w:ascii="Arial" w:cs="Arial" w:eastAsia="Arial" w:hAnsi="Arial"/>
          <w:sz w:val="18"/>
          <w:szCs w:val="18"/>
          <w:color w:val="auto"/>
        </w:rPr>
        <w:t>GAAP operating margin was (2.1%), as compared to (10.0%) in the same period last year. Non-GAAP operating margin was 14.1%, as compared to 8.0% in the same period last year.</w:t>
      </w:r>
    </w:p>
    <w:p>
      <w:pPr>
        <w:spacing w:after="0" w:line="169" w:lineRule="exact"/>
        <w:rPr>
          <w:rFonts w:ascii="Arial" w:cs="Arial" w:eastAsia="Arial" w:hAnsi="Arial"/>
          <w:sz w:val="18"/>
          <w:szCs w:val="18"/>
          <w:color w:val="auto"/>
        </w:rPr>
      </w:pPr>
    </w:p>
    <w:p>
      <w:pPr>
        <w:ind w:left="660" w:right="600" w:hanging="328"/>
        <w:spacing w:after="0" w:line="277" w:lineRule="auto"/>
        <w:tabs>
          <w:tab w:leader="none" w:pos="660" w:val="left"/>
        </w:tabs>
        <w:numPr>
          <w:ilvl w:val="1"/>
          <w:numId w:val="2"/>
        </w:numPr>
        <w:rPr>
          <w:rFonts w:ascii="Arial" w:cs="Arial" w:eastAsia="Arial" w:hAnsi="Arial"/>
          <w:sz w:val="18"/>
          <w:szCs w:val="18"/>
          <w:color w:val="auto"/>
        </w:rPr>
      </w:pPr>
      <w:r>
        <w:rPr>
          <w:rFonts w:ascii="Arial" w:cs="Arial" w:eastAsia="Arial" w:hAnsi="Arial"/>
          <w:sz w:val="18"/>
          <w:szCs w:val="18"/>
          <w:color w:val="auto"/>
        </w:rPr>
        <w:t>GAAP net loss was ($4.1) million, as compared to ($26.8) million in the same period last year. Non-GAAP net income was $48.0 million, as compared to $20.0 million in the same period last year.</w:t>
      </w:r>
    </w:p>
    <w:p>
      <w:pPr>
        <w:spacing w:after="0" w:line="169" w:lineRule="exact"/>
        <w:rPr>
          <w:rFonts w:ascii="Arial" w:cs="Arial" w:eastAsia="Arial" w:hAnsi="Arial"/>
          <w:sz w:val="18"/>
          <w:szCs w:val="18"/>
          <w:color w:val="auto"/>
        </w:rPr>
      </w:pPr>
    </w:p>
    <w:p>
      <w:pPr>
        <w:ind w:left="660" w:right="140" w:hanging="328"/>
        <w:spacing w:after="0" w:line="277" w:lineRule="auto"/>
        <w:tabs>
          <w:tab w:leader="none" w:pos="660" w:val="left"/>
        </w:tabs>
        <w:numPr>
          <w:ilvl w:val="1"/>
          <w:numId w:val="2"/>
        </w:numPr>
        <w:rPr>
          <w:rFonts w:ascii="Arial" w:cs="Arial" w:eastAsia="Arial" w:hAnsi="Arial"/>
          <w:sz w:val="18"/>
          <w:szCs w:val="18"/>
          <w:color w:val="auto"/>
        </w:rPr>
      </w:pPr>
      <w:r>
        <w:rPr>
          <w:rFonts w:ascii="Arial" w:cs="Arial" w:eastAsia="Arial" w:hAnsi="Arial"/>
          <w:sz w:val="18"/>
          <w:szCs w:val="18"/>
          <w:color w:val="auto"/>
        </w:rPr>
        <w:t>Net cash provided by operating activities was $111.9 million, as compared to $86.1 million in the same period last year. Free cash flow was $102.2 million, as compared to $82.4 million in the same period last year.</w:t>
      </w:r>
    </w:p>
    <w:p>
      <w:pPr>
        <w:spacing w:after="0" w:line="169" w:lineRule="exact"/>
        <w:rPr>
          <w:rFonts w:ascii="Arial" w:cs="Arial" w:eastAsia="Arial" w:hAnsi="Arial"/>
          <w:sz w:val="18"/>
          <w:szCs w:val="18"/>
          <w:color w:val="auto"/>
        </w:rPr>
      </w:pPr>
    </w:p>
    <w:p>
      <w:pPr>
        <w:ind w:left="660" w:hanging="328"/>
        <w:spacing w:after="0" w:line="281" w:lineRule="auto"/>
        <w:tabs>
          <w:tab w:leader="none" w:pos="660" w:val="left"/>
        </w:tabs>
        <w:numPr>
          <w:ilvl w:val="1"/>
          <w:numId w:val="2"/>
        </w:numPr>
        <w:rPr>
          <w:rFonts w:ascii="Arial" w:cs="Arial" w:eastAsia="Arial" w:hAnsi="Arial"/>
          <w:sz w:val="18"/>
          <w:szCs w:val="18"/>
          <w:color w:val="auto"/>
        </w:rPr>
      </w:pPr>
      <w:r>
        <w:rPr>
          <w:rFonts w:ascii="Arial" w:cs="Arial" w:eastAsia="Arial" w:hAnsi="Arial"/>
          <w:sz w:val="18"/>
          <w:szCs w:val="18"/>
          <w:color w:val="auto"/>
        </w:rPr>
        <w:t xml:space="preserve">GAAP basic and diluted net loss per share was ($0.01), as compared to ($0.14) in the same period last year. Non-GAAP diluted net income per share was $0.11, as compared to $0.06 in the same period last year. </w:t>
      </w:r>
      <w:r>
        <w:rPr>
          <w:rFonts w:ascii="Arial" w:cs="Arial" w:eastAsia="Arial" w:hAnsi="Arial"/>
          <w:sz w:val="25"/>
          <w:szCs w:val="25"/>
          <w:color w:val="auto"/>
          <w:vertAlign w:val="superscript"/>
        </w:rPr>
        <w:t>(1)</w:t>
      </w:r>
    </w:p>
    <w:p>
      <w:pPr>
        <w:spacing w:after="0" w:line="68" w:lineRule="exact"/>
        <w:rPr>
          <w:rFonts w:ascii="Arial" w:cs="Arial" w:eastAsia="Arial" w:hAnsi="Arial"/>
          <w:sz w:val="18"/>
          <w:szCs w:val="18"/>
          <w:color w:val="auto"/>
        </w:rPr>
      </w:pPr>
    </w:p>
    <w:p>
      <w:pPr>
        <w:ind w:left="660" w:hanging="328"/>
        <w:spacing w:after="0"/>
        <w:tabs>
          <w:tab w:leader="none" w:pos="660" w:val="left"/>
        </w:tabs>
        <w:numPr>
          <w:ilvl w:val="1"/>
          <w:numId w:val="2"/>
        </w:numPr>
        <w:rPr>
          <w:rFonts w:ascii="Arial" w:cs="Arial" w:eastAsia="Arial" w:hAnsi="Arial"/>
          <w:sz w:val="18"/>
          <w:szCs w:val="18"/>
          <w:color w:val="auto"/>
        </w:rPr>
      </w:pPr>
      <w:r>
        <w:rPr>
          <w:rFonts w:ascii="Arial" w:cs="Arial" w:eastAsia="Arial" w:hAnsi="Arial"/>
          <w:sz w:val="18"/>
          <w:szCs w:val="18"/>
          <w:color w:val="auto"/>
        </w:rPr>
        <w:t>Cash, cash equivalents and short-term investments were $981.8 million at the end of the second quarter of 2018.</w:t>
      </w:r>
    </w:p>
    <w:p>
      <w:pPr>
        <w:spacing w:after="0" w:line="337" w:lineRule="exact"/>
        <w:rPr>
          <w:rFonts w:ascii="Arial" w:cs="Arial" w:eastAsia="Arial" w:hAnsi="Arial"/>
          <w:sz w:val="18"/>
          <w:szCs w:val="18"/>
          <w:color w:val="auto"/>
        </w:rPr>
      </w:pPr>
    </w:p>
    <w:p>
      <w:pPr>
        <w:ind w:right="180" w:firstLine="8"/>
        <w:spacing w:after="0" w:line="308" w:lineRule="auto"/>
        <w:tabs>
          <w:tab w:leader="none" w:pos="178" w:val="left"/>
        </w:tabs>
        <w:numPr>
          <w:ilvl w:val="0"/>
          <w:numId w:val="2"/>
        </w:numPr>
        <w:rPr>
          <w:rFonts w:ascii="Arial" w:cs="Arial" w:eastAsia="Arial" w:hAnsi="Arial"/>
          <w:sz w:val="20"/>
          <w:szCs w:val="20"/>
          <w:color w:val="auto"/>
          <w:vertAlign w:val="superscript"/>
        </w:rPr>
      </w:pPr>
      <w:r>
        <w:rPr>
          <w:rFonts w:ascii="Arial" w:cs="Arial" w:eastAsia="Arial" w:hAnsi="Arial"/>
          <w:sz w:val="13"/>
          <w:szCs w:val="13"/>
          <w:color w:val="auto"/>
        </w:rPr>
        <w:t>Non-GAAP diluted net income per share is calculated based upon 423.1 million and 346.9 million diluted weighted-average shares of common stock for the three months ended June 30, 2018 and 2017, respectively.</w:t>
      </w:r>
    </w:p>
    <w:p>
      <w:pPr>
        <w:sectPr>
          <w:pgSz w:w="11900" w:h="16838" w:orient="portrait"/>
          <w:cols w:equalWidth="0" w:num="1">
            <w:col w:w="11380"/>
          </w:cols>
          <w:pgMar w:left="240" w:top="580" w:right="279" w:bottom="1440" w:gutter="0" w:footer="0" w:header="0"/>
        </w:sectPr>
      </w:pPr>
    </w:p>
    <w:bookmarkStart w:id="5" w:name="page6"/>
    <w:bookmarkEnd w:id="5"/>
    <w:p>
      <w:pPr>
        <w:spacing w:after="0"/>
        <w:rPr>
          <w:sz w:val="20"/>
          <w:szCs w:val="20"/>
          <w:color w:val="auto"/>
        </w:rPr>
      </w:pPr>
      <w:r>
        <w:rPr>
          <w:rFonts w:ascii="Arial" w:cs="Arial" w:eastAsia="Arial" w:hAnsi="Arial"/>
          <w:sz w:val="18"/>
          <w:szCs w:val="18"/>
          <w:b w:val="1"/>
          <w:bCs w:val="1"/>
          <w:color w:val="auto"/>
        </w:rPr>
        <w:t>Financial Outlook</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Dropbox will provide forward-looking guidance in connection with this quarterly earnings announcement on our conference call, webcast, and on our investor relations website at investors.dropbox.com.</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COO Transition</w:t>
      </w:r>
    </w:p>
    <w:p>
      <w:pPr>
        <w:spacing w:after="0" w:line="229" w:lineRule="exact"/>
        <w:rPr>
          <w:sz w:val="20"/>
          <w:szCs w:val="20"/>
          <w:color w:val="auto"/>
        </w:rPr>
      </w:pPr>
    </w:p>
    <w:p>
      <w:pPr>
        <w:jc w:val="both"/>
        <w:ind w:right="100"/>
        <w:spacing w:after="0" w:line="277" w:lineRule="auto"/>
        <w:rPr>
          <w:sz w:val="20"/>
          <w:szCs w:val="20"/>
          <w:color w:val="auto"/>
        </w:rPr>
      </w:pPr>
      <w:r>
        <w:rPr>
          <w:rFonts w:ascii="Arial" w:cs="Arial" w:eastAsia="Arial" w:hAnsi="Arial"/>
          <w:sz w:val="18"/>
          <w:szCs w:val="18"/>
          <w:color w:val="auto"/>
        </w:rPr>
        <w:t>Dropbox also announced that Dennis Woodside is stepping down as Chief Operating Officer. He’ll remain at the company until early September and serve as an advisor through the end of the year.</w:t>
      </w:r>
    </w:p>
    <w:p>
      <w:pPr>
        <w:spacing w:after="0" w:line="170" w:lineRule="exact"/>
        <w:rPr>
          <w:sz w:val="20"/>
          <w:szCs w:val="20"/>
          <w:color w:val="auto"/>
        </w:rPr>
      </w:pPr>
    </w:p>
    <w:p>
      <w:pPr>
        <w:jc w:val="both"/>
        <w:ind w:right="100"/>
        <w:spacing w:after="0" w:line="263" w:lineRule="auto"/>
        <w:rPr>
          <w:sz w:val="20"/>
          <w:szCs w:val="20"/>
          <w:color w:val="auto"/>
        </w:rPr>
      </w:pPr>
      <w:r>
        <w:rPr>
          <w:rFonts w:ascii="Arial" w:cs="Arial" w:eastAsia="Arial" w:hAnsi="Arial"/>
          <w:sz w:val="18"/>
          <w:szCs w:val="18"/>
          <w:color w:val="auto"/>
        </w:rPr>
        <w:t>During his time at Dropbox, Dennis helped build a strong leadership bench, and Dropbox is proud to announce the promotion of two of these senior leaders. They’ll join the executive team, which will be restructured to take on Dennis’ responsibilities and drive even greater focus on our customers and partners. As a result, the company does not plan to hire another COO.</w:t>
      </w:r>
    </w:p>
    <w:p>
      <w:pPr>
        <w:spacing w:after="0" w:line="183" w:lineRule="exact"/>
        <w:rPr>
          <w:sz w:val="20"/>
          <w:szCs w:val="20"/>
          <w:color w:val="auto"/>
        </w:rPr>
      </w:pPr>
    </w:p>
    <w:p>
      <w:pPr>
        <w:ind w:left="660" w:right="100" w:hanging="328"/>
        <w:spacing w:after="0" w:line="256" w:lineRule="auto"/>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Yamini Rangan, currently VP of Business Strategy &amp; Operations, will become Chief Customer Officer reporting to CEO Drew Houston. In this new role, she’ll be responsible for customer-focused business functions, including Global Sales, Marketing, Customer Experience, Business Development, and Business Strategy &amp; Operations. Yamini joined Dropbox in 2016 and has 20 years of leadership experience across sales, marketing, and operations. Most recently, she led Global Sales Strategy and Operations at Workday, and prior to that, she held senior positions at Appirio and SAP.</w:t>
      </w:r>
    </w:p>
    <w:p>
      <w:pPr>
        <w:spacing w:after="0" w:line="191" w:lineRule="exact"/>
        <w:rPr>
          <w:rFonts w:ascii="Arial" w:cs="Arial" w:eastAsia="Arial" w:hAnsi="Arial"/>
          <w:sz w:val="18"/>
          <w:szCs w:val="18"/>
          <w:color w:val="auto"/>
        </w:rPr>
      </w:pPr>
    </w:p>
    <w:p>
      <w:pPr>
        <w:ind w:left="660" w:right="280" w:hanging="328"/>
        <w:spacing w:after="0" w:line="279" w:lineRule="auto"/>
        <w:tabs>
          <w:tab w:leader="none" w:pos="660" w:val="left"/>
        </w:tabs>
        <w:numPr>
          <w:ilvl w:val="0"/>
          <w:numId w:val="3"/>
        </w:numPr>
        <w:rPr>
          <w:rFonts w:ascii="Arial" w:cs="Arial" w:eastAsia="Arial" w:hAnsi="Arial"/>
          <w:sz w:val="17"/>
          <w:szCs w:val="17"/>
          <w:color w:val="auto"/>
        </w:rPr>
      </w:pPr>
      <w:r>
        <w:rPr>
          <w:rFonts w:ascii="Arial" w:cs="Arial" w:eastAsia="Arial" w:hAnsi="Arial"/>
          <w:sz w:val="17"/>
          <w:szCs w:val="17"/>
          <w:color w:val="auto"/>
        </w:rPr>
        <w:t>Lin-Hua Wu, VP of Communications, will also report to CEO Drew Houston. Lin joined Dropbox in 2016 and oversees external and internal communications, and analyst relations. Her role will help ensure the company has the right market context informing its decisions, and that its communications are fully aligned with business strategy. Lin brings more than two decades of experience to Dropbox, coming most recently from Square, where she led Corporate Communications, and Brunswick Group, where she was a partner.</w:t>
      </w:r>
    </w:p>
    <w:p>
      <w:pPr>
        <w:spacing w:after="0" w:line="170" w:lineRule="exact"/>
        <w:rPr>
          <w:sz w:val="20"/>
          <w:szCs w:val="20"/>
          <w:color w:val="auto"/>
        </w:rPr>
      </w:pPr>
    </w:p>
    <w:p>
      <w:pPr>
        <w:ind w:right="80"/>
        <w:spacing w:after="0" w:line="263" w:lineRule="auto"/>
        <w:rPr>
          <w:sz w:val="20"/>
          <w:szCs w:val="20"/>
          <w:color w:val="auto"/>
        </w:rPr>
      </w:pPr>
      <w:r>
        <w:rPr>
          <w:rFonts w:ascii="Arial" w:cs="Arial" w:eastAsia="Arial" w:hAnsi="Arial"/>
          <w:sz w:val="18"/>
          <w:szCs w:val="18"/>
          <w:color w:val="auto"/>
        </w:rPr>
        <w:t>“I’ve had an amazing four years at Dropbox, and am proud of what we’ve accomplished together. It’s been an honor to work with such exceptionally talented people and help grow and scale our business,” said Dennis. “I couldn’t be happier for Yamini and Lin on their promotions, and am confident that the new executive team will take the company to even greater heights.”</w:t>
      </w:r>
    </w:p>
    <w:p>
      <w:pPr>
        <w:spacing w:after="0" w:line="183" w:lineRule="exact"/>
        <w:rPr>
          <w:sz w:val="20"/>
          <w:szCs w:val="20"/>
          <w:color w:val="auto"/>
        </w:rPr>
      </w:pPr>
    </w:p>
    <w:p>
      <w:pPr>
        <w:ind w:right="240"/>
        <w:spacing w:after="0" w:line="277" w:lineRule="auto"/>
        <w:rPr>
          <w:sz w:val="20"/>
          <w:szCs w:val="20"/>
          <w:color w:val="auto"/>
        </w:rPr>
      </w:pPr>
      <w:r>
        <w:rPr>
          <w:rFonts w:ascii="Arial" w:cs="Arial" w:eastAsia="Arial" w:hAnsi="Arial"/>
          <w:sz w:val="18"/>
          <w:szCs w:val="18"/>
          <w:color w:val="auto"/>
        </w:rPr>
        <w:t>“We’re grateful for everything Dennis has done for us,” said Drew. “He’s helped transform Dropbox into a publicly-traded company with over $1 billion in annual revenue and 12 offices around the world. Dennis will always be part of the Dropbox family, and we wish him all the best.”</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Conference Call Information</w:t>
      </w:r>
    </w:p>
    <w:p>
      <w:pPr>
        <w:spacing w:after="0" w:line="229" w:lineRule="exact"/>
        <w:rPr>
          <w:sz w:val="20"/>
          <w:szCs w:val="20"/>
          <w:color w:val="auto"/>
        </w:rPr>
      </w:pPr>
    </w:p>
    <w:p>
      <w:pPr>
        <w:ind w:right="80"/>
        <w:spacing w:after="0" w:line="275" w:lineRule="auto"/>
        <w:rPr>
          <w:sz w:val="20"/>
          <w:szCs w:val="20"/>
          <w:color w:val="auto"/>
        </w:rPr>
      </w:pPr>
      <w:r>
        <w:rPr>
          <w:rFonts w:ascii="Arial" w:cs="Arial" w:eastAsia="Arial" w:hAnsi="Arial"/>
          <w:sz w:val="17"/>
          <w:szCs w:val="17"/>
          <w:color w:val="auto"/>
        </w:rPr>
        <w:t>Dropbox plans to host a conference call today to review its second quarter financial results and to discuss its financial outlook. This call is scheduled to begin at 2:00 p.m. PT / 5:00 p.m. ET and can be accessed by dialing (877) 300-7844 from the United States or (786) 815-8440 internationally with reference to the company name and conference title, and a live webcast and replay of the conference call can be accessed from the Dropbox investor relations website at investors.dropbox.com. Following the completion of the call, a telephonic replay will be available through 11:59 PM Eastern Time on August 16, 2018 at (855) 859-2056 from the United States or (404) 537-3406 internationally with recording access code 5483595.</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Upcoming Events</w:t>
      </w:r>
    </w:p>
    <w:p>
      <w:pPr>
        <w:spacing w:after="0" w:line="225" w:lineRule="exact"/>
        <w:rPr>
          <w:sz w:val="20"/>
          <w:szCs w:val="20"/>
          <w:color w:val="auto"/>
        </w:rPr>
      </w:pPr>
    </w:p>
    <w:p>
      <w:pPr>
        <w:ind w:left="660" w:right="100" w:hanging="328"/>
        <w:spacing w:after="0" w:line="260" w:lineRule="auto"/>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b w:val="1"/>
          <w:bCs w:val="1"/>
          <w:color w:val="auto"/>
        </w:rPr>
        <w:t xml:space="preserve">Dropbox to Present at KeyBanc Capital Markets 20th Annual Technology Leadership Forum: </w:t>
      </w:r>
      <w:r>
        <w:rPr>
          <w:rFonts w:ascii="Arial" w:cs="Arial" w:eastAsia="Arial" w:hAnsi="Arial"/>
          <w:sz w:val="18"/>
          <w:szCs w:val="18"/>
          <w:color w:val="auto"/>
        </w:rPr>
        <w:t>Ajay Vashee, Chief Financial Officer, will be</w:t>
      </w:r>
      <w:r>
        <w:rPr>
          <w:rFonts w:ascii="Arial" w:cs="Arial" w:eastAsia="Arial" w:hAnsi="Arial"/>
          <w:sz w:val="18"/>
          <w:szCs w:val="18"/>
          <w:b w:val="1"/>
          <w:bCs w:val="1"/>
          <w:color w:val="auto"/>
        </w:rPr>
        <w:t xml:space="preserve"> </w:t>
      </w:r>
      <w:r>
        <w:rPr>
          <w:rFonts w:ascii="Arial" w:cs="Arial" w:eastAsia="Arial" w:hAnsi="Arial"/>
          <w:sz w:val="18"/>
          <w:szCs w:val="18"/>
          <w:color w:val="auto"/>
        </w:rPr>
        <w:t>presenting at the KeyBanc Capital Markets 20th Annual Technology Leadership Forum in Vail, CO, on Monday, August 13, 2018 at 1:30 p.m. MT / 3:30 p.m. ET. At that time, a live webcast will be accessible from the Dropbox investor relations website at http://investors.dropbox.com. Following the event, a replay will be made available at the same location.</w:t>
      </w:r>
    </w:p>
    <w:p>
      <w:pPr>
        <w:spacing w:after="0" w:line="182" w:lineRule="exact"/>
        <w:rPr>
          <w:rFonts w:ascii="Arial" w:cs="Arial" w:eastAsia="Arial" w:hAnsi="Arial"/>
          <w:sz w:val="18"/>
          <w:szCs w:val="18"/>
          <w:color w:val="auto"/>
        </w:rPr>
      </w:pPr>
    </w:p>
    <w:p>
      <w:pPr>
        <w:ind w:left="660" w:hanging="328"/>
        <w:spacing w:after="0" w:line="274" w:lineRule="auto"/>
        <w:tabs>
          <w:tab w:leader="none" w:pos="660" w:val="left"/>
        </w:tabs>
        <w:numPr>
          <w:ilvl w:val="0"/>
          <w:numId w:val="4"/>
        </w:numPr>
        <w:rPr>
          <w:rFonts w:ascii="Arial" w:cs="Arial" w:eastAsia="Arial" w:hAnsi="Arial"/>
          <w:sz w:val="17"/>
          <w:szCs w:val="17"/>
          <w:color w:val="auto"/>
        </w:rPr>
      </w:pPr>
      <w:r>
        <w:rPr>
          <w:rFonts w:ascii="Arial" w:cs="Arial" w:eastAsia="Arial" w:hAnsi="Arial"/>
          <w:sz w:val="17"/>
          <w:szCs w:val="17"/>
          <w:b w:val="1"/>
          <w:bCs w:val="1"/>
          <w:color w:val="auto"/>
        </w:rPr>
        <w:t xml:space="preserve">Dropbox Lock-up Expiration: </w:t>
      </w:r>
      <w:r>
        <w:rPr>
          <w:rFonts w:ascii="Arial" w:cs="Arial" w:eastAsia="Arial" w:hAnsi="Arial"/>
          <w:sz w:val="17"/>
          <w:szCs w:val="17"/>
          <w:color w:val="auto"/>
        </w:rPr>
        <w:t>In connection with our initial public offering of Class A common stock (the “IPO”), all of our executive officers,</w:t>
      </w:r>
      <w:r>
        <w:rPr>
          <w:rFonts w:ascii="Arial" w:cs="Arial" w:eastAsia="Arial" w:hAnsi="Arial"/>
          <w:sz w:val="17"/>
          <w:szCs w:val="17"/>
          <w:b w:val="1"/>
          <w:bCs w:val="1"/>
          <w:color w:val="auto"/>
        </w:rPr>
        <w:t xml:space="preserve"> </w:t>
      </w:r>
      <w:r>
        <w:rPr>
          <w:rFonts w:ascii="Arial" w:cs="Arial" w:eastAsia="Arial" w:hAnsi="Arial"/>
          <w:sz w:val="17"/>
          <w:szCs w:val="17"/>
          <w:color w:val="auto"/>
        </w:rPr>
        <w:t>directors and holders of our capital stock and securities convertible into or exchangeable for our capital stock as of the IPO entered into market standoff agreements with the Company or entered into lock-up agreements (the “lock-up”) with the underwriters that restrict their ability to sell or transfer their shares. The lock-up period is scheduled to end on September 18, 2018, which falls within our quarterly blackout period that commences at the close of trading on September 7, 2018. Therefore, in accordance with the lock-up agreements with the underwriters, the restricted period will end at the close of market on August 23, 2018, which is ten trading days prior</w:t>
      </w:r>
    </w:p>
    <w:p>
      <w:pPr>
        <w:sectPr>
          <w:pgSz w:w="11900" w:h="16838" w:orient="portrait"/>
          <w:cols w:equalWidth="0" w:num="1">
            <w:col w:w="11420"/>
          </w:cols>
          <w:pgMar w:left="240" w:top="580" w:right="239" w:bottom="1440" w:gutter="0" w:footer="0" w:header="0"/>
        </w:sectPr>
      </w:pPr>
    </w:p>
    <w:bookmarkStart w:id="6" w:name="page7"/>
    <w:bookmarkEnd w:id="6"/>
    <w:p>
      <w:pPr>
        <w:ind w:left="660"/>
        <w:spacing w:after="0"/>
        <w:rPr>
          <w:sz w:val="20"/>
          <w:szCs w:val="20"/>
          <w:color w:val="auto"/>
        </w:rPr>
      </w:pPr>
      <w:r>
        <w:rPr>
          <w:rFonts w:ascii="Arial" w:cs="Arial" w:eastAsia="Arial" w:hAnsi="Arial"/>
          <w:sz w:val="16"/>
          <w:szCs w:val="16"/>
          <w:color w:val="auto"/>
        </w:rPr>
        <w:t>to the commencement of our quarterly blackout period. We will also release our market standoff agreements when the restricted period expires.</w:t>
      </w:r>
    </w:p>
    <w:p>
      <w:pPr>
        <w:spacing w:after="0" w:line="25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Dropbox</w:t>
      </w:r>
    </w:p>
    <w:p>
      <w:pPr>
        <w:spacing w:after="0" w:line="229"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Dropbox is a leading global collaboration platform that's transforming the way people work together, from the smallest business to the largest enterprise. With more than 500 million registered users across more than 180 countries, our products are designed to help unleash the world’s creative energy and establish a more enlightened way of working. Headquartered in San Francisco, CA, Dropbox has 12 offices around the world. For more information on our mission and products, visit dropbox.com.</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Use of Non-GAAP Financial Measures</w:t>
      </w:r>
    </w:p>
    <w:p>
      <w:pPr>
        <w:spacing w:after="0" w:line="229" w:lineRule="exact"/>
        <w:rPr>
          <w:sz w:val="20"/>
          <w:szCs w:val="20"/>
          <w:color w:val="auto"/>
        </w:rPr>
      </w:pPr>
    </w:p>
    <w:p>
      <w:pPr>
        <w:ind w:right="240"/>
        <w:spacing w:after="0" w:line="286" w:lineRule="auto"/>
        <w:rPr>
          <w:sz w:val="20"/>
          <w:szCs w:val="20"/>
          <w:color w:val="auto"/>
        </w:rPr>
      </w:pPr>
      <w:r>
        <w:rPr>
          <w:rFonts w:ascii="Arial" w:cs="Arial" w:eastAsia="Arial" w:hAnsi="Arial"/>
          <w:sz w:val="17"/>
          <w:szCs w:val="17"/>
          <w:color w:val="auto"/>
        </w:rPr>
        <w:t>Reconciliations of non-GAAP financial measures to the most directly comparable financial results as determined in accordance with GAAP are included at the end of this press release following the accompanying financial data. For a description of these non-GAAP financial measures, including the reasons management uses each measure, please see the section of the tables titled "About Non-GAAP Financial Measures."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229" w:lineRule="exact"/>
        <w:rPr>
          <w:sz w:val="20"/>
          <w:szCs w:val="20"/>
          <w:color w:val="auto"/>
        </w:rPr>
      </w:pPr>
    </w:p>
    <w:p>
      <w:pPr>
        <w:ind w:right="140"/>
        <w:spacing w:after="0" w:line="284" w:lineRule="auto"/>
        <w:rPr>
          <w:sz w:val="20"/>
          <w:szCs w:val="20"/>
          <w:color w:val="auto"/>
        </w:rPr>
      </w:pPr>
      <w:r>
        <w:rPr>
          <w:rFonts w:ascii="Arial" w:cs="Arial" w:eastAsia="Arial" w:hAnsi="Arial"/>
          <w:sz w:val="16"/>
          <w:szCs w:val="16"/>
          <w:color w:val="auto"/>
        </w:rPr>
        <w:t>This press release contains forward-looking statements within the meaning of the Private Securities Litigation Reform Act of 1995 including, among other things, statements regarding Dropbox's future operational performance, the demand for our platform, the benefits from new product experiences, and expectations regarding stock-based compensation expense. Words such as "believe," "may," "will," "estimate," "continue," "anticipate," "intend," "expect," "plans," and similar expressions are intended to identify forward-looking statements. Dropbox has based these forward-looking statements largely on its current expectations and projections about future events and financial trends that the Company believes may affect its business, financial condition, and results of operations. These forward-looking statements speak only as of the date of this press release and are subject to risks, uncertainties, and assumptions including, but not limited to: (i) our ability to retain and upgrade paying users; (ii) our ability to attract new users or convert registered users to paying users;</w:t>
      </w:r>
    </w:p>
    <w:p>
      <w:pPr>
        <w:spacing w:after="0" w:line="1" w:lineRule="exact"/>
        <w:rPr>
          <w:sz w:val="20"/>
          <w:szCs w:val="20"/>
          <w:color w:val="auto"/>
        </w:rPr>
      </w:pPr>
    </w:p>
    <w:p>
      <w:pPr>
        <w:ind w:firstLine="8"/>
        <w:spacing w:after="0" w:line="285" w:lineRule="auto"/>
        <w:tabs>
          <w:tab w:leader="none" w:pos="314" w:val="left"/>
        </w:tabs>
        <w:numPr>
          <w:ilvl w:val="0"/>
          <w:numId w:val="5"/>
        </w:numPr>
        <w:rPr>
          <w:rFonts w:ascii="Arial" w:cs="Arial" w:eastAsia="Arial" w:hAnsi="Arial"/>
          <w:sz w:val="16"/>
          <w:szCs w:val="16"/>
          <w:color w:val="auto"/>
        </w:rPr>
      </w:pPr>
      <w:r>
        <w:rPr>
          <w:rFonts w:ascii="Arial" w:cs="Arial" w:eastAsia="Arial" w:hAnsi="Arial"/>
          <w:sz w:val="16"/>
          <w:szCs w:val="16"/>
          <w:color w:val="auto"/>
        </w:rPr>
        <w:t>our revenue growth rate; (iv) our history of net losses; (v) our liability for any unauthorized access to our data or our users’ content, including through privacy and data security breaches; (vi) significant disruption of service on our platform or loss of content; (vii) any decline in demand for our platform or for content collaboration solutions in general; (viii) changes in the interoperability of our platform across devices, operating systems, and third-party applications that we do not control; (ix) competition in our markets; (x) our ability to respond to rapid technological changes, extend our platform, or develop new features; (xi) our ability to manage our growth or plan for future growth; and (xii) the dual class structure of our common stock and its effect of concentrating voting control with certain stockholders who held our capital stock prior to the completion of our initial public offering. Further information on risks that could affect Dropbox’s results is included in our filings with the Securities and Exchange Commission (SEC), including our Form 10-Q for the quarter ended March 31, 2018. Additional information will be made available in our quarterly report on Form 10-Q and other future reports that we may file with the SEC from time to time, which could cause actual results to vary from expectations. If the risks materialize or assumptions prove incorrect, actual results could differ materially from the results implied by these forward-looking statements. Dropbox assumes no obligation to, and does not currently intend to, update any such forward-looking statements after the date of this release, except as required by applicable law.</w:t>
      </w:r>
    </w:p>
    <w:p>
      <w:pPr>
        <w:sectPr>
          <w:pgSz w:w="11900" w:h="16838" w:orient="portrait"/>
          <w:cols w:equalWidth="0" w:num="1">
            <w:col w:w="11420"/>
          </w:cols>
          <w:pgMar w:left="240" w:top="611" w:right="239" w:bottom="1440" w:gutter="0" w:footer="0" w:header="0"/>
        </w:sectPr>
      </w:pPr>
    </w:p>
    <w:bookmarkStart w:id="7" w:name="page8"/>
    <w:bookmarkEnd w:id="7"/>
    <w:p>
      <w:pPr>
        <w:jc w:val="center"/>
        <w:spacing w:after="0"/>
        <w:rPr>
          <w:sz w:val="20"/>
          <w:szCs w:val="20"/>
          <w:color w:val="auto"/>
        </w:rPr>
      </w:pPr>
      <w:r>
        <w:rPr>
          <w:rFonts w:ascii="Arial" w:cs="Arial" w:eastAsia="Arial" w:hAnsi="Arial"/>
          <w:sz w:val="22"/>
          <w:szCs w:val="22"/>
          <w:b w:val="1"/>
          <w:bCs w:val="1"/>
          <w:color w:val="auto"/>
        </w:rPr>
        <w:t>Dropbox,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Condensed Consolidated Statements of Operations</w:t>
      </w:r>
    </w:p>
    <w:p>
      <w:pPr>
        <w:jc w:val="center"/>
        <w:spacing w:after="0"/>
        <w:rPr>
          <w:sz w:val="20"/>
          <w:szCs w:val="20"/>
          <w:color w:val="auto"/>
        </w:rPr>
      </w:pPr>
      <w:r>
        <w:rPr>
          <w:rFonts w:ascii="Arial" w:cs="Arial" w:eastAsia="Arial" w:hAnsi="Arial"/>
          <w:sz w:val="18"/>
          <w:szCs w:val="18"/>
          <w:i w:val="1"/>
          <w:iCs w:val="1"/>
          <w:color w:val="auto"/>
        </w:rPr>
        <w:t>(In millions, except per share data)</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(Unaudited)</w:t>
      </w:r>
    </w:p>
    <w:p>
      <w:pPr>
        <w:spacing w:after="0" w:line="15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240" w:type="dxa"/>
            <w:vAlign w:val="bottom"/>
          </w:tcPr>
          <w:p>
            <w:pPr>
              <w:spacing w:after="0"/>
              <w:rPr>
                <w:sz w:val="18"/>
                <w:szCs w:val="18"/>
                <w:color w:val="auto"/>
              </w:rPr>
            </w:pPr>
          </w:p>
        </w:tc>
        <w:tc>
          <w:tcPr>
            <w:tcW w:w="2980" w:type="dxa"/>
            <w:vAlign w:val="bottom"/>
            <w:gridSpan w:val="4"/>
          </w:tcPr>
          <w:p>
            <w:pPr>
              <w:jc w:val="right"/>
              <w:ind w:right="270"/>
              <w:spacing w:after="0"/>
              <w:rPr>
                <w:sz w:val="20"/>
                <w:szCs w:val="20"/>
                <w:color w:val="auto"/>
              </w:rPr>
            </w:pPr>
            <w:r>
              <w:rPr>
                <w:rFonts w:ascii="Arial" w:cs="Arial" w:eastAsia="Arial" w:hAnsi="Arial"/>
                <w:sz w:val="18"/>
                <w:szCs w:val="18"/>
                <w:b w:val="1"/>
                <w:bCs w:val="1"/>
                <w:color w:val="auto"/>
              </w:rPr>
              <w:t>Three Months Ended</w:t>
            </w:r>
          </w:p>
        </w:tc>
        <w:tc>
          <w:tcPr>
            <w:tcW w:w="5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80" w:type="dxa"/>
            <w:vAlign w:val="bottom"/>
            <w:gridSpan w:val="3"/>
          </w:tcPr>
          <w:p>
            <w:pPr>
              <w:jc w:val="right"/>
              <w:spacing w:after="0"/>
              <w:rPr>
                <w:sz w:val="20"/>
                <w:szCs w:val="20"/>
                <w:color w:val="auto"/>
              </w:rPr>
            </w:pPr>
            <w:r>
              <w:rPr>
                <w:rFonts w:ascii="Arial" w:cs="Arial" w:eastAsia="Arial" w:hAnsi="Arial"/>
                <w:sz w:val="18"/>
                <w:szCs w:val="18"/>
                <w:b w:val="1"/>
                <w:bCs w:val="1"/>
                <w:color w:val="auto"/>
              </w:rPr>
              <w:t>Six Months Ended</w:t>
            </w:r>
          </w:p>
        </w:tc>
        <w:tc>
          <w:tcPr>
            <w:tcW w:w="10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424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840" w:type="dxa"/>
            <w:vAlign w:val="bottom"/>
            <w:gridSpan w:val="3"/>
          </w:tcPr>
          <w:p>
            <w:pPr>
              <w:jc w:val="right"/>
              <w:ind w:right="770"/>
              <w:spacing w:after="0"/>
              <w:rPr>
                <w:sz w:val="20"/>
                <w:szCs w:val="20"/>
                <w:color w:val="auto"/>
              </w:rPr>
            </w:pPr>
            <w:r>
              <w:rPr>
                <w:rFonts w:ascii="Arial" w:cs="Arial" w:eastAsia="Arial" w:hAnsi="Arial"/>
                <w:sz w:val="18"/>
                <w:szCs w:val="18"/>
                <w:b w:val="1"/>
                <w:bCs w:val="1"/>
                <w:color w:val="auto"/>
              </w:rPr>
              <w:t>June 30,</w:t>
            </w:r>
          </w:p>
        </w:tc>
        <w:tc>
          <w:tcPr>
            <w:tcW w:w="5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2080" w:type="dxa"/>
            <w:vAlign w:val="bottom"/>
            <w:gridSpan w:val="3"/>
          </w:tcPr>
          <w:p>
            <w:pPr>
              <w:jc w:val="right"/>
              <w:ind w:right="290"/>
              <w:spacing w:after="0"/>
              <w:rPr>
                <w:sz w:val="20"/>
                <w:szCs w:val="20"/>
                <w:color w:val="auto"/>
              </w:rPr>
            </w:pPr>
            <w:r>
              <w:rPr>
                <w:rFonts w:ascii="Arial" w:cs="Arial" w:eastAsia="Arial" w:hAnsi="Arial"/>
                <w:sz w:val="18"/>
                <w:szCs w:val="18"/>
                <w:b w:val="1"/>
                <w:bCs w:val="1"/>
                <w:color w:val="auto"/>
              </w:rPr>
              <w:t>June 30,</w:t>
            </w:r>
          </w:p>
        </w:tc>
        <w:tc>
          <w:tcPr>
            <w:tcW w:w="10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4240" w:type="dxa"/>
            <w:vAlign w:val="bottom"/>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6"/>
        </w:trPr>
        <w:tc>
          <w:tcPr>
            <w:tcW w:w="424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8"/>
                <w:szCs w:val="18"/>
                <w:b w:val="1"/>
                <w:bCs w:val="1"/>
                <w:color w:val="auto"/>
              </w:rPr>
              <w:t>2018</w:t>
            </w:r>
          </w:p>
        </w:tc>
        <w:tc>
          <w:tcPr>
            <w:tcW w:w="6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8"/>
                <w:szCs w:val="18"/>
                <w:b w:val="1"/>
                <w:bCs w:val="1"/>
                <w:color w:val="auto"/>
              </w:rPr>
              <w:t>2017</w:t>
            </w:r>
          </w:p>
        </w:tc>
        <w:tc>
          <w:tcPr>
            <w:tcW w:w="5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320" w:type="dxa"/>
            <w:vAlign w:val="bottom"/>
          </w:tcPr>
          <w:p>
            <w:pPr>
              <w:jc w:val="right"/>
              <w:ind w:right="59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040" w:type="dxa"/>
            <w:vAlign w:val="bottom"/>
          </w:tcPr>
          <w:p>
            <w:pPr>
              <w:jc w:val="right"/>
              <w:ind w:right="570"/>
              <w:spacing w:after="0"/>
              <w:rPr>
                <w:sz w:val="20"/>
                <w:szCs w:val="20"/>
                <w:color w:val="auto"/>
              </w:rPr>
            </w:pPr>
            <w:r>
              <w:rPr>
                <w:rFonts w:ascii="Arial" w:cs="Arial" w:eastAsia="Arial" w:hAnsi="Arial"/>
                <w:sz w:val="18"/>
                <w:szCs w:val="18"/>
                <w:b w:val="1"/>
                <w:bCs w:val="1"/>
                <w:color w:val="auto"/>
                <w:w w:val="89"/>
              </w:rPr>
              <w:t>2017</w:t>
            </w:r>
          </w:p>
        </w:tc>
        <w:tc>
          <w:tcPr>
            <w:tcW w:w="0" w:type="dxa"/>
            <w:vAlign w:val="bottom"/>
          </w:tcPr>
          <w:p>
            <w:pPr>
              <w:spacing w:after="0"/>
              <w:rPr>
                <w:sz w:val="1"/>
                <w:szCs w:val="1"/>
                <w:color w:val="auto"/>
              </w:rPr>
            </w:pPr>
          </w:p>
        </w:tc>
      </w:tr>
      <w:tr>
        <w:trPr>
          <w:trHeight w:val="27"/>
        </w:trPr>
        <w:tc>
          <w:tcPr>
            <w:tcW w:w="4240" w:type="dxa"/>
            <w:vAlign w:val="bottom"/>
            <w:tcBorders>
              <w:bottom w:val="single" w:sz="8" w:color="CCEEFF"/>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3"/>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Revenue</w:t>
            </w:r>
          </w:p>
        </w:tc>
        <w:tc>
          <w:tcPr>
            <w:tcW w:w="1140" w:type="dxa"/>
            <w:vAlign w:val="bottom"/>
            <w:tcBorders>
              <w:bottom w:val="single" w:sz="8" w:color="CCEEFF"/>
            </w:tcBorders>
            <w:shd w:val="clear" w:color="auto" w:fill="CCEEFF"/>
          </w:tcPr>
          <w:p>
            <w:pPr>
              <w:jc w:val="right"/>
              <w:ind w:right="930"/>
              <w:spacing w:after="0"/>
              <w:rPr>
                <w:sz w:val="20"/>
                <w:szCs w:val="20"/>
                <w:color w:val="auto"/>
              </w:rPr>
            </w:pPr>
            <w:r>
              <w:rPr>
                <w:rFonts w:ascii="Arial" w:cs="Arial" w:eastAsia="Arial" w:hAnsi="Arial"/>
                <w:sz w:val="18"/>
                <w:szCs w:val="18"/>
                <w:color w:val="auto"/>
                <w:w w:val="99"/>
              </w:rPr>
              <w:t>$</w:t>
            </w:r>
          </w:p>
        </w:tc>
        <w:tc>
          <w:tcPr>
            <w:tcW w:w="6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339.2</w:t>
            </w: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910"/>
              <w:spacing w:after="0"/>
              <w:rPr>
                <w:sz w:val="20"/>
                <w:szCs w:val="20"/>
                <w:color w:val="auto"/>
              </w:rPr>
            </w:pPr>
            <w:r>
              <w:rPr>
                <w:rFonts w:ascii="Arial" w:cs="Arial" w:eastAsia="Arial" w:hAnsi="Arial"/>
                <w:sz w:val="18"/>
                <w:szCs w:val="18"/>
                <w:color w:val="auto"/>
                <w:w w:val="99"/>
              </w:rPr>
              <w:t>$</w:t>
            </w:r>
          </w:p>
        </w:tc>
        <w:tc>
          <w:tcPr>
            <w:tcW w:w="5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266.7</w:t>
            </w:r>
          </w:p>
        </w:tc>
        <w:tc>
          <w:tcPr>
            <w:tcW w:w="1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79"/>
              </w:rPr>
              <w:t>$</w:t>
            </w:r>
          </w:p>
        </w:tc>
        <w:tc>
          <w:tcPr>
            <w:tcW w:w="13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655.5</w:t>
            </w:r>
          </w:p>
        </w:tc>
        <w:tc>
          <w:tcPr>
            <w:tcW w:w="10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ind w:right="45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514.6</w:t>
            </w:r>
          </w:p>
        </w:tc>
        <w:tc>
          <w:tcPr>
            <w:tcW w:w="0" w:type="dxa"/>
            <w:vAlign w:val="bottom"/>
          </w:tcPr>
          <w:p>
            <w:pPr>
              <w:spacing w:after="0"/>
              <w:rPr>
                <w:sz w:val="1"/>
                <w:szCs w:val="1"/>
                <w:color w:val="auto"/>
              </w:rPr>
            </w:pPr>
          </w:p>
        </w:tc>
      </w:tr>
      <w:tr>
        <w:trPr>
          <w:trHeight w:val="270"/>
        </w:trPr>
        <w:tc>
          <w:tcPr>
            <w:tcW w:w="4240" w:type="dxa"/>
            <w:vAlign w:val="bottom"/>
            <w:tcBorders>
              <w:bottom w:val="single" w:sz="8" w:color="CCEEFF"/>
            </w:tcBorders>
          </w:tcPr>
          <w:p>
            <w:pPr>
              <w:ind w:left="280"/>
              <w:spacing w:after="0" w:line="270" w:lineRule="exact"/>
              <w:rPr>
                <w:sz w:val="20"/>
                <w:szCs w:val="20"/>
                <w:color w:val="auto"/>
              </w:rPr>
            </w:pPr>
            <w:r>
              <w:rPr>
                <w:rFonts w:ascii="Arial" w:cs="Arial" w:eastAsia="Arial" w:hAnsi="Arial"/>
                <w:sz w:val="18"/>
                <w:szCs w:val="18"/>
                <w:color w:val="auto"/>
              </w:rPr>
              <w:t>Cost of revenue</w:t>
            </w:r>
            <w:r>
              <w:rPr>
                <w:rFonts w:ascii="Arial" w:cs="Arial" w:eastAsia="Arial" w:hAnsi="Arial"/>
                <w:sz w:val="25"/>
                <w:szCs w:val="25"/>
                <w:color w:val="auto"/>
                <w:vertAlign w:val="superscript"/>
              </w:rPr>
              <w:t>(1)</w:t>
            </w:r>
          </w:p>
        </w:tc>
        <w:tc>
          <w:tcPr>
            <w:tcW w:w="1140" w:type="dxa"/>
            <w:vAlign w:val="bottom"/>
            <w:tcBorders>
              <w:bottom w:val="single" w:sz="8" w:color="auto"/>
            </w:tcBorders>
          </w:tcPr>
          <w:p>
            <w:pPr>
              <w:spacing w:after="0"/>
              <w:rPr>
                <w:sz w:val="23"/>
                <w:szCs w:val="23"/>
                <w:color w:val="auto"/>
              </w:rPr>
            </w:pPr>
          </w:p>
        </w:tc>
        <w:tc>
          <w:tcPr>
            <w:tcW w:w="6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89.5</w:t>
            </w:r>
          </w:p>
        </w:tc>
        <w:tc>
          <w:tcPr>
            <w:tcW w:w="120" w:type="dxa"/>
            <w:vAlign w:val="bottom"/>
            <w:tcBorders>
              <w:bottom w:val="single" w:sz="8" w:color="CCEEFF"/>
            </w:tcBorders>
          </w:tcPr>
          <w:p>
            <w:pPr>
              <w:spacing w:after="0"/>
              <w:rPr>
                <w:sz w:val="23"/>
                <w:szCs w:val="23"/>
                <w:color w:val="auto"/>
              </w:rPr>
            </w:pPr>
          </w:p>
        </w:tc>
        <w:tc>
          <w:tcPr>
            <w:tcW w:w="1120" w:type="dxa"/>
            <w:vAlign w:val="bottom"/>
            <w:tcBorders>
              <w:bottom w:val="single" w:sz="8" w:color="auto"/>
            </w:tcBorders>
          </w:tcPr>
          <w:p>
            <w:pPr>
              <w:spacing w:after="0"/>
              <w:rPr>
                <w:sz w:val="23"/>
                <w:szCs w:val="23"/>
                <w:color w:val="auto"/>
              </w:rPr>
            </w:pPr>
          </w:p>
        </w:tc>
        <w:tc>
          <w:tcPr>
            <w:tcW w:w="58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92.2</w:t>
            </w:r>
          </w:p>
        </w:tc>
        <w:tc>
          <w:tcPr>
            <w:tcW w:w="120" w:type="dxa"/>
            <w:vAlign w:val="bottom"/>
            <w:tcBorders>
              <w:bottom w:val="single" w:sz="8" w:color="CCEEFF"/>
            </w:tcBorders>
          </w:tcPr>
          <w:p>
            <w:pPr>
              <w:spacing w:after="0"/>
              <w:rPr>
                <w:sz w:val="23"/>
                <w:szCs w:val="23"/>
                <w:color w:val="auto"/>
              </w:rPr>
            </w:pPr>
          </w:p>
        </w:tc>
        <w:tc>
          <w:tcPr>
            <w:tcW w:w="380" w:type="dxa"/>
            <w:vAlign w:val="bottom"/>
            <w:tcBorders>
              <w:bottom w:val="single" w:sz="8" w:color="auto"/>
            </w:tcBorders>
          </w:tcPr>
          <w:p>
            <w:pPr>
              <w:spacing w:after="0"/>
              <w:rPr>
                <w:sz w:val="23"/>
                <w:szCs w:val="23"/>
                <w:color w:val="auto"/>
              </w:rPr>
            </w:pPr>
          </w:p>
        </w:tc>
        <w:tc>
          <w:tcPr>
            <w:tcW w:w="13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210.1</w:t>
            </w:r>
          </w:p>
        </w:tc>
        <w:tc>
          <w:tcPr>
            <w:tcW w:w="100" w:type="dxa"/>
            <w:vAlign w:val="bottom"/>
            <w:tcBorders>
              <w:bottom w:val="single" w:sz="8" w:color="CCEEFF"/>
            </w:tcBorders>
          </w:tcPr>
          <w:p>
            <w:pPr>
              <w:spacing w:after="0"/>
              <w:rPr>
                <w:sz w:val="23"/>
                <w:szCs w:val="23"/>
                <w:color w:val="auto"/>
              </w:rPr>
            </w:pPr>
          </w:p>
        </w:tc>
        <w:tc>
          <w:tcPr>
            <w:tcW w:w="660" w:type="dxa"/>
            <w:vAlign w:val="bottom"/>
            <w:tcBorders>
              <w:bottom w:val="single" w:sz="8" w:color="auto"/>
            </w:tcBorders>
          </w:tcPr>
          <w:p>
            <w:pPr>
              <w:spacing w:after="0"/>
              <w:rPr>
                <w:sz w:val="23"/>
                <w:szCs w:val="23"/>
                <w:color w:val="auto"/>
              </w:rPr>
            </w:pPr>
          </w:p>
        </w:tc>
        <w:tc>
          <w:tcPr>
            <w:tcW w:w="10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185.7</w:t>
            </w:r>
          </w:p>
        </w:tc>
        <w:tc>
          <w:tcPr>
            <w:tcW w:w="0" w:type="dxa"/>
            <w:vAlign w:val="bottom"/>
          </w:tcPr>
          <w:p>
            <w:pPr>
              <w:spacing w:after="0"/>
              <w:rPr>
                <w:sz w:val="1"/>
                <w:szCs w:val="1"/>
                <w:color w:val="auto"/>
              </w:rPr>
            </w:pPr>
          </w:p>
        </w:tc>
      </w:tr>
      <w:tr>
        <w:trPr>
          <w:trHeight w:val="243"/>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Gross profit</w:t>
            </w:r>
          </w:p>
        </w:tc>
        <w:tc>
          <w:tcPr>
            <w:tcW w:w="114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249.7</w:t>
            </w: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5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174.5</w:t>
            </w:r>
          </w:p>
        </w:tc>
        <w:tc>
          <w:tcPr>
            <w:tcW w:w="1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445.4</w:t>
            </w:r>
          </w:p>
        </w:tc>
        <w:tc>
          <w:tcPr>
            <w:tcW w:w="10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328.9</w:t>
            </w:r>
          </w:p>
        </w:tc>
        <w:tc>
          <w:tcPr>
            <w:tcW w:w="0" w:type="dxa"/>
            <w:vAlign w:val="bottom"/>
          </w:tcPr>
          <w:p>
            <w:pPr>
              <w:spacing w:after="0"/>
              <w:rPr>
                <w:sz w:val="1"/>
                <w:szCs w:val="1"/>
                <w:color w:val="auto"/>
              </w:rPr>
            </w:pPr>
          </w:p>
        </w:tc>
      </w:tr>
      <w:tr>
        <w:trPr>
          <w:trHeight w:val="270"/>
        </w:trPr>
        <w:tc>
          <w:tcPr>
            <w:tcW w:w="4240" w:type="dxa"/>
            <w:vAlign w:val="bottom"/>
          </w:tcPr>
          <w:p>
            <w:pPr>
              <w:ind w:left="40"/>
              <w:spacing w:after="0" w:line="270" w:lineRule="exact"/>
              <w:rPr>
                <w:sz w:val="20"/>
                <w:szCs w:val="20"/>
                <w:color w:val="auto"/>
              </w:rPr>
            </w:pPr>
            <w:r>
              <w:rPr>
                <w:rFonts w:ascii="Arial" w:cs="Arial" w:eastAsia="Arial" w:hAnsi="Arial"/>
                <w:sz w:val="18"/>
                <w:szCs w:val="18"/>
                <w:color w:val="auto"/>
              </w:rPr>
              <w:t>Operating expenses</w:t>
            </w:r>
            <w:r>
              <w:rPr>
                <w:rFonts w:ascii="Arial" w:cs="Arial" w:eastAsia="Arial" w:hAnsi="Arial"/>
                <w:sz w:val="25"/>
                <w:szCs w:val="25"/>
                <w:color w:val="auto"/>
                <w:vertAlign w:val="superscript"/>
              </w:rPr>
              <w:t>(1)</w:t>
            </w:r>
            <w:r>
              <w:rPr>
                <w:rFonts w:ascii="Arial" w:cs="Arial" w:eastAsia="Arial" w:hAnsi="Arial"/>
                <w:sz w:val="18"/>
                <w:szCs w:val="18"/>
                <w:color w:val="auto"/>
              </w:rPr>
              <w:t>:</w:t>
            </w:r>
          </w:p>
        </w:tc>
        <w:tc>
          <w:tcPr>
            <w:tcW w:w="114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120" w:type="dxa"/>
            <w:vAlign w:val="bottom"/>
          </w:tcPr>
          <w:p>
            <w:pPr>
              <w:spacing w:after="0"/>
              <w:rPr>
                <w:sz w:val="23"/>
                <w:szCs w:val="23"/>
                <w:color w:val="auto"/>
              </w:rPr>
            </w:pPr>
          </w:p>
        </w:tc>
        <w:tc>
          <w:tcPr>
            <w:tcW w:w="5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13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10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50"/>
        </w:trPr>
        <w:tc>
          <w:tcPr>
            <w:tcW w:w="42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Research and development</w:t>
            </w:r>
          </w:p>
        </w:tc>
        <w:tc>
          <w:tcPr>
            <w:tcW w:w="114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119.7</w:t>
            </w: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5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89.8</w:t>
            </w:r>
          </w:p>
        </w:tc>
        <w:tc>
          <w:tcPr>
            <w:tcW w:w="1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498.2</w:t>
            </w:r>
          </w:p>
        </w:tc>
        <w:tc>
          <w:tcPr>
            <w:tcW w:w="10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179.1</w:t>
            </w:r>
          </w:p>
        </w:tc>
        <w:tc>
          <w:tcPr>
            <w:tcW w:w="0" w:type="dxa"/>
            <w:vAlign w:val="bottom"/>
          </w:tcPr>
          <w:p>
            <w:pPr>
              <w:spacing w:after="0"/>
              <w:rPr>
                <w:sz w:val="1"/>
                <w:szCs w:val="1"/>
                <w:color w:val="auto"/>
              </w:rPr>
            </w:pPr>
          </w:p>
        </w:tc>
      </w:tr>
      <w:tr>
        <w:trPr>
          <w:trHeight w:val="243"/>
        </w:trPr>
        <w:tc>
          <w:tcPr>
            <w:tcW w:w="4240" w:type="dxa"/>
            <w:vAlign w:val="bottom"/>
          </w:tcPr>
          <w:p>
            <w:pPr>
              <w:ind w:left="280"/>
              <w:spacing w:after="0"/>
              <w:rPr>
                <w:sz w:val="20"/>
                <w:szCs w:val="20"/>
                <w:color w:val="auto"/>
              </w:rPr>
            </w:pPr>
            <w:r>
              <w:rPr>
                <w:rFonts w:ascii="Arial" w:cs="Arial" w:eastAsia="Arial" w:hAnsi="Arial"/>
                <w:sz w:val="18"/>
                <w:szCs w:val="18"/>
                <w:color w:val="auto"/>
              </w:rPr>
              <w:t>Sales and marketing</w:t>
            </w:r>
          </w:p>
        </w:tc>
        <w:tc>
          <w:tcPr>
            <w:tcW w:w="1140" w:type="dxa"/>
            <w:vAlign w:val="bottom"/>
          </w:tcPr>
          <w:p>
            <w:pPr>
              <w:spacing w:after="0"/>
              <w:rPr>
                <w:sz w:val="21"/>
                <w:szCs w:val="21"/>
                <w:color w:val="auto"/>
              </w:rPr>
            </w:pPr>
          </w:p>
        </w:tc>
        <w:tc>
          <w:tcPr>
            <w:tcW w:w="600" w:type="dxa"/>
            <w:vAlign w:val="bottom"/>
          </w:tcPr>
          <w:p>
            <w:pPr>
              <w:jc w:val="right"/>
              <w:ind w:right="30"/>
              <w:spacing w:after="0"/>
              <w:rPr>
                <w:sz w:val="20"/>
                <w:szCs w:val="20"/>
                <w:color w:val="auto"/>
              </w:rPr>
            </w:pPr>
            <w:r>
              <w:rPr>
                <w:rFonts w:ascii="Arial" w:cs="Arial" w:eastAsia="Arial" w:hAnsi="Arial"/>
                <w:sz w:val="18"/>
                <w:szCs w:val="18"/>
                <w:color w:val="auto"/>
              </w:rPr>
              <w:t>87.4</w:t>
            </w:r>
          </w:p>
        </w:tc>
        <w:tc>
          <w:tcPr>
            <w:tcW w:w="1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580" w:type="dxa"/>
            <w:vAlign w:val="bottom"/>
          </w:tcPr>
          <w:p>
            <w:pPr>
              <w:jc w:val="right"/>
              <w:ind w:right="10"/>
              <w:spacing w:after="0"/>
              <w:rPr>
                <w:sz w:val="20"/>
                <w:szCs w:val="20"/>
                <w:color w:val="auto"/>
              </w:rPr>
            </w:pPr>
            <w:r>
              <w:rPr>
                <w:rFonts w:ascii="Arial" w:cs="Arial" w:eastAsia="Arial" w:hAnsi="Arial"/>
                <w:sz w:val="18"/>
                <w:szCs w:val="18"/>
                <w:color w:val="auto"/>
              </w:rPr>
              <w:t>69.2</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20" w:type="dxa"/>
            <w:vAlign w:val="bottom"/>
          </w:tcPr>
          <w:p>
            <w:pPr>
              <w:jc w:val="right"/>
              <w:ind w:right="30"/>
              <w:spacing w:after="0"/>
              <w:rPr>
                <w:sz w:val="20"/>
                <w:szCs w:val="20"/>
                <w:color w:val="auto"/>
              </w:rPr>
            </w:pPr>
            <w:r>
              <w:rPr>
                <w:rFonts w:ascii="Arial" w:cs="Arial" w:eastAsia="Arial" w:hAnsi="Arial"/>
                <w:sz w:val="18"/>
                <w:szCs w:val="18"/>
                <w:color w:val="auto"/>
              </w:rPr>
              <w:t>244.4</w:t>
            </w:r>
          </w:p>
        </w:tc>
        <w:tc>
          <w:tcPr>
            <w:tcW w:w="10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136.4</w:t>
            </w:r>
          </w:p>
        </w:tc>
        <w:tc>
          <w:tcPr>
            <w:tcW w:w="0" w:type="dxa"/>
            <w:vAlign w:val="bottom"/>
          </w:tcPr>
          <w:p>
            <w:pPr>
              <w:spacing w:after="0"/>
              <w:rPr>
                <w:sz w:val="1"/>
                <w:szCs w:val="1"/>
                <w:color w:val="auto"/>
              </w:rPr>
            </w:pPr>
          </w:p>
        </w:tc>
      </w:tr>
      <w:tr>
        <w:trPr>
          <w:trHeight w:val="27"/>
        </w:trPr>
        <w:tc>
          <w:tcPr>
            <w:tcW w:w="42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2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General and administrative</w:t>
            </w:r>
          </w:p>
        </w:tc>
        <w:tc>
          <w:tcPr>
            <w:tcW w:w="1140" w:type="dxa"/>
            <w:vAlign w:val="bottom"/>
            <w:tcBorders>
              <w:bottom w:val="single" w:sz="8" w:color="CCEEFF"/>
            </w:tcBorders>
            <w:shd w:val="clear" w:color="auto" w:fill="CCEEFF"/>
          </w:tcPr>
          <w:p>
            <w:pPr>
              <w:spacing w:after="0"/>
              <w:rPr>
                <w:sz w:val="23"/>
                <w:szCs w:val="23"/>
                <w:color w:val="auto"/>
              </w:rPr>
            </w:pPr>
          </w:p>
        </w:tc>
        <w:tc>
          <w:tcPr>
            <w:tcW w:w="6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49.8</w:t>
            </w:r>
          </w:p>
        </w:tc>
        <w:tc>
          <w:tcPr>
            <w:tcW w:w="12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spacing w:after="0"/>
              <w:rPr>
                <w:sz w:val="23"/>
                <w:szCs w:val="23"/>
                <w:color w:val="auto"/>
              </w:rPr>
            </w:pPr>
          </w:p>
        </w:tc>
        <w:tc>
          <w:tcPr>
            <w:tcW w:w="5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42.2</w:t>
            </w:r>
          </w:p>
        </w:tc>
        <w:tc>
          <w:tcPr>
            <w:tcW w:w="12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175.9</w:t>
            </w:r>
          </w:p>
        </w:tc>
        <w:tc>
          <w:tcPr>
            <w:tcW w:w="100" w:type="dxa"/>
            <w:vAlign w:val="bottom"/>
            <w:tcBorders>
              <w:bottom w:val="single" w:sz="8" w:color="CCEEFF"/>
            </w:tcBorders>
            <w:shd w:val="clear" w:color="auto" w:fill="CCEEFF"/>
          </w:tcPr>
          <w:p>
            <w:pPr>
              <w:spacing w:after="0"/>
              <w:rPr>
                <w:sz w:val="23"/>
                <w:szCs w:val="23"/>
                <w:color w:val="auto"/>
              </w:rPr>
            </w:pPr>
          </w:p>
        </w:tc>
        <w:tc>
          <w:tcPr>
            <w:tcW w:w="66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73.5</w:t>
            </w:r>
          </w:p>
        </w:tc>
        <w:tc>
          <w:tcPr>
            <w:tcW w:w="0" w:type="dxa"/>
            <w:vAlign w:val="bottom"/>
          </w:tcPr>
          <w:p>
            <w:pPr>
              <w:spacing w:after="0"/>
              <w:rPr>
                <w:sz w:val="1"/>
                <w:szCs w:val="1"/>
                <w:color w:val="auto"/>
              </w:rPr>
            </w:pPr>
          </w:p>
        </w:tc>
      </w:tr>
      <w:tr>
        <w:trPr>
          <w:trHeight w:val="236"/>
        </w:trPr>
        <w:tc>
          <w:tcPr>
            <w:tcW w:w="4240" w:type="dxa"/>
            <w:vAlign w:val="bottom"/>
          </w:tcPr>
          <w:p>
            <w:pPr>
              <w:ind w:left="40"/>
              <w:spacing w:after="0"/>
              <w:rPr>
                <w:sz w:val="20"/>
                <w:szCs w:val="20"/>
                <w:color w:val="auto"/>
              </w:rPr>
            </w:pPr>
            <w:r>
              <w:rPr>
                <w:rFonts w:ascii="Arial" w:cs="Arial" w:eastAsia="Arial" w:hAnsi="Arial"/>
                <w:sz w:val="18"/>
                <w:szCs w:val="18"/>
                <w:color w:val="auto"/>
              </w:rPr>
              <w:t>Total operating expenses</w:t>
            </w:r>
          </w:p>
        </w:tc>
        <w:tc>
          <w:tcPr>
            <w:tcW w:w="1140" w:type="dxa"/>
            <w:vAlign w:val="bottom"/>
            <w:tcBorders>
              <w:top w:val="single" w:sz="8" w:color="auto"/>
            </w:tcBorders>
          </w:tcPr>
          <w:p>
            <w:pPr>
              <w:spacing w:after="0"/>
              <w:rPr>
                <w:sz w:val="20"/>
                <w:szCs w:val="20"/>
                <w:color w:val="auto"/>
              </w:rPr>
            </w:pPr>
          </w:p>
        </w:tc>
        <w:tc>
          <w:tcPr>
            <w:tcW w:w="6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256.9</w:t>
            </w:r>
          </w:p>
        </w:tc>
        <w:tc>
          <w:tcPr>
            <w:tcW w:w="120" w:type="dxa"/>
            <w:vAlign w:val="bottom"/>
          </w:tcPr>
          <w:p>
            <w:pPr>
              <w:spacing w:after="0"/>
              <w:rPr>
                <w:sz w:val="20"/>
                <w:szCs w:val="20"/>
                <w:color w:val="auto"/>
              </w:rPr>
            </w:pPr>
          </w:p>
        </w:tc>
        <w:tc>
          <w:tcPr>
            <w:tcW w:w="1120" w:type="dxa"/>
            <w:vAlign w:val="bottom"/>
            <w:tcBorders>
              <w:top w:val="single" w:sz="8" w:color="auto"/>
            </w:tcBorders>
          </w:tcPr>
          <w:p>
            <w:pPr>
              <w:spacing w:after="0"/>
              <w:rPr>
                <w:sz w:val="20"/>
                <w:szCs w:val="20"/>
                <w:color w:val="auto"/>
              </w:rPr>
            </w:pPr>
          </w:p>
        </w:tc>
        <w:tc>
          <w:tcPr>
            <w:tcW w:w="5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201.2</w:t>
            </w:r>
          </w:p>
        </w:tc>
        <w:tc>
          <w:tcPr>
            <w:tcW w:w="120" w:type="dxa"/>
            <w:vAlign w:val="bottom"/>
          </w:tcPr>
          <w:p>
            <w:pPr>
              <w:spacing w:after="0"/>
              <w:rPr>
                <w:sz w:val="20"/>
                <w:szCs w:val="20"/>
                <w:color w:val="auto"/>
              </w:rPr>
            </w:pPr>
          </w:p>
        </w:tc>
        <w:tc>
          <w:tcPr>
            <w:tcW w:w="38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918.5</w:t>
            </w:r>
          </w:p>
        </w:tc>
        <w:tc>
          <w:tcPr>
            <w:tcW w:w="100" w:type="dxa"/>
            <w:vAlign w:val="bottom"/>
          </w:tcPr>
          <w:p>
            <w:pPr>
              <w:spacing w:after="0"/>
              <w:rPr>
                <w:sz w:val="20"/>
                <w:szCs w:val="20"/>
                <w:color w:val="auto"/>
              </w:rPr>
            </w:pPr>
          </w:p>
        </w:tc>
        <w:tc>
          <w:tcPr>
            <w:tcW w:w="66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389.0</w:t>
            </w:r>
          </w:p>
        </w:tc>
        <w:tc>
          <w:tcPr>
            <w:tcW w:w="0" w:type="dxa"/>
            <w:vAlign w:val="bottom"/>
          </w:tcPr>
          <w:p>
            <w:pPr>
              <w:spacing w:after="0"/>
              <w:rPr>
                <w:sz w:val="1"/>
                <w:szCs w:val="1"/>
                <w:color w:val="auto"/>
              </w:rPr>
            </w:pPr>
          </w:p>
        </w:tc>
      </w:tr>
      <w:tr>
        <w:trPr>
          <w:trHeight w:val="27"/>
        </w:trPr>
        <w:tc>
          <w:tcPr>
            <w:tcW w:w="4240" w:type="dxa"/>
            <w:vAlign w:val="bottom"/>
            <w:tcBorders>
              <w:bottom w:val="single" w:sz="8" w:color="CCEEFF"/>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3"/>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Loss from operations</w:t>
            </w:r>
          </w:p>
        </w:tc>
        <w:tc>
          <w:tcPr>
            <w:tcW w:w="114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(7.2)</w:t>
            </w: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(26.7)</w:t>
            </w:r>
          </w:p>
        </w:tc>
        <w:tc>
          <w:tcPr>
            <w:tcW w:w="1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(473.1)</w:t>
            </w:r>
          </w:p>
        </w:tc>
        <w:tc>
          <w:tcPr>
            <w:tcW w:w="10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(60.1)</w:t>
            </w:r>
          </w:p>
        </w:tc>
        <w:tc>
          <w:tcPr>
            <w:tcW w:w="0" w:type="dxa"/>
            <w:vAlign w:val="bottom"/>
          </w:tcPr>
          <w:p>
            <w:pPr>
              <w:spacing w:after="0"/>
              <w:rPr>
                <w:sz w:val="1"/>
                <w:szCs w:val="1"/>
                <w:color w:val="auto"/>
              </w:rPr>
            </w:pPr>
          </w:p>
        </w:tc>
      </w:tr>
      <w:tr>
        <w:trPr>
          <w:trHeight w:val="243"/>
        </w:trPr>
        <w:tc>
          <w:tcPr>
            <w:tcW w:w="4240" w:type="dxa"/>
            <w:vAlign w:val="bottom"/>
          </w:tcPr>
          <w:p>
            <w:pPr>
              <w:ind w:left="40"/>
              <w:spacing w:after="0"/>
              <w:rPr>
                <w:sz w:val="20"/>
                <w:szCs w:val="20"/>
                <w:color w:val="auto"/>
              </w:rPr>
            </w:pPr>
            <w:r>
              <w:rPr>
                <w:rFonts w:ascii="Arial" w:cs="Arial" w:eastAsia="Arial" w:hAnsi="Arial"/>
                <w:sz w:val="18"/>
                <w:szCs w:val="18"/>
                <w:color w:val="auto"/>
              </w:rPr>
              <w:t>Interest income (expense), net</w:t>
            </w:r>
          </w:p>
        </w:tc>
        <w:tc>
          <w:tcPr>
            <w:tcW w:w="1140" w:type="dxa"/>
            <w:vAlign w:val="bottom"/>
          </w:tcPr>
          <w:p>
            <w:pPr>
              <w:spacing w:after="0"/>
              <w:rPr>
                <w:sz w:val="21"/>
                <w:szCs w:val="21"/>
                <w:color w:val="auto"/>
              </w:rPr>
            </w:pPr>
          </w:p>
        </w:tc>
        <w:tc>
          <w:tcPr>
            <w:tcW w:w="600" w:type="dxa"/>
            <w:vAlign w:val="bottom"/>
          </w:tcPr>
          <w:p>
            <w:pPr>
              <w:jc w:val="right"/>
              <w:ind w:right="30"/>
              <w:spacing w:after="0"/>
              <w:rPr>
                <w:sz w:val="20"/>
                <w:szCs w:val="20"/>
                <w:color w:val="auto"/>
              </w:rPr>
            </w:pPr>
            <w:r>
              <w:rPr>
                <w:rFonts w:ascii="Arial" w:cs="Arial" w:eastAsia="Arial" w:hAnsi="Arial"/>
                <w:sz w:val="18"/>
                <w:szCs w:val="18"/>
                <w:color w:val="auto"/>
              </w:rPr>
              <w:t>2.0</w:t>
            </w:r>
          </w:p>
        </w:tc>
        <w:tc>
          <w:tcPr>
            <w:tcW w:w="1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(3.0)</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20" w:type="dxa"/>
            <w:vAlign w:val="bottom"/>
          </w:tcPr>
          <w:p>
            <w:pPr>
              <w:jc w:val="right"/>
              <w:ind w:right="30"/>
              <w:spacing w:after="0"/>
              <w:rPr>
                <w:sz w:val="20"/>
                <w:szCs w:val="20"/>
                <w:color w:val="auto"/>
              </w:rPr>
            </w:pPr>
            <w:r>
              <w:rPr>
                <w:rFonts w:ascii="Arial" w:cs="Arial" w:eastAsia="Arial" w:hAnsi="Arial"/>
                <w:sz w:val="18"/>
                <w:szCs w:val="18"/>
                <w:color w:val="auto"/>
              </w:rPr>
              <w:t>0.8</w:t>
            </w:r>
          </w:p>
        </w:tc>
        <w:tc>
          <w:tcPr>
            <w:tcW w:w="10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(7.2)</w:t>
            </w:r>
          </w:p>
        </w:tc>
        <w:tc>
          <w:tcPr>
            <w:tcW w:w="0" w:type="dxa"/>
            <w:vAlign w:val="bottom"/>
          </w:tcPr>
          <w:p>
            <w:pPr>
              <w:spacing w:after="0"/>
              <w:rPr>
                <w:sz w:val="1"/>
                <w:szCs w:val="1"/>
                <w:color w:val="auto"/>
              </w:rPr>
            </w:pPr>
          </w:p>
        </w:tc>
      </w:tr>
      <w:tr>
        <w:trPr>
          <w:trHeight w:val="27"/>
        </w:trPr>
        <w:tc>
          <w:tcPr>
            <w:tcW w:w="42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income, net</w:t>
            </w:r>
          </w:p>
        </w:tc>
        <w:tc>
          <w:tcPr>
            <w:tcW w:w="1140" w:type="dxa"/>
            <w:vAlign w:val="bottom"/>
            <w:tcBorders>
              <w:bottom w:val="single" w:sz="8" w:color="CCEEFF"/>
            </w:tcBorders>
            <w:shd w:val="clear" w:color="auto" w:fill="CCEEFF"/>
          </w:tcPr>
          <w:p>
            <w:pPr>
              <w:spacing w:after="0"/>
              <w:rPr>
                <w:sz w:val="23"/>
                <w:szCs w:val="23"/>
                <w:color w:val="auto"/>
              </w:rPr>
            </w:pPr>
          </w:p>
        </w:tc>
        <w:tc>
          <w:tcPr>
            <w:tcW w:w="6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2.2</w:t>
            </w:r>
          </w:p>
        </w:tc>
        <w:tc>
          <w:tcPr>
            <w:tcW w:w="12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spacing w:after="0"/>
              <w:rPr>
                <w:sz w:val="23"/>
                <w:szCs w:val="23"/>
                <w:color w:val="auto"/>
              </w:rPr>
            </w:pPr>
          </w:p>
        </w:tc>
        <w:tc>
          <w:tcPr>
            <w:tcW w:w="5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3.3</w:t>
            </w:r>
          </w:p>
        </w:tc>
        <w:tc>
          <w:tcPr>
            <w:tcW w:w="12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5.6</w:t>
            </w:r>
          </w:p>
        </w:tc>
        <w:tc>
          <w:tcPr>
            <w:tcW w:w="100" w:type="dxa"/>
            <w:vAlign w:val="bottom"/>
            <w:tcBorders>
              <w:bottom w:val="single" w:sz="8" w:color="CCEEFF"/>
            </w:tcBorders>
            <w:shd w:val="clear" w:color="auto" w:fill="CCEEFF"/>
          </w:tcPr>
          <w:p>
            <w:pPr>
              <w:spacing w:after="0"/>
              <w:rPr>
                <w:sz w:val="23"/>
                <w:szCs w:val="23"/>
                <w:color w:val="auto"/>
              </w:rPr>
            </w:pPr>
          </w:p>
        </w:tc>
        <w:tc>
          <w:tcPr>
            <w:tcW w:w="66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8.1</w:t>
            </w:r>
          </w:p>
        </w:tc>
        <w:tc>
          <w:tcPr>
            <w:tcW w:w="0" w:type="dxa"/>
            <w:vAlign w:val="bottom"/>
          </w:tcPr>
          <w:p>
            <w:pPr>
              <w:spacing w:after="0"/>
              <w:rPr>
                <w:sz w:val="1"/>
                <w:szCs w:val="1"/>
                <w:color w:val="auto"/>
              </w:rPr>
            </w:pPr>
          </w:p>
        </w:tc>
      </w:tr>
      <w:tr>
        <w:trPr>
          <w:trHeight w:val="236"/>
        </w:trPr>
        <w:tc>
          <w:tcPr>
            <w:tcW w:w="4240" w:type="dxa"/>
            <w:vAlign w:val="bottom"/>
          </w:tcPr>
          <w:p>
            <w:pPr>
              <w:ind w:left="40"/>
              <w:spacing w:after="0"/>
              <w:rPr>
                <w:sz w:val="20"/>
                <w:szCs w:val="20"/>
                <w:color w:val="auto"/>
              </w:rPr>
            </w:pPr>
            <w:r>
              <w:rPr>
                <w:rFonts w:ascii="Arial" w:cs="Arial" w:eastAsia="Arial" w:hAnsi="Arial"/>
                <w:sz w:val="18"/>
                <w:szCs w:val="18"/>
                <w:color w:val="auto"/>
              </w:rPr>
              <w:t>Loss before income taxes</w:t>
            </w:r>
          </w:p>
        </w:tc>
        <w:tc>
          <w:tcPr>
            <w:tcW w:w="1140" w:type="dxa"/>
            <w:vAlign w:val="bottom"/>
            <w:tcBorders>
              <w:top w:val="single" w:sz="8" w:color="auto"/>
            </w:tcBorders>
          </w:tcPr>
          <w:p>
            <w:pPr>
              <w:spacing w:after="0"/>
              <w:rPr>
                <w:sz w:val="20"/>
                <w:szCs w:val="20"/>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(3.0)</w:t>
            </w:r>
          </w:p>
        </w:tc>
        <w:tc>
          <w:tcPr>
            <w:tcW w:w="120" w:type="dxa"/>
            <w:vAlign w:val="bottom"/>
          </w:tcPr>
          <w:p>
            <w:pPr>
              <w:spacing w:after="0"/>
              <w:rPr>
                <w:sz w:val="20"/>
                <w:szCs w:val="20"/>
                <w:color w:val="auto"/>
              </w:rPr>
            </w:pPr>
          </w:p>
        </w:tc>
        <w:tc>
          <w:tcPr>
            <w:tcW w:w="1120" w:type="dxa"/>
            <w:vAlign w:val="bottom"/>
            <w:tcBorders>
              <w:top w:val="single" w:sz="8" w:color="auto"/>
            </w:tcBorders>
          </w:tcPr>
          <w:p>
            <w:pPr>
              <w:spacing w:after="0"/>
              <w:rPr>
                <w:sz w:val="20"/>
                <w:szCs w:val="20"/>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(26.4)</w:t>
            </w:r>
          </w:p>
        </w:tc>
        <w:tc>
          <w:tcPr>
            <w:tcW w:w="120" w:type="dxa"/>
            <w:vAlign w:val="bottom"/>
          </w:tcPr>
          <w:p>
            <w:pPr>
              <w:spacing w:after="0"/>
              <w:rPr>
                <w:sz w:val="20"/>
                <w:szCs w:val="20"/>
                <w:color w:val="auto"/>
              </w:rPr>
            </w:pPr>
          </w:p>
        </w:tc>
        <w:tc>
          <w:tcPr>
            <w:tcW w:w="38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(466.7)</w:t>
            </w:r>
          </w:p>
        </w:tc>
        <w:tc>
          <w:tcPr>
            <w:tcW w:w="100" w:type="dxa"/>
            <w:vAlign w:val="bottom"/>
          </w:tcPr>
          <w:p>
            <w:pPr>
              <w:spacing w:after="0"/>
              <w:rPr>
                <w:sz w:val="20"/>
                <w:szCs w:val="20"/>
                <w:color w:val="auto"/>
              </w:rPr>
            </w:pPr>
          </w:p>
        </w:tc>
        <w:tc>
          <w:tcPr>
            <w:tcW w:w="66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(59.2)</w:t>
            </w:r>
          </w:p>
        </w:tc>
        <w:tc>
          <w:tcPr>
            <w:tcW w:w="0" w:type="dxa"/>
            <w:vAlign w:val="bottom"/>
          </w:tcPr>
          <w:p>
            <w:pPr>
              <w:spacing w:after="0"/>
              <w:rPr>
                <w:sz w:val="1"/>
                <w:szCs w:val="1"/>
                <w:color w:val="auto"/>
              </w:rPr>
            </w:pPr>
          </w:p>
        </w:tc>
      </w:tr>
      <w:tr>
        <w:trPr>
          <w:trHeight w:val="27"/>
        </w:trPr>
        <w:tc>
          <w:tcPr>
            <w:tcW w:w="42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Provision for income taxes</w:t>
            </w:r>
          </w:p>
        </w:tc>
        <w:tc>
          <w:tcPr>
            <w:tcW w:w="1140" w:type="dxa"/>
            <w:vAlign w:val="bottom"/>
            <w:tcBorders>
              <w:bottom w:val="single" w:sz="8" w:color="CCEEFF"/>
            </w:tcBorders>
            <w:shd w:val="clear" w:color="auto" w:fill="CCEEFF"/>
          </w:tcPr>
          <w:p>
            <w:pPr>
              <w:spacing w:after="0"/>
              <w:rPr>
                <w:sz w:val="23"/>
                <w:szCs w:val="23"/>
                <w:color w:val="auto"/>
              </w:rPr>
            </w:pPr>
          </w:p>
        </w:tc>
        <w:tc>
          <w:tcPr>
            <w:tcW w:w="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w:t>
            </w:r>
          </w:p>
        </w:tc>
        <w:tc>
          <w:tcPr>
            <w:tcW w:w="12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spacing w:after="0"/>
              <w:rPr>
                <w:sz w:val="23"/>
                <w:szCs w:val="23"/>
                <w:color w:val="auto"/>
              </w:rPr>
            </w:pPr>
          </w:p>
        </w:tc>
        <w:tc>
          <w:tcPr>
            <w:tcW w:w="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(0.4)</w:t>
            </w:r>
          </w:p>
        </w:tc>
        <w:tc>
          <w:tcPr>
            <w:tcW w:w="12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(2.9)</w:t>
            </w:r>
          </w:p>
        </w:tc>
        <w:tc>
          <w:tcPr>
            <w:tcW w:w="100" w:type="dxa"/>
            <w:vAlign w:val="bottom"/>
            <w:tcBorders>
              <w:bottom w:val="single" w:sz="8" w:color="CCEEFF"/>
            </w:tcBorders>
            <w:shd w:val="clear" w:color="auto" w:fill="CCEEFF"/>
          </w:tcPr>
          <w:p>
            <w:pPr>
              <w:spacing w:after="0"/>
              <w:rPr>
                <w:sz w:val="23"/>
                <w:szCs w:val="23"/>
                <w:color w:val="auto"/>
              </w:rPr>
            </w:pPr>
          </w:p>
        </w:tc>
        <w:tc>
          <w:tcPr>
            <w:tcW w:w="66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(0.7)</w:t>
            </w:r>
          </w:p>
        </w:tc>
        <w:tc>
          <w:tcPr>
            <w:tcW w:w="0" w:type="dxa"/>
            <w:vAlign w:val="bottom"/>
          </w:tcPr>
          <w:p>
            <w:pPr>
              <w:spacing w:after="0"/>
              <w:rPr>
                <w:sz w:val="1"/>
                <w:szCs w:val="1"/>
                <w:color w:val="auto"/>
              </w:rPr>
            </w:pPr>
          </w:p>
        </w:tc>
      </w:tr>
      <w:tr>
        <w:trPr>
          <w:trHeight w:val="236"/>
        </w:trPr>
        <w:tc>
          <w:tcPr>
            <w:tcW w:w="4240" w:type="dxa"/>
            <w:vAlign w:val="bottom"/>
          </w:tcPr>
          <w:p>
            <w:pPr>
              <w:ind w:left="40"/>
              <w:spacing w:after="0"/>
              <w:rPr>
                <w:sz w:val="20"/>
                <w:szCs w:val="20"/>
                <w:color w:val="auto"/>
              </w:rPr>
            </w:pPr>
            <w:r>
              <w:rPr>
                <w:rFonts w:ascii="Arial" w:cs="Arial" w:eastAsia="Arial" w:hAnsi="Arial"/>
                <w:sz w:val="18"/>
                <w:szCs w:val="18"/>
                <w:color w:val="auto"/>
              </w:rPr>
              <w:t>Net loss</w:t>
            </w:r>
          </w:p>
        </w:tc>
        <w:tc>
          <w:tcPr>
            <w:tcW w:w="1140" w:type="dxa"/>
            <w:vAlign w:val="bottom"/>
            <w:tcBorders>
              <w:top w:val="single" w:sz="8" w:color="auto"/>
            </w:tcBorders>
          </w:tcPr>
          <w:p>
            <w:pPr>
              <w:jc w:val="right"/>
              <w:ind w:right="930"/>
              <w:spacing w:after="0"/>
              <w:rPr>
                <w:sz w:val="20"/>
                <w:szCs w:val="20"/>
                <w:color w:val="auto"/>
              </w:rPr>
            </w:pPr>
            <w:r>
              <w:rPr>
                <w:rFonts w:ascii="Arial" w:cs="Arial" w:eastAsia="Arial" w:hAnsi="Arial"/>
                <w:sz w:val="18"/>
                <w:szCs w:val="18"/>
                <w:color w:val="auto"/>
                <w:w w:val="99"/>
              </w:rPr>
              <w:t>$</w:t>
            </w: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(4.1)</w:t>
            </w:r>
          </w:p>
        </w:tc>
        <w:tc>
          <w:tcPr>
            <w:tcW w:w="120" w:type="dxa"/>
            <w:vAlign w:val="bottom"/>
          </w:tcPr>
          <w:p>
            <w:pPr>
              <w:spacing w:after="0"/>
              <w:rPr>
                <w:sz w:val="20"/>
                <w:szCs w:val="20"/>
                <w:color w:val="auto"/>
              </w:rPr>
            </w:pPr>
          </w:p>
        </w:tc>
        <w:tc>
          <w:tcPr>
            <w:tcW w:w="1120" w:type="dxa"/>
            <w:vAlign w:val="bottom"/>
            <w:tcBorders>
              <w:top w:val="single" w:sz="8" w:color="auto"/>
            </w:tcBorders>
          </w:tcPr>
          <w:p>
            <w:pPr>
              <w:jc w:val="right"/>
              <w:ind w:right="910"/>
              <w:spacing w:after="0"/>
              <w:rPr>
                <w:sz w:val="20"/>
                <w:szCs w:val="20"/>
                <w:color w:val="auto"/>
              </w:rPr>
            </w:pPr>
            <w:r>
              <w:rPr>
                <w:rFonts w:ascii="Arial" w:cs="Arial" w:eastAsia="Arial" w:hAnsi="Arial"/>
                <w:sz w:val="18"/>
                <w:szCs w:val="18"/>
                <w:color w:val="auto"/>
                <w:w w:val="99"/>
              </w:rPr>
              <w:t>$</w:t>
            </w: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(26.8)</w:t>
            </w:r>
          </w:p>
        </w:tc>
        <w:tc>
          <w:tcPr>
            <w:tcW w:w="120" w:type="dxa"/>
            <w:vAlign w:val="bottom"/>
          </w:tcPr>
          <w:p>
            <w:pPr>
              <w:spacing w:after="0"/>
              <w:rPr>
                <w:sz w:val="20"/>
                <w:szCs w:val="20"/>
                <w:color w:val="auto"/>
              </w:rPr>
            </w:pPr>
          </w:p>
        </w:tc>
        <w:tc>
          <w:tcPr>
            <w:tcW w:w="380" w:type="dxa"/>
            <w:vAlign w:val="bottom"/>
            <w:tcBorders>
              <w:top w:val="single" w:sz="8" w:color="auto"/>
            </w:tcBorders>
          </w:tcPr>
          <w:p>
            <w:pPr>
              <w:jc w:val="right"/>
              <w:ind w:right="190"/>
              <w:spacing w:after="0"/>
              <w:rPr>
                <w:sz w:val="20"/>
                <w:szCs w:val="20"/>
                <w:color w:val="auto"/>
              </w:rPr>
            </w:pPr>
            <w:r>
              <w:rPr>
                <w:rFonts w:ascii="Arial" w:cs="Arial" w:eastAsia="Arial" w:hAnsi="Arial"/>
                <w:sz w:val="18"/>
                <w:szCs w:val="18"/>
                <w:color w:val="auto"/>
                <w:w w:val="79"/>
              </w:rPr>
              <w:t>$</w:t>
            </w:r>
          </w:p>
        </w:tc>
        <w:tc>
          <w:tcPr>
            <w:tcW w:w="13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(469.6)</w:t>
            </w:r>
          </w:p>
        </w:tc>
        <w:tc>
          <w:tcPr>
            <w:tcW w:w="100" w:type="dxa"/>
            <w:vAlign w:val="bottom"/>
          </w:tcPr>
          <w:p>
            <w:pPr>
              <w:spacing w:after="0"/>
              <w:rPr>
                <w:sz w:val="20"/>
                <w:szCs w:val="20"/>
                <w:color w:val="auto"/>
              </w:rPr>
            </w:pPr>
          </w:p>
        </w:tc>
        <w:tc>
          <w:tcPr>
            <w:tcW w:w="660" w:type="dxa"/>
            <w:vAlign w:val="bottom"/>
            <w:tcBorders>
              <w:top w:val="single" w:sz="8" w:color="auto"/>
            </w:tcBorders>
          </w:tcPr>
          <w:p>
            <w:pPr>
              <w:jc w:val="right"/>
              <w:ind w:right="450"/>
              <w:spacing w:after="0"/>
              <w:rPr>
                <w:sz w:val="20"/>
                <w:szCs w:val="20"/>
                <w:color w:val="auto"/>
              </w:rPr>
            </w:pPr>
            <w:r>
              <w:rPr>
                <w:rFonts w:ascii="Arial" w:cs="Arial" w:eastAsia="Arial" w:hAnsi="Arial"/>
                <w:sz w:val="18"/>
                <w:szCs w:val="18"/>
                <w:color w:val="auto"/>
                <w:w w:val="99"/>
              </w:rPr>
              <w:t>$</w:t>
            </w: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(59.9)</w:t>
            </w:r>
          </w:p>
        </w:tc>
        <w:tc>
          <w:tcPr>
            <w:tcW w:w="0" w:type="dxa"/>
            <w:vAlign w:val="bottom"/>
          </w:tcPr>
          <w:p>
            <w:pPr>
              <w:spacing w:after="0"/>
              <w:rPr>
                <w:sz w:val="1"/>
                <w:szCs w:val="1"/>
                <w:color w:val="auto"/>
              </w:rPr>
            </w:pPr>
          </w:p>
        </w:tc>
      </w:tr>
      <w:tr>
        <w:trPr>
          <w:trHeight w:val="67"/>
        </w:trPr>
        <w:tc>
          <w:tcPr>
            <w:tcW w:w="4240" w:type="dxa"/>
            <w:vAlign w:val="bottom"/>
            <w:tcBorders>
              <w:bottom w:val="single" w:sz="8" w:color="CCEEFF"/>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60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58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380" w:type="dxa"/>
            <w:vAlign w:val="bottom"/>
            <w:tcBorders>
              <w:bottom w:val="single" w:sz="8" w:color="auto"/>
            </w:tcBorders>
          </w:tcPr>
          <w:p>
            <w:pPr>
              <w:spacing w:after="0"/>
              <w:rPr>
                <w:sz w:val="5"/>
                <w:szCs w:val="5"/>
                <w:color w:val="auto"/>
              </w:rPr>
            </w:pPr>
          </w:p>
        </w:tc>
        <w:tc>
          <w:tcPr>
            <w:tcW w:w="132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66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82"/>
        </w:trPr>
        <w:tc>
          <w:tcPr>
            <w:tcW w:w="4240" w:type="dxa"/>
            <w:vAlign w:val="bottom"/>
            <w:shd w:val="clear" w:color="auto" w:fill="CCEEFF"/>
          </w:tcPr>
          <w:p>
            <w:pPr>
              <w:ind w:left="40"/>
              <w:spacing w:after="0" w:line="182" w:lineRule="exact"/>
              <w:rPr>
                <w:sz w:val="20"/>
                <w:szCs w:val="20"/>
                <w:color w:val="auto"/>
              </w:rPr>
            </w:pPr>
            <w:r>
              <w:rPr>
                <w:rFonts w:ascii="Arial" w:cs="Arial" w:eastAsia="Arial" w:hAnsi="Arial"/>
                <w:sz w:val="18"/>
                <w:szCs w:val="18"/>
                <w:color w:val="auto"/>
                <w:w w:val="93"/>
              </w:rPr>
              <w:t>Net loss per share attributable to common stockholders,</w:t>
            </w:r>
          </w:p>
        </w:tc>
        <w:tc>
          <w:tcPr>
            <w:tcW w:w="1140" w:type="dxa"/>
            <w:vAlign w:val="bottom"/>
            <w:vMerge w:val="restart"/>
            <w:shd w:val="clear" w:color="auto" w:fill="CCEEFF"/>
          </w:tcPr>
          <w:p>
            <w:pPr>
              <w:jc w:val="right"/>
              <w:ind w:right="930"/>
              <w:spacing w:after="0"/>
              <w:rPr>
                <w:sz w:val="20"/>
                <w:szCs w:val="20"/>
                <w:color w:val="auto"/>
              </w:rPr>
            </w:pPr>
            <w:r>
              <w:rPr>
                <w:rFonts w:ascii="Arial" w:cs="Arial" w:eastAsia="Arial" w:hAnsi="Arial"/>
                <w:sz w:val="18"/>
                <w:szCs w:val="18"/>
                <w:color w:val="auto"/>
                <w:w w:val="99"/>
              </w:rPr>
              <w:t>$</w:t>
            </w:r>
          </w:p>
        </w:tc>
        <w:tc>
          <w:tcPr>
            <w:tcW w:w="60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(0.01)</w:t>
            </w:r>
          </w:p>
        </w:tc>
        <w:tc>
          <w:tcPr>
            <w:tcW w:w="120" w:type="dxa"/>
            <w:vAlign w:val="bottom"/>
            <w:shd w:val="clear" w:color="auto" w:fill="CCEEFF"/>
          </w:tcPr>
          <w:p>
            <w:pPr>
              <w:spacing w:after="0"/>
              <w:rPr>
                <w:sz w:val="15"/>
                <w:szCs w:val="15"/>
                <w:color w:val="auto"/>
              </w:rPr>
            </w:pPr>
          </w:p>
        </w:tc>
        <w:tc>
          <w:tcPr>
            <w:tcW w:w="1120" w:type="dxa"/>
            <w:vAlign w:val="bottom"/>
            <w:vMerge w:val="restart"/>
            <w:shd w:val="clear" w:color="auto" w:fill="CCEEFF"/>
          </w:tcPr>
          <w:p>
            <w:pPr>
              <w:jc w:val="right"/>
              <w:ind w:right="910"/>
              <w:spacing w:after="0"/>
              <w:rPr>
                <w:sz w:val="20"/>
                <w:szCs w:val="20"/>
                <w:color w:val="auto"/>
              </w:rPr>
            </w:pPr>
            <w:r>
              <w:rPr>
                <w:rFonts w:ascii="Arial" w:cs="Arial" w:eastAsia="Arial" w:hAnsi="Arial"/>
                <w:sz w:val="18"/>
                <w:szCs w:val="18"/>
                <w:color w:val="auto"/>
                <w:w w:val="99"/>
              </w:rPr>
              <w:t>$</w:t>
            </w:r>
          </w:p>
        </w:tc>
        <w:tc>
          <w:tcPr>
            <w:tcW w:w="58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(0.14)</w:t>
            </w:r>
          </w:p>
        </w:tc>
        <w:tc>
          <w:tcPr>
            <w:tcW w:w="120" w:type="dxa"/>
            <w:vAlign w:val="bottom"/>
            <w:shd w:val="clear" w:color="auto" w:fill="CCEEFF"/>
          </w:tcPr>
          <w:p>
            <w:pPr>
              <w:spacing w:after="0"/>
              <w:rPr>
                <w:sz w:val="15"/>
                <w:szCs w:val="15"/>
                <w:color w:val="auto"/>
              </w:rPr>
            </w:pPr>
          </w:p>
        </w:tc>
        <w:tc>
          <w:tcPr>
            <w:tcW w:w="380" w:type="dxa"/>
            <w:vAlign w:val="bottom"/>
            <w:vMerge w:val="restart"/>
            <w:shd w:val="clear" w:color="auto" w:fill="CCEEFF"/>
          </w:tcPr>
          <w:p>
            <w:pPr>
              <w:jc w:val="right"/>
              <w:ind w:right="190"/>
              <w:spacing w:after="0"/>
              <w:rPr>
                <w:sz w:val="20"/>
                <w:szCs w:val="20"/>
                <w:color w:val="auto"/>
              </w:rPr>
            </w:pPr>
            <w:r>
              <w:rPr>
                <w:rFonts w:ascii="Arial" w:cs="Arial" w:eastAsia="Arial" w:hAnsi="Arial"/>
                <w:sz w:val="18"/>
                <w:szCs w:val="18"/>
                <w:color w:val="auto"/>
                <w:w w:val="79"/>
              </w:rPr>
              <w:t>$</w:t>
            </w:r>
          </w:p>
        </w:tc>
        <w:tc>
          <w:tcPr>
            <w:tcW w:w="132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(1.51)</w:t>
            </w:r>
          </w:p>
        </w:tc>
        <w:tc>
          <w:tcPr>
            <w:tcW w:w="100" w:type="dxa"/>
            <w:vAlign w:val="bottom"/>
            <w:shd w:val="clear" w:color="auto" w:fill="CCEEFF"/>
          </w:tcPr>
          <w:p>
            <w:pPr>
              <w:spacing w:after="0"/>
              <w:rPr>
                <w:sz w:val="15"/>
                <w:szCs w:val="15"/>
                <w:color w:val="auto"/>
              </w:rPr>
            </w:pPr>
          </w:p>
        </w:tc>
        <w:tc>
          <w:tcPr>
            <w:tcW w:w="660" w:type="dxa"/>
            <w:vAlign w:val="bottom"/>
            <w:vMerge w:val="restart"/>
            <w:shd w:val="clear" w:color="auto" w:fill="CCEEFF"/>
          </w:tcPr>
          <w:p>
            <w:pPr>
              <w:jc w:val="right"/>
              <w:ind w:right="450"/>
              <w:spacing w:after="0"/>
              <w:rPr>
                <w:sz w:val="20"/>
                <w:szCs w:val="20"/>
                <w:color w:val="auto"/>
              </w:rPr>
            </w:pPr>
            <w:r>
              <w:rPr>
                <w:rFonts w:ascii="Arial" w:cs="Arial" w:eastAsia="Arial" w:hAnsi="Arial"/>
                <w:sz w:val="18"/>
                <w:szCs w:val="18"/>
                <w:color w:val="auto"/>
                <w:w w:val="99"/>
              </w:rPr>
              <w:t>$</w:t>
            </w:r>
          </w:p>
        </w:tc>
        <w:tc>
          <w:tcPr>
            <w:tcW w:w="104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(0.31)</w:t>
            </w:r>
          </w:p>
        </w:tc>
        <w:tc>
          <w:tcPr>
            <w:tcW w:w="0" w:type="dxa"/>
            <w:vAlign w:val="bottom"/>
          </w:tcPr>
          <w:p>
            <w:pPr>
              <w:spacing w:after="0"/>
              <w:rPr>
                <w:sz w:val="1"/>
                <w:szCs w:val="1"/>
                <w:color w:val="auto"/>
              </w:rPr>
            </w:pPr>
          </w:p>
        </w:tc>
      </w:tr>
      <w:tr>
        <w:trPr>
          <w:trHeight w:val="237"/>
        </w:trPr>
        <w:tc>
          <w:tcPr>
            <w:tcW w:w="424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basic and diluted</w:t>
            </w:r>
          </w:p>
        </w:tc>
        <w:tc>
          <w:tcPr>
            <w:tcW w:w="1140" w:type="dxa"/>
            <w:vAlign w:val="bottom"/>
            <w:tcBorders>
              <w:bottom w:val="single" w:sz="8" w:color="auto"/>
            </w:tcBorders>
            <w:vMerge w:val="continue"/>
            <w:shd w:val="clear" w:color="auto" w:fill="CCEEFF"/>
          </w:tcPr>
          <w:p>
            <w:pPr>
              <w:spacing w:after="0"/>
              <w:rPr>
                <w:sz w:val="20"/>
                <w:szCs w:val="20"/>
                <w:color w:val="auto"/>
              </w:rPr>
            </w:pPr>
          </w:p>
        </w:tc>
        <w:tc>
          <w:tcPr>
            <w:tcW w:w="600" w:type="dxa"/>
            <w:vAlign w:val="bottom"/>
            <w:tcBorders>
              <w:bottom w:val="single" w:sz="8" w:color="auto"/>
            </w:tcBorders>
            <w:vMerge w:val="continue"/>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auto"/>
            </w:tcBorders>
            <w:vMerge w:val="continue"/>
            <w:shd w:val="clear" w:color="auto" w:fill="CCEEFF"/>
          </w:tcPr>
          <w:p>
            <w:pPr>
              <w:spacing w:after="0"/>
              <w:rPr>
                <w:sz w:val="20"/>
                <w:szCs w:val="20"/>
                <w:color w:val="auto"/>
              </w:rPr>
            </w:pPr>
          </w:p>
        </w:tc>
        <w:tc>
          <w:tcPr>
            <w:tcW w:w="580" w:type="dxa"/>
            <w:vAlign w:val="bottom"/>
            <w:tcBorders>
              <w:bottom w:val="single" w:sz="8" w:color="auto"/>
            </w:tcBorders>
            <w:vMerge w:val="continue"/>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380" w:type="dxa"/>
            <w:vAlign w:val="bottom"/>
            <w:tcBorders>
              <w:bottom w:val="single" w:sz="8" w:color="auto"/>
            </w:tcBorders>
            <w:vMerge w:val="continue"/>
            <w:shd w:val="clear" w:color="auto" w:fill="CCEEFF"/>
          </w:tcPr>
          <w:p>
            <w:pPr>
              <w:spacing w:after="0"/>
              <w:rPr>
                <w:sz w:val="20"/>
                <w:szCs w:val="20"/>
                <w:color w:val="auto"/>
              </w:rPr>
            </w:pPr>
          </w:p>
        </w:tc>
        <w:tc>
          <w:tcPr>
            <w:tcW w:w="1320" w:type="dxa"/>
            <w:vAlign w:val="bottom"/>
            <w:tcBorders>
              <w:bottom w:val="single" w:sz="8" w:color="auto"/>
            </w:tcBorders>
            <w:vMerge w:val="continue"/>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660" w:type="dxa"/>
            <w:vAlign w:val="bottom"/>
            <w:tcBorders>
              <w:bottom w:val="single" w:sz="8" w:color="auto"/>
            </w:tcBorders>
            <w:vMerge w:val="continue"/>
            <w:shd w:val="clear" w:color="auto" w:fill="CCEEFF"/>
          </w:tcPr>
          <w:p>
            <w:pPr>
              <w:spacing w:after="0"/>
              <w:rPr>
                <w:sz w:val="20"/>
                <w:szCs w:val="20"/>
                <w:color w:val="auto"/>
              </w:rPr>
            </w:pPr>
          </w:p>
        </w:tc>
        <w:tc>
          <w:tcPr>
            <w:tcW w:w="1040" w:type="dxa"/>
            <w:vAlign w:val="bottom"/>
            <w:tcBorders>
              <w:bottom w:val="single" w:sz="8" w:color="auto"/>
            </w:tcBorders>
            <w:vMerge w:val="continue"/>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4240" w:type="dxa"/>
            <w:vAlign w:val="bottom"/>
            <w:vMerge w:val="restart"/>
          </w:tcPr>
          <w:p>
            <w:pPr>
              <w:ind w:left="40"/>
              <w:spacing w:after="0"/>
              <w:rPr>
                <w:sz w:val="20"/>
                <w:szCs w:val="20"/>
                <w:color w:val="auto"/>
              </w:rPr>
            </w:pPr>
            <w:r>
              <w:rPr>
                <w:rFonts w:ascii="Arial" w:cs="Arial" w:eastAsia="Arial" w:hAnsi="Arial"/>
                <w:sz w:val="18"/>
                <w:szCs w:val="18"/>
                <w:color w:val="auto"/>
                <w:w w:val="91"/>
              </w:rPr>
              <w:t>Weighted-average shares used in computing net loss per</w:t>
            </w:r>
          </w:p>
        </w:tc>
        <w:tc>
          <w:tcPr>
            <w:tcW w:w="114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8"/>
        </w:trPr>
        <w:tc>
          <w:tcPr>
            <w:tcW w:w="4240" w:type="dxa"/>
            <w:vAlign w:val="bottom"/>
            <w:vMerge w:val="continue"/>
          </w:tcPr>
          <w:p>
            <w:pPr>
              <w:spacing w:after="0"/>
              <w:rPr>
                <w:sz w:val="16"/>
                <w:szCs w:val="16"/>
                <w:color w:val="auto"/>
              </w:rPr>
            </w:pPr>
          </w:p>
        </w:tc>
        <w:tc>
          <w:tcPr>
            <w:tcW w:w="114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4240" w:type="dxa"/>
            <w:vAlign w:val="bottom"/>
          </w:tcPr>
          <w:p>
            <w:pPr>
              <w:ind w:left="200"/>
              <w:spacing w:after="0"/>
              <w:rPr>
                <w:sz w:val="20"/>
                <w:szCs w:val="20"/>
                <w:color w:val="auto"/>
              </w:rPr>
            </w:pPr>
            <w:r>
              <w:rPr>
                <w:rFonts w:ascii="Arial" w:cs="Arial" w:eastAsia="Arial" w:hAnsi="Arial"/>
                <w:sz w:val="18"/>
                <w:szCs w:val="18"/>
                <w:color w:val="auto"/>
                <w:w w:val="94"/>
              </w:rPr>
              <w:t>share attributable to common stockholders, basic and</w:t>
            </w:r>
          </w:p>
        </w:tc>
        <w:tc>
          <w:tcPr>
            <w:tcW w:w="1140" w:type="dxa"/>
            <w:vAlign w:val="bottom"/>
          </w:tcPr>
          <w:p>
            <w:pPr>
              <w:spacing w:after="0"/>
              <w:rPr>
                <w:sz w:val="18"/>
                <w:szCs w:val="18"/>
                <w:color w:val="auto"/>
              </w:rPr>
            </w:pPr>
          </w:p>
        </w:tc>
        <w:tc>
          <w:tcPr>
            <w:tcW w:w="600" w:type="dxa"/>
            <w:vAlign w:val="bottom"/>
            <w:vMerge w:val="restart"/>
          </w:tcPr>
          <w:p>
            <w:pPr>
              <w:jc w:val="right"/>
              <w:ind w:right="30"/>
              <w:spacing w:after="0"/>
              <w:rPr>
                <w:sz w:val="20"/>
                <w:szCs w:val="20"/>
                <w:color w:val="auto"/>
              </w:rPr>
            </w:pPr>
            <w:r>
              <w:rPr>
                <w:rFonts w:ascii="Arial" w:cs="Arial" w:eastAsia="Arial" w:hAnsi="Arial"/>
                <w:sz w:val="18"/>
                <w:szCs w:val="18"/>
                <w:color w:val="auto"/>
              </w:rPr>
              <w:t>401.3</w:t>
            </w: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580" w:type="dxa"/>
            <w:vAlign w:val="bottom"/>
            <w:vMerge w:val="restart"/>
          </w:tcPr>
          <w:p>
            <w:pPr>
              <w:jc w:val="right"/>
              <w:ind w:right="10"/>
              <w:spacing w:after="0"/>
              <w:rPr>
                <w:sz w:val="20"/>
                <w:szCs w:val="20"/>
                <w:color w:val="auto"/>
              </w:rPr>
            </w:pPr>
            <w:r>
              <w:rPr>
                <w:rFonts w:ascii="Arial" w:cs="Arial" w:eastAsia="Arial" w:hAnsi="Arial"/>
                <w:sz w:val="18"/>
                <w:szCs w:val="18"/>
                <w:color w:val="auto"/>
              </w:rPr>
              <w:t>195.4</w:t>
            </w:r>
          </w:p>
        </w:tc>
        <w:tc>
          <w:tcPr>
            <w:tcW w:w="1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320" w:type="dxa"/>
            <w:vAlign w:val="bottom"/>
            <w:vMerge w:val="restart"/>
          </w:tcPr>
          <w:p>
            <w:pPr>
              <w:jc w:val="right"/>
              <w:ind w:right="30"/>
              <w:spacing w:after="0"/>
              <w:rPr>
                <w:sz w:val="20"/>
                <w:szCs w:val="20"/>
                <w:color w:val="auto"/>
              </w:rPr>
            </w:pPr>
            <w:r>
              <w:rPr>
                <w:rFonts w:ascii="Arial" w:cs="Arial" w:eastAsia="Arial" w:hAnsi="Arial"/>
                <w:sz w:val="18"/>
                <w:szCs w:val="18"/>
                <w:color w:val="auto"/>
              </w:rPr>
              <w:t>310.5</w:t>
            </w: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40" w:type="dxa"/>
            <w:vAlign w:val="bottom"/>
            <w:vMerge w:val="restart"/>
          </w:tcPr>
          <w:p>
            <w:pPr>
              <w:jc w:val="right"/>
              <w:ind w:right="10"/>
              <w:spacing w:after="0"/>
              <w:rPr>
                <w:sz w:val="20"/>
                <w:szCs w:val="20"/>
                <w:color w:val="auto"/>
              </w:rPr>
            </w:pPr>
            <w:r>
              <w:rPr>
                <w:rFonts w:ascii="Arial" w:cs="Arial" w:eastAsia="Arial" w:hAnsi="Arial"/>
                <w:sz w:val="18"/>
                <w:szCs w:val="18"/>
                <w:color w:val="auto"/>
              </w:rPr>
              <w:t>194.5</w:t>
            </w:r>
          </w:p>
        </w:tc>
        <w:tc>
          <w:tcPr>
            <w:tcW w:w="0" w:type="dxa"/>
            <w:vAlign w:val="bottom"/>
          </w:tcPr>
          <w:p>
            <w:pPr>
              <w:spacing w:after="0"/>
              <w:rPr>
                <w:sz w:val="1"/>
                <w:szCs w:val="1"/>
                <w:color w:val="auto"/>
              </w:rPr>
            </w:pPr>
          </w:p>
        </w:tc>
      </w:tr>
      <w:tr>
        <w:trPr>
          <w:trHeight w:val="237"/>
        </w:trPr>
        <w:tc>
          <w:tcPr>
            <w:tcW w:w="4240" w:type="dxa"/>
            <w:vAlign w:val="bottom"/>
          </w:tcPr>
          <w:p>
            <w:pPr>
              <w:ind w:left="200"/>
              <w:spacing w:after="0"/>
              <w:rPr>
                <w:sz w:val="20"/>
                <w:szCs w:val="20"/>
                <w:color w:val="auto"/>
              </w:rPr>
            </w:pPr>
            <w:r>
              <w:rPr>
                <w:rFonts w:ascii="Arial" w:cs="Arial" w:eastAsia="Arial" w:hAnsi="Arial"/>
                <w:sz w:val="18"/>
                <w:szCs w:val="18"/>
                <w:color w:val="auto"/>
              </w:rPr>
              <w:t>diluted</w:t>
            </w:r>
          </w:p>
        </w:tc>
        <w:tc>
          <w:tcPr>
            <w:tcW w:w="1140" w:type="dxa"/>
            <w:vAlign w:val="bottom"/>
            <w:tcBorders>
              <w:bottom w:val="single" w:sz="8" w:color="auto"/>
            </w:tcBorders>
          </w:tcPr>
          <w:p>
            <w:pPr>
              <w:spacing w:after="0"/>
              <w:rPr>
                <w:sz w:val="20"/>
                <w:szCs w:val="20"/>
                <w:color w:val="auto"/>
              </w:rPr>
            </w:pPr>
          </w:p>
        </w:tc>
        <w:tc>
          <w:tcPr>
            <w:tcW w:w="600" w:type="dxa"/>
            <w:vAlign w:val="bottom"/>
            <w:tcBorders>
              <w:bottom w:val="single" w:sz="8" w:color="auto"/>
            </w:tcBorders>
            <w:vMerge w:val="continue"/>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tcBorders>
              <w:bottom w:val="single" w:sz="8" w:color="auto"/>
            </w:tcBorders>
          </w:tcPr>
          <w:p>
            <w:pPr>
              <w:spacing w:after="0"/>
              <w:rPr>
                <w:sz w:val="20"/>
                <w:szCs w:val="20"/>
                <w:color w:val="auto"/>
              </w:rPr>
            </w:pPr>
          </w:p>
        </w:tc>
        <w:tc>
          <w:tcPr>
            <w:tcW w:w="580" w:type="dxa"/>
            <w:vAlign w:val="bottom"/>
            <w:tcBorders>
              <w:bottom w:val="single" w:sz="8" w:color="auto"/>
            </w:tcBorders>
            <w:vMerge w:val="continue"/>
          </w:tcPr>
          <w:p>
            <w:pPr>
              <w:spacing w:after="0"/>
              <w:rPr>
                <w:sz w:val="20"/>
                <w:szCs w:val="20"/>
                <w:color w:val="auto"/>
              </w:rPr>
            </w:pPr>
          </w:p>
        </w:tc>
        <w:tc>
          <w:tcPr>
            <w:tcW w:w="120" w:type="dxa"/>
            <w:vAlign w:val="bottom"/>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1320" w:type="dxa"/>
            <w:vAlign w:val="bottom"/>
            <w:tcBorders>
              <w:bottom w:val="single" w:sz="8" w:color="auto"/>
            </w:tcBorders>
            <w:vMerge w:val="continue"/>
          </w:tcPr>
          <w:p>
            <w:pPr>
              <w:spacing w:after="0"/>
              <w:rPr>
                <w:sz w:val="20"/>
                <w:szCs w:val="20"/>
                <w:color w:val="auto"/>
              </w:rPr>
            </w:pPr>
          </w:p>
        </w:tc>
        <w:tc>
          <w:tcPr>
            <w:tcW w:w="100" w:type="dxa"/>
            <w:vAlign w:val="bottom"/>
          </w:tcPr>
          <w:p>
            <w:pPr>
              <w:spacing w:after="0"/>
              <w:rPr>
                <w:sz w:val="20"/>
                <w:szCs w:val="20"/>
                <w:color w:val="auto"/>
              </w:rPr>
            </w:pPr>
          </w:p>
        </w:tc>
        <w:tc>
          <w:tcPr>
            <w:tcW w:w="66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424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399" w:lineRule="exact"/>
        <w:rPr>
          <w:sz w:val="20"/>
          <w:szCs w:val="20"/>
          <w:color w:val="auto"/>
        </w:rPr>
      </w:pPr>
    </w:p>
    <w:p>
      <w:pPr>
        <w:ind w:left="200" w:hanging="192"/>
        <w:spacing w:after="0"/>
        <w:tabs>
          <w:tab w:leader="none" w:pos="200" w:val="left"/>
        </w:tabs>
        <w:numPr>
          <w:ilvl w:val="0"/>
          <w:numId w:val="6"/>
        </w:numPr>
        <w:rPr>
          <w:rFonts w:ascii="Arial" w:cs="Arial" w:eastAsia="Arial" w:hAnsi="Arial"/>
          <w:sz w:val="23"/>
          <w:szCs w:val="23"/>
          <w:color w:val="auto"/>
          <w:vertAlign w:val="superscript"/>
        </w:rPr>
      </w:pPr>
      <w:r>
        <w:rPr>
          <w:rFonts w:ascii="Arial" w:cs="Arial" w:eastAsia="Arial" w:hAnsi="Arial"/>
          <w:sz w:val="17"/>
          <w:szCs w:val="17"/>
          <w:color w:val="auto"/>
        </w:rPr>
        <w:t>Includes stock-based compensation expense as follows:</w:t>
      </w:r>
    </w:p>
    <w:p>
      <w:pPr>
        <w:spacing w:after="0" w:line="14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240" w:type="dxa"/>
            <w:vAlign w:val="bottom"/>
          </w:tcPr>
          <w:p>
            <w:pPr>
              <w:spacing w:after="0"/>
              <w:rPr>
                <w:sz w:val="18"/>
                <w:szCs w:val="18"/>
                <w:color w:val="auto"/>
              </w:rPr>
            </w:pPr>
          </w:p>
        </w:tc>
        <w:tc>
          <w:tcPr>
            <w:tcW w:w="3020" w:type="dxa"/>
            <w:vAlign w:val="bottom"/>
            <w:gridSpan w:val="4"/>
          </w:tcPr>
          <w:p>
            <w:pPr>
              <w:jc w:val="center"/>
              <w:ind w:left="490"/>
              <w:spacing w:after="0"/>
              <w:rPr>
                <w:sz w:val="20"/>
                <w:szCs w:val="20"/>
                <w:color w:val="auto"/>
              </w:rPr>
            </w:pPr>
            <w:r>
              <w:rPr>
                <w:rFonts w:ascii="Arial" w:cs="Arial" w:eastAsia="Arial" w:hAnsi="Arial"/>
                <w:sz w:val="18"/>
                <w:szCs w:val="18"/>
                <w:b w:val="1"/>
                <w:bCs w:val="1"/>
                <w:color w:val="auto"/>
                <w:w w:val="92"/>
              </w:rPr>
              <w:t>Three Months Ended</w:t>
            </w:r>
          </w:p>
        </w:tc>
        <w:tc>
          <w:tcPr>
            <w:tcW w:w="5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80" w:type="dxa"/>
            <w:vAlign w:val="bottom"/>
            <w:gridSpan w:val="3"/>
          </w:tcPr>
          <w:p>
            <w:pPr>
              <w:jc w:val="center"/>
              <w:ind w:left="590"/>
              <w:spacing w:after="0"/>
              <w:rPr>
                <w:sz w:val="20"/>
                <w:szCs w:val="20"/>
                <w:color w:val="auto"/>
              </w:rPr>
            </w:pPr>
            <w:r>
              <w:rPr>
                <w:rFonts w:ascii="Arial" w:cs="Arial" w:eastAsia="Arial" w:hAnsi="Arial"/>
                <w:sz w:val="18"/>
                <w:szCs w:val="18"/>
                <w:b w:val="1"/>
                <w:bCs w:val="1"/>
                <w:color w:val="auto"/>
                <w:w w:val="89"/>
              </w:rPr>
              <w:t>Six Months Ended</w:t>
            </w:r>
          </w:p>
        </w:tc>
        <w:tc>
          <w:tcPr>
            <w:tcW w:w="1040" w:type="dxa"/>
            <w:vAlign w:val="bottom"/>
          </w:tcPr>
          <w:p>
            <w:pPr>
              <w:spacing w:after="0"/>
              <w:rPr>
                <w:sz w:val="18"/>
                <w:szCs w:val="18"/>
                <w:color w:val="auto"/>
              </w:rPr>
            </w:pPr>
          </w:p>
        </w:tc>
      </w:tr>
      <w:tr>
        <w:trPr>
          <w:trHeight w:val="234"/>
        </w:trPr>
        <w:tc>
          <w:tcPr>
            <w:tcW w:w="424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840" w:type="dxa"/>
            <w:vAlign w:val="bottom"/>
            <w:gridSpan w:val="3"/>
          </w:tcPr>
          <w:p>
            <w:pPr>
              <w:jc w:val="center"/>
              <w:ind w:right="510"/>
              <w:spacing w:after="0"/>
              <w:rPr>
                <w:sz w:val="20"/>
                <w:szCs w:val="20"/>
                <w:color w:val="auto"/>
              </w:rPr>
            </w:pPr>
            <w:r>
              <w:rPr>
                <w:rFonts w:ascii="Arial" w:cs="Arial" w:eastAsia="Arial" w:hAnsi="Arial"/>
                <w:sz w:val="18"/>
                <w:szCs w:val="18"/>
                <w:b w:val="1"/>
                <w:bCs w:val="1"/>
                <w:color w:val="auto"/>
                <w:w w:val="88"/>
              </w:rPr>
              <w:t>June 30,</w:t>
            </w:r>
          </w:p>
        </w:tc>
        <w:tc>
          <w:tcPr>
            <w:tcW w:w="5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2080" w:type="dxa"/>
            <w:vAlign w:val="bottom"/>
            <w:gridSpan w:val="3"/>
          </w:tcPr>
          <w:p>
            <w:pPr>
              <w:jc w:val="center"/>
              <w:ind w:left="590"/>
              <w:spacing w:after="0"/>
              <w:rPr>
                <w:sz w:val="20"/>
                <w:szCs w:val="20"/>
                <w:color w:val="auto"/>
              </w:rPr>
            </w:pPr>
            <w:r>
              <w:rPr>
                <w:rFonts w:ascii="Arial" w:cs="Arial" w:eastAsia="Arial" w:hAnsi="Arial"/>
                <w:sz w:val="18"/>
                <w:szCs w:val="18"/>
                <w:b w:val="1"/>
                <w:bCs w:val="1"/>
                <w:color w:val="auto"/>
                <w:w w:val="88"/>
              </w:rPr>
              <w:t>June 30,</w:t>
            </w:r>
          </w:p>
        </w:tc>
        <w:tc>
          <w:tcPr>
            <w:tcW w:w="1040" w:type="dxa"/>
            <w:vAlign w:val="bottom"/>
          </w:tcPr>
          <w:p>
            <w:pPr>
              <w:spacing w:after="0"/>
              <w:rPr>
                <w:sz w:val="20"/>
                <w:szCs w:val="20"/>
                <w:color w:val="auto"/>
              </w:rPr>
            </w:pPr>
          </w:p>
        </w:tc>
      </w:tr>
      <w:tr>
        <w:trPr>
          <w:trHeight w:val="27"/>
        </w:trPr>
        <w:tc>
          <w:tcPr>
            <w:tcW w:w="4240" w:type="dxa"/>
            <w:vAlign w:val="bottom"/>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36"/>
        </w:trPr>
        <w:tc>
          <w:tcPr>
            <w:tcW w:w="4240" w:type="dxa"/>
            <w:vAlign w:val="bottom"/>
          </w:tcPr>
          <w:p>
            <w:pPr>
              <w:spacing w:after="0"/>
              <w:rPr>
                <w:sz w:val="20"/>
                <w:szCs w:val="20"/>
                <w:color w:val="auto"/>
              </w:rPr>
            </w:pPr>
          </w:p>
        </w:tc>
        <w:tc>
          <w:tcPr>
            <w:tcW w:w="1180" w:type="dxa"/>
            <w:vAlign w:val="bottom"/>
          </w:tcPr>
          <w:p>
            <w:pPr>
              <w:jc w:val="right"/>
              <w:ind w:right="30"/>
              <w:spacing w:after="0"/>
              <w:rPr>
                <w:sz w:val="20"/>
                <w:szCs w:val="20"/>
                <w:color w:val="auto"/>
              </w:rPr>
            </w:pPr>
            <w:r>
              <w:rPr>
                <w:rFonts w:ascii="Arial" w:cs="Arial" w:eastAsia="Arial" w:hAnsi="Arial"/>
                <w:sz w:val="18"/>
                <w:szCs w:val="18"/>
                <w:b w:val="1"/>
                <w:bCs w:val="1"/>
                <w:color w:val="auto"/>
              </w:rPr>
              <w:t>2018</w:t>
            </w:r>
          </w:p>
        </w:tc>
        <w:tc>
          <w:tcPr>
            <w:tcW w:w="5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60" w:type="dxa"/>
            <w:vAlign w:val="bottom"/>
          </w:tcPr>
          <w:p>
            <w:pPr>
              <w:jc w:val="right"/>
              <w:ind w:right="30"/>
              <w:spacing w:after="0"/>
              <w:rPr>
                <w:sz w:val="20"/>
                <w:szCs w:val="20"/>
                <w:color w:val="auto"/>
              </w:rPr>
            </w:pPr>
            <w:r>
              <w:rPr>
                <w:rFonts w:ascii="Arial" w:cs="Arial" w:eastAsia="Arial" w:hAnsi="Arial"/>
                <w:sz w:val="18"/>
                <w:szCs w:val="18"/>
                <w:b w:val="1"/>
                <w:bCs w:val="1"/>
                <w:color w:val="auto"/>
              </w:rPr>
              <w:t>2017</w:t>
            </w:r>
          </w:p>
        </w:tc>
        <w:tc>
          <w:tcPr>
            <w:tcW w:w="5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320" w:type="dxa"/>
            <w:vAlign w:val="bottom"/>
          </w:tcPr>
          <w:p>
            <w:pPr>
              <w:jc w:val="right"/>
              <w:ind w:right="59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040" w:type="dxa"/>
            <w:vAlign w:val="bottom"/>
          </w:tcPr>
          <w:p>
            <w:pPr>
              <w:jc w:val="right"/>
              <w:ind w:right="570"/>
              <w:spacing w:after="0"/>
              <w:rPr>
                <w:sz w:val="20"/>
                <w:szCs w:val="20"/>
                <w:color w:val="auto"/>
              </w:rPr>
            </w:pPr>
            <w:r>
              <w:rPr>
                <w:rFonts w:ascii="Arial" w:cs="Arial" w:eastAsia="Arial" w:hAnsi="Arial"/>
                <w:sz w:val="18"/>
                <w:szCs w:val="18"/>
                <w:b w:val="1"/>
                <w:bCs w:val="1"/>
                <w:color w:val="auto"/>
                <w:w w:val="89"/>
              </w:rPr>
              <w:t>2017</w:t>
            </w:r>
          </w:p>
        </w:tc>
      </w:tr>
      <w:tr>
        <w:trPr>
          <w:trHeight w:val="27"/>
        </w:trPr>
        <w:tc>
          <w:tcPr>
            <w:tcW w:w="424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43"/>
        </w:trPr>
        <w:tc>
          <w:tcPr>
            <w:tcW w:w="42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Cost of revenue</w:t>
            </w:r>
          </w:p>
        </w:tc>
        <w:tc>
          <w:tcPr>
            <w:tcW w:w="1180" w:type="dxa"/>
            <w:vAlign w:val="bottom"/>
            <w:tcBorders>
              <w:bottom w:val="single" w:sz="8" w:color="CCEEFF"/>
            </w:tcBorders>
            <w:shd w:val="clear" w:color="auto" w:fill="CCEEFF"/>
          </w:tcPr>
          <w:p>
            <w:pPr>
              <w:jc w:val="right"/>
              <w:ind w:right="970"/>
              <w:spacing w:after="0"/>
              <w:rPr>
                <w:sz w:val="20"/>
                <w:szCs w:val="20"/>
                <w:color w:val="auto"/>
              </w:rPr>
            </w:pPr>
            <w:r>
              <w:rPr>
                <w:rFonts w:ascii="Arial" w:cs="Arial" w:eastAsia="Arial" w:hAnsi="Arial"/>
                <w:sz w:val="18"/>
                <w:szCs w:val="18"/>
                <w:color w:val="auto"/>
                <w:w w:val="99"/>
              </w:rPr>
              <w:t>$</w:t>
            </w:r>
          </w:p>
        </w:tc>
        <w:tc>
          <w:tcPr>
            <w:tcW w:w="5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2.9</w:t>
            </w:r>
          </w:p>
        </w:tc>
        <w:tc>
          <w:tcPr>
            <w:tcW w:w="1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950"/>
              <w:spacing w:after="0"/>
              <w:rPr>
                <w:sz w:val="20"/>
                <w:szCs w:val="20"/>
                <w:color w:val="auto"/>
              </w:rPr>
            </w:pPr>
            <w:r>
              <w:rPr>
                <w:rFonts w:ascii="Arial" w:cs="Arial" w:eastAsia="Arial" w:hAnsi="Arial"/>
                <w:sz w:val="18"/>
                <w:szCs w:val="18"/>
                <w:color w:val="auto"/>
                <w:w w:val="99"/>
              </w:rPr>
              <w:t>$</w:t>
            </w:r>
          </w:p>
        </w:tc>
        <w:tc>
          <w:tcPr>
            <w:tcW w:w="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3.3</w:t>
            </w:r>
          </w:p>
        </w:tc>
        <w:tc>
          <w:tcPr>
            <w:tcW w:w="1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79"/>
              </w:rPr>
              <w:t>$</w:t>
            </w:r>
          </w:p>
        </w:tc>
        <w:tc>
          <w:tcPr>
            <w:tcW w:w="13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40.7</w:t>
            </w:r>
          </w:p>
        </w:tc>
        <w:tc>
          <w:tcPr>
            <w:tcW w:w="10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ind w:right="45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6.4</w:t>
            </w:r>
          </w:p>
        </w:tc>
      </w:tr>
      <w:tr>
        <w:trPr>
          <w:trHeight w:val="243"/>
        </w:trPr>
        <w:tc>
          <w:tcPr>
            <w:tcW w:w="4240" w:type="dxa"/>
            <w:vAlign w:val="bottom"/>
          </w:tcPr>
          <w:p>
            <w:pPr>
              <w:ind w:left="280"/>
              <w:spacing w:after="0"/>
              <w:rPr>
                <w:sz w:val="20"/>
                <w:szCs w:val="20"/>
                <w:color w:val="auto"/>
              </w:rPr>
            </w:pPr>
            <w:r>
              <w:rPr>
                <w:rFonts w:ascii="Arial" w:cs="Arial" w:eastAsia="Arial" w:hAnsi="Arial"/>
                <w:sz w:val="18"/>
                <w:szCs w:val="18"/>
                <w:color w:val="auto"/>
              </w:rPr>
              <w:t>Research and development</w:t>
            </w:r>
          </w:p>
        </w:tc>
        <w:tc>
          <w:tcPr>
            <w:tcW w:w="1180" w:type="dxa"/>
            <w:vAlign w:val="bottom"/>
          </w:tcPr>
          <w:p>
            <w:pPr>
              <w:spacing w:after="0"/>
              <w:rPr>
                <w:sz w:val="21"/>
                <w:szCs w:val="21"/>
                <w:color w:val="auto"/>
              </w:rPr>
            </w:pPr>
          </w:p>
        </w:tc>
        <w:tc>
          <w:tcPr>
            <w:tcW w:w="560" w:type="dxa"/>
            <w:vAlign w:val="bottom"/>
          </w:tcPr>
          <w:p>
            <w:pPr>
              <w:jc w:val="right"/>
              <w:ind w:right="30"/>
              <w:spacing w:after="0"/>
              <w:rPr>
                <w:sz w:val="20"/>
                <w:szCs w:val="20"/>
                <w:color w:val="auto"/>
              </w:rPr>
            </w:pPr>
            <w:r>
              <w:rPr>
                <w:rFonts w:ascii="Arial" w:cs="Arial" w:eastAsia="Arial" w:hAnsi="Arial"/>
                <w:sz w:val="18"/>
                <w:szCs w:val="18"/>
                <w:color w:val="auto"/>
              </w:rPr>
              <w:t>27.9</w:t>
            </w:r>
          </w:p>
        </w:tc>
        <w:tc>
          <w:tcPr>
            <w:tcW w:w="12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540" w:type="dxa"/>
            <w:vAlign w:val="bottom"/>
          </w:tcPr>
          <w:p>
            <w:pPr>
              <w:jc w:val="right"/>
              <w:ind w:right="10"/>
              <w:spacing w:after="0"/>
              <w:rPr>
                <w:sz w:val="20"/>
                <w:szCs w:val="20"/>
                <w:color w:val="auto"/>
              </w:rPr>
            </w:pPr>
            <w:r>
              <w:rPr>
                <w:rFonts w:ascii="Arial" w:cs="Arial" w:eastAsia="Arial" w:hAnsi="Arial"/>
                <w:sz w:val="18"/>
                <w:szCs w:val="18"/>
                <w:color w:val="auto"/>
              </w:rPr>
              <w:t>21.7</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20" w:type="dxa"/>
            <w:vAlign w:val="bottom"/>
          </w:tcPr>
          <w:p>
            <w:pPr>
              <w:jc w:val="right"/>
              <w:ind w:right="30"/>
              <w:spacing w:after="0"/>
              <w:rPr>
                <w:sz w:val="20"/>
                <w:szCs w:val="20"/>
                <w:color w:val="auto"/>
              </w:rPr>
            </w:pPr>
            <w:r>
              <w:rPr>
                <w:rFonts w:ascii="Arial" w:cs="Arial" w:eastAsia="Arial" w:hAnsi="Arial"/>
                <w:sz w:val="18"/>
                <w:szCs w:val="18"/>
                <w:color w:val="auto"/>
              </w:rPr>
              <w:t>310.8</w:t>
            </w:r>
          </w:p>
        </w:tc>
        <w:tc>
          <w:tcPr>
            <w:tcW w:w="10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43.5</w:t>
            </w:r>
          </w:p>
        </w:tc>
      </w:tr>
      <w:tr>
        <w:trPr>
          <w:trHeight w:val="27"/>
        </w:trPr>
        <w:tc>
          <w:tcPr>
            <w:tcW w:w="42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5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42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Sales and marketing</w:t>
            </w:r>
          </w:p>
        </w:tc>
        <w:tc>
          <w:tcPr>
            <w:tcW w:w="1180" w:type="dxa"/>
            <w:vAlign w:val="bottom"/>
            <w:tcBorders>
              <w:bottom w:val="single" w:sz="8" w:color="CCEEFF"/>
            </w:tcBorders>
            <w:shd w:val="clear" w:color="auto" w:fill="CCEEFF"/>
          </w:tcPr>
          <w:p>
            <w:pPr>
              <w:spacing w:after="0"/>
              <w:rPr>
                <w:sz w:val="21"/>
                <w:szCs w:val="21"/>
                <w:color w:val="auto"/>
              </w:rPr>
            </w:pPr>
          </w:p>
        </w:tc>
        <w:tc>
          <w:tcPr>
            <w:tcW w:w="5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7.9</w:t>
            </w:r>
          </w:p>
        </w:tc>
        <w:tc>
          <w:tcPr>
            <w:tcW w:w="1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7.7</w:t>
            </w:r>
          </w:p>
        </w:tc>
        <w:tc>
          <w:tcPr>
            <w:tcW w:w="1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80.3</w:t>
            </w:r>
          </w:p>
        </w:tc>
        <w:tc>
          <w:tcPr>
            <w:tcW w:w="10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15.4</w:t>
            </w:r>
          </w:p>
        </w:tc>
      </w:tr>
      <w:tr>
        <w:trPr>
          <w:trHeight w:val="243"/>
        </w:trPr>
        <w:tc>
          <w:tcPr>
            <w:tcW w:w="4240" w:type="dxa"/>
            <w:vAlign w:val="bottom"/>
          </w:tcPr>
          <w:p>
            <w:pPr>
              <w:ind w:left="280"/>
              <w:spacing w:after="0"/>
              <w:rPr>
                <w:sz w:val="20"/>
                <w:szCs w:val="20"/>
                <w:color w:val="auto"/>
              </w:rPr>
            </w:pPr>
            <w:r>
              <w:rPr>
                <w:rFonts w:ascii="Arial" w:cs="Arial" w:eastAsia="Arial" w:hAnsi="Arial"/>
                <w:sz w:val="18"/>
                <w:szCs w:val="18"/>
                <w:color w:val="auto"/>
              </w:rPr>
              <w:t>General and administrative</w:t>
            </w:r>
          </w:p>
        </w:tc>
        <w:tc>
          <w:tcPr>
            <w:tcW w:w="1180" w:type="dxa"/>
            <w:vAlign w:val="bottom"/>
          </w:tcPr>
          <w:p>
            <w:pPr>
              <w:spacing w:after="0"/>
              <w:rPr>
                <w:sz w:val="21"/>
                <w:szCs w:val="21"/>
                <w:color w:val="auto"/>
              </w:rPr>
            </w:pPr>
          </w:p>
        </w:tc>
        <w:tc>
          <w:tcPr>
            <w:tcW w:w="560" w:type="dxa"/>
            <w:vAlign w:val="bottom"/>
          </w:tcPr>
          <w:p>
            <w:pPr>
              <w:jc w:val="right"/>
              <w:ind w:right="30"/>
              <w:spacing w:after="0"/>
              <w:rPr>
                <w:sz w:val="20"/>
                <w:szCs w:val="20"/>
                <w:color w:val="auto"/>
              </w:rPr>
            </w:pPr>
            <w:r>
              <w:rPr>
                <w:rFonts w:ascii="Arial" w:cs="Arial" w:eastAsia="Arial" w:hAnsi="Arial"/>
                <w:sz w:val="18"/>
                <w:szCs w:val="18"/>
                <w:color w:val="auto"/>
              </w:rPr>
              <w:t>16.4</w:t>
            </w:r>
          </w:p>
        </w:tc>
        <w:tc>
          <w:tcPr>
            <w:tcW w:w="12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540" w:type="dxa"/>
            <w:vAlign w:val="bottom"/>
          </w:tcPr>
          <w:p>
            <w:pPr>
              <w:jc w:val="right"/>
              <w:ind w:right="10"/>
              <w:spacing w:after="0"/>
              <w:rPr>
                <w:sz w:val="20"/>
                <w:szCs w:val="20"/>
                <w:color w:val="auto"/>
              </w:rPr>
            </w:pPr>
            <w:r>
              <w:rPr>
                <w:rFonts w:ascii="Arial" w:cs="Arial" w:eastAsia="Arial" w:hAnsi="Arial"/>
                <w:sz w:val="18"/>
                <w:szCs w:val="18"/>
                <w:color w:val="auto"/>
              </w:rPr>
              <w:t>6.0</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20" w:type="dxa"/>
            <w:vAlign w:val="bottom"/>
          </w:tcPr>
          <w:p>
            <w:pPr>
              <w:jc w:val="right"/>
              <w:ind w:right="30"/>
              <w:spacing w:after="0"/>
              <w:rPr>
                <w:sz w:val="20"/>
                <w:szCs w:val="20"/>
                <w:color w:val="auto"/>
              </w:rPr>
            </w:pPr>
            <w:r>
              <w:rPr>
                <w:rFonts w:ascii="Arial" w:cs="Arial" w:eastAsia="Arial" w:hAnsi="Arial"/>
                <w:sz w:val="18"/>
                <w:szCs w:val="18"/>
                <w:color w:val="auto"/>
              </w:rPr>
              <w:t>109.8</w:t>
            </w:r>
          </w:p>
        </w:tc>
        <w:tc>
          <w:tcPr>
            <w:tcW w:w="10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12.2</w:t>
            </w:r>
          </w:p>
        </w:tc>
      </w:tr>
    </w:tbl>
    <w:p>
      <w:pPr>
        <w:sectPr>
          <w:pgSz w:w="11900" w:h="16838" w:orient="portrait"/>
          <w:cols w:equalWidth="0" w:num="1">
            <w:col w:w="11420"/>
          </w:cols>
          <w:pgMar w:left="240" w:top="584" w:right="239" w:bottom="1440" w:gutter="0" w:footer="0" w:header="0"/>
        </w:sectPr>
      </w:pPr>
    </w:p>
    <w:bookmarkStart w:id="8" w:name="page9"/>
    <w:bookmarkEnd w:id="8"/>
    <w:p>
      <w:pPr>
        <w:jc w:val="center"/>
        <w:spacing w:after="0"/>
        <w:rPr>
          <w:sz w:val="20"/>
          <w:szCs w:val="20"/>
          <w:color w:val="auto"/>
        </w:rPr>
      </w:pPr>
      <w:r>
        <w:rPr>
          <w:rFonts w:ascii="Arial" w:cs="Arial" w:eastAsia="Arial" w:hAnsi="Arial"/>
          <w:sz w:val="22"/>
          <w:szCs w:val="22"/>
          <w:b w:val="1"/>
          <w:bCs w:val="1"/>
          <w:color w:val="auto"/>
        </w:rPr>
        <w:t>Dropbox,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Condensed Consolidated Balance Sheets</w:t>
      </w:r>
    </w:p>
    <w:p>
      <w:pPr>
        <w:ind w:left="5260"/>
        <w:spacing w:after="0"/>
        <w:rPr>
          <w:sz w:val="20"/>
          <w:szCs w:val="20"/>
          <w:color w:val="auto"/>
        </w:rPr>
      </w:pPr>
      <w:r>
        <w:rPr>
          <w:rFonts w:ascii="Arial" w:cs="Arial" w:eastAsia="Arial" w:hAnsi="Arial"/>
          <w:sz w:val="18"/>
          <w:szCs w:val="18"/>
          <w:i w:val="1"/>
          <w:iCs w:val="1"/>
          <w:color w:val="auto"/>
        </w:rPr>
        <w:t>(In millions)</w:t>
      </w:r>
    </w:p>
    <w:p>
      <w:pPr>
        <w:spacing w:after="0" w:line="7" w:lineRule="exact"/>
        <w:rPr>
          <w:sz w:val="20"/>
          <w:szCs w:val="20"/>
          <w:color w:val="auto"/>
        </w:rPr>
      </w:pPr>
    </w:p>
    <w:p>
      <w:pPr>
        <w:ind w:left="5280"/>
        <w:spacing w:after="0"/>
        <w:rPr>
          <w:sz w:val="20"/>
          <w:szCs w:val="20"/>
          <w:color w:val="auto"/>
        </w:rPr>
      </w:pPr>
      <w:r>
        <w:rPr>
          <w:rFonts w:ascii="Arial" w:cs="Arial" w:eastAsia="Arial" w:hAnsi="Arial"/>
          <w:sz w:val="18"/>
          <w:szCs w:val="18"/>
          <w:i w:val="1"/>
          <w:iCs w:val="1"/>
          <w:color w:val="auto"/>
        </w:rPr>
        <w:t>(Unaudited)</w:t>
      </w:r>
    </w:p>
    <w:p>
      <w:pPr>
        <w:spacing w:after="0" w:line="200" w:lineRule="exact"/>
        <w:rPr>
          <w:sz w:val="20"/>
          <w:szCs w:val="20"/>
          <w:color w:val="auto"/>
        </w:rPr>
      </w:pPr>
    </w:p>
    <w:p>
      <w:pPr>
        <w:spacing w:after="0" w:line="384"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76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300" w:type="dxa"/>
            <w:vAlign w:val="bottom"/>
            <w:gridSpan w:val="3"/>
          </w:tcPr>
          <w:p>
            <w:pPr>
              <w:jc w:val="right"/>
              <w:ind w:right="30"/>
              <w:spacing w:after="0"/>
              <w:rPr>
                <w:sz w:val="20"/>
                <w:szCs w:val="20"/>
                <w:color w:val="auto"/>
              </w:rPr>
            </w:pPr>
            <w:r>
              <w:rPr>
                <w:rFonts w:ascii="Arial" w:cs="Arial" w:eastAsia="Arial" w:hAnsi="Arial"/>
                <w:sz w:val="18"/>
                <w:szCs w:val="18"/>
                <w:b w:val="1"/>
                <w:bCs w:val="1"/>
                <w:color w:val="auto"/>
              </w:rPr>
              <w:t>As of</w:t>
            </w:r>
          </w:p>
        </w:tc>
        <w:tc>
          <w:tcPr>
            <w:tcW w:w="2000" w:type="dxa"/>
            <w:vAlign w:val="bottom"/>
          </w:tcPr>
          <w:p>
            <w:pPr>
              <w:spacing w:after="0"/>
              <w:rPr>
                <w:sz w:val="20"/>
                <w:szCs w:val="20"/>
                <w:color w:val="auto"/>
              </w:rPr>
            </w:pPr>
          </w:p>
        </w:tc>
      </w:tr>
      <w:tr>
        <w:trPr>
          <w:trHeight w:val="27"/>
        </w:trPr>
        <w:tc>
          <w:tcPr>
            <w:tcW w:w="676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2020" w:type="dxa"/>
            <w:vAlign w:val="bottom"/>
            <w:tcBorders>
              <w:bottom w:val="single" w:sz="8" w:color="auto"/>
            </w:tcBorders>
            <w:gridSpan w:val="2"/>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2000" w:type="dxa"/>
            <w:vAlign w:val="bottom"/>
            <w:tcBorders>
              <w:bottom w:val="single" w:sz="8" w:color="auto"/>
            </w:tcBorders>
          </w:tcPr>
          <w:p>
            <w:pPr>
              <w:spacing w:after="0"/>
              <w:rPr>
                <w:sz w:val="2"/>
                <w:szCs w:val="2"/>
                <w:color w:val="auto"/>
              </w:rPr>
            </w:pPr>
          </w:p>
        </w:tc>
      </w:tr>
      <w:tr>
        <w:trPr>
          <w:trHeight w:val="236"/>
        </w:trPr>
        <w:tc>
          <w:tcPr>
            <w:tcW w:w="676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020" w:type="dxa"/>
            <w:vAlign w:val="bottom"/>
            <w:gridSpan w:val="2"/>
          </w:tcPr>
          <w:p>
            <w:pPr>
              <w:ind w:left="260"/>
              <w:spacing w:after="0"/>
              <w:rPr>
                <w:sz w:val="20"/>
                <w:szCs w:val="20"/>
                <w:color w:val="auto"/>
              </w:rPr>
            </w:pPr>
            <w:r>
              <w:rPr>
                <w:rFonts w:ascii="Arial" w:cs="Arial" w:eastAsia="Arial" w:hAnsi="Arial"/>
                <w:sz w:val="18"/>
                <w:szCs w:val="18"/>
                <w:b w:val="1"/>
                <w:bCs w:val="1"/>
                <w:color w:val="auto"/>
              </w:rPr>
              <w:t>June 30, 2018</w:t>
            </w:r>
          </w:p>
        </w:tc>
        <w:tc>
          <w:tcPr>
            <w:tcW w:w="280" w:type="dxa"/>
            <w:vAlign w:val="bottom"/>
          </w:tcPr>
          <w:p>
            <w:pPr>
              <w:spacing w:after="0"/>
              <w:rPr>
                <w:sz w:val="20"/>
                <w:szCs w:val="20"/>
                <w:color w:val="auto"/>
              </w:rPr>
            </w:pPr>
          </w:p>
        </w:tc>
        <w:tc>
          <w:tcPr>
            <w:tcW w:w="2000" w:type="dxa"/>
            <w:vAlign w:val="bottom"/>
          </w:tcPr>
          <w:p>
            <w:pPr>
              <w:jc w:val="right"/>
              <w:ind w:right="330"/>
              <w:spacing w:after="0"/>
              <w:rPr>
                <w:sz w:val="20"/>
                <w:szCs w:val="20"/>
                <w:color w:val="auto"/>
              </w:rPr>
            </w:pPr>
            <w:r>
              <w:rPr>
                <w:rFonts w:ascii="Arial" w:cs="Arial" w:eastAsia="Arial" w:hAnsi="Arial"/>
                <w:sz w:val="18"/>
                <w:szCs w:val="18"/>
                <w:b w:val="1"/>
                <w:bCs w:val="1"/>
                <w:color w:val="auto"/>
                <w:w w:val="96"/>
              </w:rPr>
              <w:t>December 31, 2017</w:t>
            </w:r>
          </w:p>
        </w:tc>
      </w:tr>
      <w:tr>
        <w:trPr>
          <w:trHeight w:val="27"/>
        </w:trPr>
        <w:tc>
          <w:tcPr>
            <w:tcW w:w="676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2000" w:type="dxa"/>
            <w:vAlign w:val="bottom"/>
            <w:tcBorders>
              <w:bottom w:val="single" w:sz="8" w:color="auto"/>
            </w:tcBorders>
          </w:tcPr>
          <w:p>
            <w:pPr>
              <w:spacing w:after="0"/>
              <w:rPr>
                <w:sz w:val="2"/>
                <w:szCs w:val="2"/>
                <w:color w:val="auto"/>
              </w:rPr>
            </w:pPr>
          </w:p>
        </w:tc>
      </w:tr>
      <w:tr>
        <w:trPr>
          <w:trHeight w:val="243"/>
        </w:trPr>
        <w:tc>
          <w:tcPr>
            <w:tcW w:w="67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Assets</w:t>
            </w:r>
          </w:p>
        </w:tc>
        <w:tc>
          <w:tcPr>
            <w:tcW w:w="360" w:type="dxa"/>
            <w:vAlign w:val="bottom"/>
            <w:tcBorders>
              <w:bottom w:val="single" w:sz="8" w:color="CCEEFF"/>
            </w:tcBorders>
            <w:shd w:val="clear" w:color="auto" w:fill="CCEEFF"/>
          </w:tcPr>
          <w:p>
            <w:pPr>
              <w:spacing w:after="0"/>
              <w:rPr>
                <w:sz w:val="21"/>
                <w:szCs w:val="21"/>
                <w:color w:val="auto"/>
              </w:rPr>
            </w:pPr>
          </w:p>
        </w:tc>
        <w:tc>
          <w:tcPr>
            <w:tcW w:w="19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2000" w:type="dxa"/>
            <w:vAlign w:val="bottom"/>
            <w:tcBorders>
              <w:bottom w:val="single" w:sz="8" w:color="CCEEFF"/>
            </w:tcBorders>
            <w:shd w:val="clear" w:color="auto" w:fill="CCEEFF"/>
          </w:tcPr>
          <w:p>
            <w:pPr>
              <w:spacing w:after="0"/>
              <w:rPr>
                <w:sz w:val="21"/>
                <w:szCs w:val="21"/>
                <w:color w:val="auto"/>
              </w:rPr>
            </w:pPr>
          </w:p>
        </w:tc>
      </w:tr>
      <w:tr>
        <w:trPr>
          <w:trHeight w:val="243"/>
        </w:trPr>
        <w:tc>
          <w:tcPr>
            <w:tcW w:w="6760" w:type="dxa"/>
            <w:vAlign w:val="bottom"/>
          </w:tcPr>
          <w:p>
            <w:pPr>
              <w:ind w:left="40"/>
              <w:spacing w:after="0"/>
              <w:rPr>
                <w:sz w:val="20"/>
                <w:szCs w:val="20"/>
                <w:color w:val="auto"/>
              </w:rPr>
            </w:pPr>
            <w:r>
              <w:rPr>
                <w:rFonts w:ascii="Arial" w:cs="Arial" w:eastAsia="Arial" w:hAnsi="Arial"/>
                <w:sz w:val="18"/>
                <w:szCs w:val="18"/>
                <w:color w:val="auto"/>
              </w:rPr>
              <w:t>Current assets:</w:t>
            </w:r>
          </w:p>
        </w:tc>
        <w:tc>
          <w:tcPr>
            <w:tcW w:w="360" w:type="dxa"/>
            <w:vAlign w:val="bottom"/>
          </w:tcPr>
          <w:p>
            <w:pPr>
              <w:spacing w:after="0"/>
              <w:rPr>
                <w:sz w:val="21"/>
                <w:szCs w:val="21"/>
                <w:color w:val="auto"/>
              </w:rPr>
            </w:pPr>
          </w:p>
        </w:tc>
        <w:tc>
          <w:tcPr>
            <w:tcW w:w="19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000" w:type="dxa"/>
            <w:vAlign w:val="bottom"/>
          </w:tcPr>
          <w:p>
            <w:pPr>
              <w:spacing w:after="0"/>
              <w:rPr>
                <w:sz w:val="21"/>
                <w:szCs w:val="21"/>
                <w:color w:val="auto"/>
              </w:rPr>
            </w:pPr>
          </w:p>
        </w:tc>
      </w:tr>
      <w:tr>
        <w:trPr>
          <w:trHeight w:val="27"/>
        </w:trPr>
        <w:tc>
          <w:tcPr>
            <w:tcW w:w="67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2000" w:type="dxa"/>
            <w:vAlign w:val="bottom"/>
          </w:tcPr>
          <w:p>
            <w:pPr>
              <w:spacing w:after="0"/>
              <w:rPr>
                <w:sz w:val="2"/>
                <w:szCs w:val="2"/>
                <w:color w:val="auto"/>
              </w:rPr>
            </w:pPr>
          </w:p>
        </w:tc>
      </w:tr>
      <w:tr>
        <w:trPr>
          <w:trHeight w:val="250"/>
        </w:trPr>
        <w:tc>
          <w:tcPr>
            <w:tcW w:w="67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Cash and cash equivalents</w:t>
            </w:r>
          </w:p>
        </w:tc>
        <w:tc>
          <w:tcPr>
            <w:tcW w:w="36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79"/>
              </w:rPr>
              <w:t>$</w:t>
            </w:r>
          </w:p>
        </w:tc>
        <w:tc>
          <w:tcPr>
            <w:tcW w:w="19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504.1</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2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430.0</w:t>
            </w:r>
          </w:p>
        </w:tc>
      </w:tr>
      <w:tr>
        <w:trPr>
          <w:trHeight w:val="243"/>
        </w:trPr>
        <w:tc>
          <w:tcPr>
            <w:tcW w:w="6760" w:type="dxa"/>
            <w:vAlign w:val="bottom"/>
          </w:tcPr>
          <w:p>
            <w:pPr>
              <w:ind w:left="280"/>
              <w:spacing w:after="0"/>
              <w:rPr>
                <w:sz w:val="20"/>
                <w:szCs w:val="20"/>
                <w:color w:val="auto"/>
              </w:rPr>
            </w:pPr>
            <w:r>
              <w:rPr>
                <w:rFonts w:ascii="Arial" w:cs="Arial" w:eastAsia="Arial" w:hAnsi="Arial"/>
                <w:sz w:val="18"/>
                <w:szCs w:val="18"/>
                <w:color w:val="auto"/>
              </w:rPr>
              <w:t>Short-term investments</w:t>
            </w:r>
          </w:p>
        </w:tc>
        <w:tc>
          <w:tcPr>
            <w:tcW w:w="360" w:type="dxa"/>
            <w:vAlign w:val="bottom"/>
          </w:tcPr>
          <w:p>
            <w:pPr>
              <w:spacing w:after="0"/>
              <w:rPr>
                <w:sz w:val="21"/>
                <w:szCs w:val="21"/>
                <w:color w:val="auto"/>
              </w:rPr>
            </w:pPr>
          </w:p>
        </w:tc>
        <w:tc>
          <w:tcPr>
            <w:tcW w:w="1920" w:type="dxa"/>
            <w:vAlign w:val="bottom"/>
          </w:tcPr>
          <w:p>
            <w:pPr>
              <w:jc w:val="right"/>
              <w:ind w:right="30"/>
              <w:spacing w:after="0"/>
              <w:rPr>
                <w:sz w:val="20"/>
                <w:szCs w:val="20"/>
                <w:color w:val="auto"/>
              </w:rPr>
            </w:pPr>
            <w:r>
              <w:rPr>
                <w:rFonts w:ascii="Arial" w:cs="Arial" w:eastAsia="Arial" w:hAnsi="Arial"/>
                <w:sz w:val="18"/>
                <w:szCs w:val="18"/>
                <w:color w:val="auto"/>
              </w:rPr>
              <w:t>477.7</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00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67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2000" w:type="dxa"/>
            <w:vAlign w:val="bottom"/>
          </w:tcPr>
          <w:p>
            <w:pPr>
              <w:spacing w:after="0"/>
              <w:rPr>
                <w:sz w:val="2"/>
                <w:szCs w:val="2"/>
                <w:color w:val="auto"/>
              </w:rPr>
            </w:pPr>
          </w:p>
        </w:tc>
      </w:tr>
      <w:tr>
        <w:trPr>
          <w:trHeight w:val="250"/>
        </w:trPr>
        <w:tc>
          <w:tcPr>
            <w:tcW w:w="67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Trade and other receivables, net</w:t>
            </w:r>
          </w:p>
        </w:tc>
        <w:tc>
          <w:tcPr>
            <w:tcW w:w="360" w:type="dxa"/>
            <w:vAlign w:val="bottom"/>
            <w:tcBorders>
              <w:bottom w:val="single" w:sz="8" w:color="CCEEFF"/>
            </w:tcBorders>
            <w:shd w:val="clear" w:color="auto" w:fill="CCEEFF"/>
          </w:tcPr>
          <w:p>
            <w:pPr>
              <w:spacing w:after="0"/>
              <w:rPr>
                <w:sz w:val="21"/>
                <w:szCs w:val="21"/>
                <w:color w:val="auto"/>
              </w:rPr>
            </w:pPr>
          </w:p>
        </w:tc>
        <w:tc>
          <w:tcPr>
            <w:tcW w:w="19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31.2</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2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29.3</w:t>
            </w:r>
          </w:p>
        </w:tc>
      </w:tr>
      <w:tr>
        <w:trPr>
          <w:trHeight w:val="243"/>
        </w:trPr>
        <w:tc>
          <w:tcPr>
            <w:tcW w:w="6760" w:type="dxa"/>
            <w:vAlign w:val="bottom"/>
          </w:tcPr>
          <w:p>
            <w:pPr>
              <w:ind w:left="280"/>
              <w:spacing w:after="0"/>
              <w:rPr>
                <w:sz w:val="20"/>
                <w:szCs w:val="20"/>
                <w:color w:val="auto"/>
              </w:rPr>
            </w:pPr>
            <w:r>
              <w:rPr>
                <w:rFonts w:ascii="Arial" w:cs="Arial" w:eastAsia="Arial" w:hAnsi="Arial"/>
                <w:sz w:val="18"/>
                <w:szCs w:val="18"/>
                <w:color w:val="auto"/>
              </w:rPr>
              <w:t>Prepaid expenses and other current assets</w:t>
            </w:r>
          </w:p>
        </w:tc>
        <w:tc>
          <w:tcPr>
            <w:tcW w:w="360" w:type="dxa"/>
            <w:vAlign w:val="bottom"/>
          </w:tcPr>
          <w:p>
            <w:pPr>
              <w:spacing w:after="0"/>
              <w:rPr>
                <w:sz w:val="21"/>
                <w:szCs w:val="21"/>
                <w:color w:val="auto"/>
              </w:rPr>
            </w:pPr>
          </w:p>
        </w:tc>
        <w:tc>
          <w:tcPr>
            <w:tcW w:w="1920" w:type="dxa"/>
            <w:vAlign w:val="bottom"/>
          </w:tcPr>
          <w:p>
            <w:pPr>
              <w:jc w:val="right"/>
              <w:ind w:right="30"/>
              <w:spacing w:after="0"/>
              <w:rPr>
                <w:sz w:val="20"/>
                <w:szCs w:val="20"/>
                <w:color w:val="auto"/>
              </w:rPr>
            </w:pPr>
            <w:r>
              <w:rPr>
                <w:rFonts w:ascii="Arial" w:cs="Arial" w:eastAsia="Arial" w:hAnsi="Arial"/>
                <w:sz w:val="18"/>
                <w:szCs w:val="18"/>
                <w:color w:val="auto"/>
              </w:rPr>
              <w:t>86.8</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000" w:type="dxa"/>
            <w:vAlign w:val="bottom"/>
          </w:tcPr>
          <w:p>
            <w:pPr>
              <w:jc w:val="right"/>
              <w:ind w:right="10"/>
              <w:spacing w:after="0"/>
              <w:rPr>
                <w:sz w:val="20"/>
                <w:szCs w:val="20"/>
                <w:color w:val="auto"/>
              </w:rPr>
            </w:pPr>
            <w:r>
              <w:rPr>
                <w:rFonts w:ascii="Arial" w:cs="Arial" w:eastAsia="Arial" w:hAnsi="Arial"/>
                <w:sz w:val="18"/>
                <w:szCs w:val="18"/>
                <w:color w:val="auto"/>
              </w:rPr>
              <w:t>58.8</w:t>
            </w:r>
          </w:p>
        </w:tc>
      </w:tr>
      <w:tr>
        <w:trPr>
          <w:trHeight w:val="27"/>
        </w:trPr>
        <w:tc>
          <w:tcPr>
            <w:tcW w:w="676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2000" w:type="dxa"/>
            <w:vAlign w:val="bottom"/>
            <w:tcBorders>
              <w:bottom w:val="single" w:sz="8" w:color="auto"/>
            </w:tcBorders>
          </w:tcPr>
          <w:p>
            <w:pPr>
              <w:spacing w:after="0"/>
              <w:rPr>
                <w:sz w:val="2"/>
                <w:szCs w:val="2"/>
                <w:color w:val="auto"/>
              </w:rPr>
            </w:pPr>
          </w:p>
        </w:tc>
      </w:tr>
      <w:tr>
        <w:trPr>
          <w:trHeight w:val="243"/>
        </w:trPr>
        <w:tc>
          <w:tcPr>
            <w:tcW w:w="67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current assets</w:t>
            </w:r>
          </w:p>
        </w:tc>
        <w:tc>
          <w:tcPr>
            <w:tcW w:w="360" w:type="dxa"/>
            <w:vAlign w:val="bottom"/>
            <w:tcBorders>
              <w:bottom w:val="single" w:sz="8" w:color="CCEEFF"/>
            </w:tcBorders>
            <w:shd w:val="clear" w:color="auto" w:fill="CCEEFF"/>
          </w:tcPr>
          <w:p>
            <w:pPr>
              <w:spacing w:after="0"/>
              <w:rPr>
                <w:sz w:val="21"/>
                <w:szCs w:val="21"/>
                <w:color w:val="auto"/>
              </w:rPr>
            </w:pPr>
          </w:p>
        </w:tc>
        <w:tc>
          <w:tcPr>
            <w:tcW w:w="19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1,099.8</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2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518.1</w:t>
            </w:r>
          </w:p>
        </w:tc>
      </w:tr>
      <w:tr>
        <w:trPr>
          <w:trHeight w:val="243"/>
        </w:trPr>
        <w:tc>
          <w:tcPr>
            <w:tcW w:w="6760" w:type="dxa"/>
            <w:vAlign w:val="bottom"/>
          </w:tcPr>
          <w:p>
            <w:pPr>
              <w:ind w:left="40"/>
              <w:spacing w:after="0"/>
              <w:rPr>
                <w:sz w:val="20"/>
                <w:szCs w:val="20"/>
                <w:color w:val="auto"/>
              </w:rPr>
            </w:pPr>
            <w:r>
              <w:rPr>
                <w:rFonts w:ascii="Arial" w:cs="Arial" w:eastAsia="Arial" w:hAnsi="Arial"/>
                <w:sz w:val="18"/>
                <w:szCs w:val="18"/>
                <w:color w:val="auto"/>
              </w:rPr>
              <w:t>Property and equipment, net</w:t>
            </w:r>
          </w:p>
        </w:tc>
        <w:tc>
          <w:tcPr>
            <w:tcW w:w="360" w:type="dxa"/>
            <w:vAlign w:val="bottom"/>
          </w:tcPr>
          <w:p>
            <w:pPr>
              <w:spacing w:after="0"/>
              <w:rPr>
                <w:sz w:val="21"/>
                <w:szCs w:val="21"/>
                <w:color w:val="auto"/>
              </w:rPr>
            </w:pPr>
          </w:p>
        </w:tc>
        <w:tc>
          <w:tcPr>
            <w:tcW w:w="1920" w:type="dxa"/>
            <w:vAlign w:val="bottom"/>
          </w:tcPr>
          <w:p>
            <w:pPr>
              <w:jc w:val="right"/>
              <w:ind w:right="30"/>
              <w:spacing w:after="0"/>
              <w:rPr>
                <w:sz w:val="20"/>
                <w:szCs w:val="20"/>
                <w:color w:val="auto"/>
              </w:rPr>
            </w:pPr>
            <w:r>
              <w:rPr>
                <w:rFonts w:ascii="Arial" w:cs="Arial" w:eastAsia="Arial" w:hAnsi="Arial"/>
                <w:sz w:val="18"/>
                <w:szCs w:val="18"/>
                <w:color w:val="auto"/>
              </w:rPr>
              <w:t>330.8</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000" w:type="dxa"/>
            <w:vAlign w:val="bottom"/>
          </w:tcPr>
          <w:p>
            <w:pPr>
              <w:jc w:val="right"/>
              <w:ind w:right="10"/>
              <w:spacing w:after="0"/>
              <w:rPr>
                <w:sz w:val="20"/>
                <w:szCs w:val="20"/>
                <w:color w:val="auto"/>
              </w:rPr>
            </w:pPr>
            <w:r>
              <w:rPr>
                <w:rFonts w:ascii="Arial" w:cs="Arial" w:eastAsia="Arial" w:hAnsi="Arial"/>
                <w:sz w:val="18"/>
                <w:szCs w:val="18"/>
                <w:color w:val="auto"/>
              </w:rPr>
              <w:t>341.9</w:t>
            </w:r>
          </w:p>
        </w:tc>
      </w:tr>
      <w:tr>
        <w:trPr>
          <w:trHeight w:val="27"/>
        </w:trPr>
        <w:tc>
          <w:tcPr>
            <w:tcW w:w="67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2000" w:type="dxa"/>
            <w:vAlign w:val="bottom"/>
          </w:tcPr>
          <w:p>
            <w:pPr>
              <w:spacing w:after="0"/>
              <w:rPr>
                <w:sz w:val="2"/>
                <w:szCs w:val="2"/>
                <w:color w:val="auto"/>
              </w:rPr>
            </w:pPr>
          </w:p>
        </w:tc>
      </w:tr>
      <w:tr>
        <w:trPr>
          <w:trHeight w:val="250"/>
        </w:trPr>
        <w:tc>
          <w:tcPr>
            <w:tcW w:w="67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Intangible assets, net</w:t>
            </w:r>
          </w:p>
        </w:tc>
        <w:tc>
          <w:tcPr>
            <w:tcW w:w="360" w:type="dxa"/>
            <w:vAlign w:val="bottom"/>
            <w:tcBorders>
              <w:bottom w:val="single" w:sz="8" w:color="CCEEFF"/>
            </w:tcBorders>
            <w:shd w:val="clear" w:color="auto" w:fill="CCEEFF"/>
          </w:tcPr>
          <w:p>
            <w:pPr>
              <w:spacing w:after="0"/>
              <w:rPr>
                <w:sz w:val="21"/>
                <w:szCs w:val="21"/>
                <w:color w:val="auto"/>
              </w:rPr>
            </w:pPr>
          </w:p>
        </w:tc>
        <w:tc>
          <w:tcPr>
            <w:tcW w:w="19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16.3</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2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17.0</w:t>
            </w:r>
          </w:p>
        </w:tc>
      </w:tr>
      <w:tr>
        <w:trPr>
          <w:trHeight w:val="243"/>
        </w:trPr>
        <w:tc>
          <w:tcPr>
            <w:tcW w:w="6760" w:type="dxa"/>
            <w:vAlign w:val="bottom"/>
          </w:tcPr>
          <w:p>
            <w:pPr>
              <w:ind w:left="40"/>
              <w:spacing w:after="0"/>
              <w:rPr>
                <w:sz w:val="20"/>
                <w:szCs w:val="20"/>
                <w:color w:val="auto"/>
              </w:rPr>
            </w:pPr>
            <w:r>
              <w:rPr>
                <w:rFonts w:ascii="Arial" w:cs="Arial" w:eastAsia="Arial" w:hAnsi="Arial"/>
                <w:sz w:val="18"/>
                <w:szCs w:val="18"/>
                <w:color w:val="auto"/>
              </w:rPr>
              <w:t>Goodwill</w:t>
            </w:r>
          </w:p>
        </w:tc>
        <w:tc>
          <w:tcPr>
            <w:tcW w:w="360" w:type="dxa"/>
            <w:vAlign w:val="bottom"/>
          </w:tcPr>
          <w:p>
            <w:pPr>
              <w:spacing w:after="0"/>
              <w:rPr>
                <w:sz w:val="21"/>
                <w:szCs w:val="21"/>
                <w:color w:val="auto"/>
              </w:rPr>
            </w:pPr>
          </w:p>
        </w:tc>
        <w:tc>
          <w:tcPr>
            <w:tcW w:w="1920" w:type="dxa"/>
            <w:vAlign w:val="bottom"/>
          </w:tcPr>
          <w:p>
            <w:pPr>
              <w:jc w:val="right"/>
              <w:ind w:right="30"/>
              <w:spacing w:after="0"/>
              <w:rPr>
                <w:sz w:val="20"/>
                <w:szCs w:val="20"/>
                <w:color w:val="auto"/>
              </w:rPr>
            </w:pPr>
            <w:r>
              <w:rPr>
                <w:rFonts w:ascii="Arial" w:cs="Arial" w:eastAsia="Arial" w:hAnsi="Arial"/>
                <w:sz w:val="18"/>
                <w:szCs w:val="18"/>
                <w:color w:val="auto"/>
              </w:rPr>
              <w:t>97.8</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000" w:type="dxa"/>
            <w:vAlign w:val="bottom"/>
          </w:tcPr>
          <w:p>
            <w:pPr>
              <w:jc w:val="right"/>
              <w:ind w:right="10"/>
              <w:spacing w:after="0"/>
              <w:rPr>
                <w:sz w:val="20"/>
                <w:szCs w:val="20"/>
                <w:color w:val="auto"/>
              </w:rPr>
            </w:pPr>
            <w:r>
              <w:rPr>
                <w:rFonts w:ascii="Arial" w:cs="Arial" w:eastAsia="Arial" w:hAnsi="Arial"/>
                <w:sz w:val="18"/>
                <w:szCs w:val="18"/>
                <w:color w:val="auto"/>
              </w:rPr>
              <w:t>98.9</w:t>
            </w:r>
          </w:p>
        </w:tc>
      </w:tr>
      <w:tr>
        <w:trPr>
          <w:trHeight w:val="27"/>
        </w:trPr>
        <w:tc>
          <w:tcPr>
            <w:tcW w:w="67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2000" w:type="dxa"/>
            <w:vAlign w:val="bottom"/>
          </w:tcPr>
          <w:p>
            <w:pPr>
              <w:spacing w:after="0"/>
              <w:rPr>
                <w:sz w:val="2"/>
                <w:szCs w:val="2"/>
                <w:color w:val="auto"/>
              </w:rPr>
            </w:pPr>
          </w:p>
        </w:tc>
      </w:tr>
      <w:tr>
        <w:trPr>
          <w:trHeight w:val="270"/>
        </w:trPr>
        <w:tc>
          <w:tcPr>
            <w:tcW w:w="67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assets</w:t>
            </w:r>
          </w:p>
        </w:tc>
        <w:tc>
          <w:tcPr>
            <w:tcW w:w="360" w:type="dxa"/>
            <w:vAlign w:val="bottom"/>
            <w:tcBorders>
              <w:bottom w:val="single" w:sz="8" w:color="CCEEFF"/>
            </w:tcBorders>
            <w:shd w:val="clear" w:color="auto" w:fill="CCEEFF"/>
          </w:tcPr>
          <w:p>
            <w:pPr>
              <w:spacing w:after="0"/>
              <w:rPr>
                <w:sz w:val="23"/>
                <w:szCs w:val="23"/>
                <w:color w:val="auto"/>
              </w:rPr>
            </w:pPr>
          </w:p>
        </w:tc>
        <w:tc>
          <w:tcPr>
            <w:tcW w:w="19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57.7</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2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44.0</w:t>
            </w:r>
          </w:p>
        </w:tc>
      </w:tr>
      <w:tr>
        <w:trPr>
          <w:trHeight w:val="236"/>
        </w:trPr>
        <w:tc>
          <w:tcPr>
            <w:tcW w:w="6760" w:type="dxa"/>
            <w:vAlign w:val="bottom"/>
          </w:tcPr>
          <w:p>
            <w:pPr>
              <w:ind w:left="40"/>
              <w:spacing w:after="0"/>
              <w:rPr>
                <w:sz w:val="20"/>
                <w:szCs w:val="20"/>
                <w:color w:val="auto"/>
              </w:rPr>
            </w:pPr>
            <w:r>
              <w:rPr>
                <w:rFonts w:ascii="Arial" w:cs="Arial" w:eastAsia="Arial" w:hAnsi="Arial"/>
                <w:sz w:val="18"/>
                <w:szCs w:val="18"/>
                <w:color w:val="auto"/>
              </w:rPr>
              <w:t>Total assets</w:t>
            </w:r>
          </w:p>
        </w:tc>
        <w:tc>
          <w:tcPr>
            <w:tcW w:w="360" w:type="dxa"/>
            <w:vAlign w:val="bottom"/>
            <w:tcBorders>
              <w:top w:val="single" w:sz="8" w:color="auto"/>
            </w:tcBorders>
          </w:tcPr>
          <w:p>
            <w:pPr>
              <w:jc w:val="right"/>
              <w:ind w:right="170"/>
              <w:spacing w:after="0"/>
              <w:rPr>
                <w:sz w:val="20"/>
                <w:szCs w:val="20"/>
                <w:color w:val="auto"/>
              </w:rPr>
            </w:pPr>
            <w:r>
              <w:rPr>
                <w:rFonts w:ascii="Arial" w:cs="Arial" w:eastAsia="Arial" w:hAnsi="Arial"/>
                <w:sz w:val="18"/>
                <w:szCs w:val="18"/>
                <w:color w:val="auto"/>
                <w:w w:val="79"/>
              </w:rPr>
              <w:t>$</w:t>
            </w:r>
          </w:p>
        </w:tc>
        <w:tc>
          <w:tcPr>
            <w:tcW w:w="192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1,602.4</w:t>
            </w:r>
          </w:p>
        </w:tc>
        <w:tc>
          <w:tcPr>
            <w:tcW w:w="100" w:type="dxa"/>
            <w:vAlign w:val="bottom"/>
          </w:tcPr>
          <w:p>
            <w:pPr>
              <w:spacing w:after="0"/>
              <w:rPr>
                <w:sz w:val="20"/>
                <w:szCs w:val="20"/>
                <w:color w:val="auto"/>
              </w:rPr>
            </w:pPr>
          </w:p>
        </w:tc>
        <w:tc>
          <w:tcPr>
            <w:tcW w:w="28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20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1,019.9</w:t>
            </w:r>
          </w:p>
        </w:tc>
      </w:tr>
      <w:tr>
        <w:trPr>
          <w:trHeight w:val="67"/>
        </w:trPr>
        <w:tc>
          <w:tcPr>
            <w:tcW w:w="6760" w:type="dxa"/>
            <w:vAlign w:val="bottom"/>
            <w:tcBorders>
              <w:bottom w:val="single" w:sz="8" w:color="CCEEFF"/>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92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2000" w:type="dxa"/>
            <w:vAlign w:val="bottom"/>
            <w:tcBorders>
              <w:bottom w:val="single" w:sz="8" w:color="auto"/>
            </w:tcBorders>
          </w:tcPr>
          <w:p>
            <w:pPr>
              <w:spacing w:after="0"/>
              <w:rPr>
                <w:sz w:val="5"/>
                <w:szCs w:val="5"/>
                <w:color w:val="auto"/>
              </w:rPr>
            </w:pPr>
          </w:p>
        </w:tc>
      </w:tr>
      <w:tr>
        <w:trPr>
          <w:trHeight w:val="230"/>
        </w:trPr>
        <w:tc>
          <w:tcPr>
            <w:tcW w:w="6760" w:type="dxa"/>
            <w:vAlign w:val="bottom"/>
            <w:tcBorders>
              <w:bottom w:val="single" w:sz="8" w:color="CCEEFF"/>
            </w:tcBorders>
            <w:shd w:val="clear" w:color="auto" w:fill="CCEEFF"/>
          </w:tcPr>
          <w:p>
            <w:pPr>
              <w:ind w:left="40"/>
              <w:spacing w:after="0" w:line="196" w:lineRule="exact"/>
              <w:rPr>
                <w:sz w:val="20"/>
                <w:szCs w:val="20"/>
                <w:color w:val="auto"/>
              </w:rPr>
            </w:pPr>
            <w:r>
              <w:rPr>
                <w:rFonts w:ascii="Arial" w:cs="Arial" w:eastAsia="Arial" w:hAnsi="Arial"/>
                <w:sz w:val="18"/>
                <w:szCs w:val="18"/>
                <w:b w:val="1"/>
                <w:bCs w:val="1"/>
                <w:color w:val="auto"/>
              </w:rPr>
              <w:t>Liabilities and stockholders’ equity</w:t>
            </w:r>
          </w:p>
        </w:tc>
        <w:tc>
          <w:tcPr>
            <w:tcW w:w="360" w:type="dxa"/>
            <w:vAlign w:val="bottom"/>
            <w:tcBorders>
              <w:bottom w:val="single" w:sz="8" w:color="CCEEFF"/>
            </w:tcBorders>
            <w:shd w:val="clear" w:color="auto" w:fill="CCEEFF"/>
          </w:tcPr>
          <w:p>
            <w:pPr>
              <w:spacing w:after="0"/>
              <w:rPr>
                <w:sz w:val="20"/>
                <w:szCs w:val="20"/>
                <w:color w:val="auto"/>
              </w:rPr>
            </w:pPr>
          </w:p>
        </w:tc>
        <w:tc>
          <w:tcPr>
            <w:tcW w:w="19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2000" w:type="dxa"/>
            <w:vAlign w:val="bottom"/>
            <w:tcBorders>
              <w:bottom w:val="single" w:sz="8" w:color="CCEEFF"/>
            </w:tcBorders>
            <w:shd w:val="clear" w:color="auto" w:fill="CCEEFF"/>
          </w:tcPr>
          <w:p>
            <w:pPr>
              <w:spacing w:after="0"/>
              <w:rPr>
                <w:sz w:val="20"/>
                <w:szCs w:val="20"/>
                <w:color w:val="auto"/>
              </w:rPr>
            </w:pPr>
          </w:p>
        </w:tc>
      </w:tr>
      <w:tr>
        <w:trPr>
          <w:trHeight w:val="243"/>
        </w:trPr>
        <w:tc>
          <w:tcPr>
            <w:tcW w:w="6760" w:type="dxa"/>
            <w:vAlign w:val="bottom"/>
          </w:tcPr>
          <w:p>
            <w:pPr>
              <w:ind w:left="40"/>
              <w:spacing w:after="0"/>
              <w:rPr>
                <w:sz w:val="20"/>
                <w:szCs w:val="20"/>
                <w:color w:val="auto"/>
              </w:rPr>
            </w:pPr>
            <w:r>
              <w:rPr>
                <w:rFonts w:ascii="Arial" w:cs="Arial" w:eastAsia="Arial" w:hAnsi="Arial"/>
                <w:sz w:val="18"/>
                <w:szCs w:val="18"/>
                <w:color w:val="auto"/>
              </w:rPr>
              <w:t>Current liabilities:</w:t>
            </w:r>
          </w:p>
        </w:tc>
        <w:tc>
          <w:tcPr>
            <w:tcW w:w="360" w:type="dxa"/>
            <w:vAlign w:val="bottom"/>
          </w:tcPr>
          <w:p>
            <w:pPr>
              <w:spacing w:after="0"/>
              <w:rPr>
                <w:sz w:val="21"/>
                <w:szCs w:val="21"/>
                <w:color w:val="auto"/>
              </w:rPr>
            </w:pPr>
          </w:p>
        </w:tc>
        <w:tc>
          <w:tcPr>
            <w:tcW w:w="19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000" w:type="dxa"/>
            <w:vAlign w:val="bottom"/>
          </w:tcPr>
          <w:p>
            <w:pPr>
              <w:spacing w:after="0"/>
              <w:rPr>
                <w:sz w:val="21"/>
                <w:szCs w:val="21"/>
                <w:color w:val="auto"/>
              </w:rPr>
            </w:pPr>
          </w:p>
        </w:tc>
      </w:tr>
      <w:tr>
        <w:trPr>
          <w:trHeight w:val="27"/>
        </w:trPr>
        <w:tc>
          <w:tcPr>
            <w:tcW w:w="67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2000" w:type="dxa"/>
            <w:vAlign w:val="bottom"/>
          </w:tcPr>
          <w:p>
            <w:pPr>
              <w:spacing w:after="0"/>
              <w:rPr>
                <w:sz w:val="2"/>
                <w:szCs w:val="2"/>
                <w:color w:val="auto"/>
              </w:rPr>
            </w:pPr>
          </w:p>
        </w:tc>
      </w:tr>
      <w:tr>
        <w:trPr>
          <w:trHeight w:val="250"/>
        </w:trPr>
        <w:tc>
          <w:tcPr>
            <w:tcW w:w="67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Accounts payable</w:t>
            </w:r>
          </w:p>
        </w:tc>
        <w:tc>
          <w:tcPr>
            <w:tcW w:w="36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79"/>
              </w:rPr>
              <w:t>$</w:t>
            </w:r>
          </w:p>
        </w:tc>
        <w:tc>
          <w:tcPr>
            <w:tcW w:w="19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24.0</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2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31.9</w:t>
            </w:r>
          </w:p>
        </w:tc>
      </w:tr>
      <w:tr>
        <w:trPr>
          <w:trHeight w:val="243"/>
        </w:trPr>
        <w:tc>
          <w:tcPr>
            <w:tcW w:w="6760" w:type="dxa"/>
            <w:vAlign w:val="bottom"/>
          </w:tcPr>
          <w:p>
            <w:pPr>
              <w:ind w:left="280"/>
              <w:spacing w:after="0"/>
              <w:rPr>
                <w:sz w:val="20"/>
                <w:szCs w:val="20"/>
                <w:color w:val="auto"/>
              </w:rPr>
            </w:pPr>
            <w:r>
              <w:rPr>
                <w:rFonts w:ascii="Arial" w:cs="Arial" w:eastAsia="Arial" w:hAnsi="Arial"/>
                <w:sz w:val="18"/>
                <w:szCs w:val="18"/>
                <w:color w:val="auto"/>
              </w:rPr>
              <w:t>Accrued and other current liabilities</w:t>
            </w:r>
          </w:p>
        </w:tc>
        <w:tc>
          <w:tcPr>
            <w:tcW w:w="360" w:type="dxa"/>
            <w:vAlign w:val="bottom"/>
          </w:tcPr>
          <w:p>
            <w:pPr>
              <w:spacing w:after="0"/>
              <w:rPr>
                <w:sz w:val="21"/>
                <w:szCs w:val="21"/>
                <w:color w:val="auto"/>
              </w:rPr>
            </w:pPr>
          </w:p>
        </w:tc>
        <w:tc>
          <w:tcPr>
            <w:tcW w:w="1920" w:type="dxa"/>
            <w:vAlign w:val="bottom"/>
          </w:tcPr>
          <w:p>
            <w:pPr>
              <w:jc w:val="right"/>
              <w:ind w:right="30"/>
              <w:spacing w:after="0"/>
              <w:rPr>
                <w:sz w:val="20"/>
                <w:szCs w:val="20"/>
                <w:color w:val="auto"/>
              </w:rPr>
            </w:pPr>
            <w:r>
              <w:rPr>
                <w:rFonts w:ascii="Arial" w:cs="Arial" w:eastAsia="Arial" w:hAnsi="Arial"/>
                <w:sz w:val="18"/>
                <w:szCs w:val="18"/>
                <w:color w:val="auto"/>
              </w:rPr>
              <w:t>172.3</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000" w:type="dxa"/>
            <w:vAlign w:val="bottom"/>
          </w:tcPr>
          <w:p>
            <w:pPr>
              <w:jc w:val="right"/>
              <w:ind w:right="10"/>
              <w:spacing w:after="0"/>
              <w:rPr>
                <w:sz w:val="20"/>
                <w:szCs w:val="20"/>
                <w:color w:val="auto"/>
              </w:rPr>
            </w:pPr>
            <w:r>
              <w:rPr>
                <w:rFonts w:ascii="Arial" w:cs="Arial" w:eastAsia="Arial" w:hAnsi="Arial"/>
                <w:sz w:val="18"/>
                <w:szCs w:val="18"/>
                <w:color w:val="auto"/>
              </w:rPr>
              <w:t>129.8</w:t>
            </w:r>
          </w:p>
        </w:tc>
      </w:tr>
      <w:tr>
        <w:trPr>
          <w:trHeight w:val="27"/>
        </w:trPr>
        <w:tc>
          <w:tcPr>
            <w:tcW w:w="67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2000" w:type="dxa"/>
            <w:vAlign w:val="bottom"/>
          </w:tcPr>
          <w:p>
            <w:pPr>
              <w:spacing w:after="0"/>
              <w:rPr>
                <w:sz w:val="2"/>
                <w:szCs w:val="2"/>
                <w:color w:val="auto"/>
              </w:rPr>
            </w:pPr>
          </w:p>
        </w:tc>
      </w:tr>
      <w:tr>
        <w:trPr>
          <w:trHeight w:val="250"/>
        </w:trPr>
        <w:tc>
          <w:tcPr>
            <w:tcW w:w="67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Accrued compensation and benefits</w:t>
            </w:r>
          </w:p>
        </w:tc>
        <w:tc>
          <w:tcPr>
            <w:tcW w:w="360" w:type="dxa"/>
            <w:vAlign w:val="bottom"/>
            <w:tcBorders>
              <w:bottom w:val="single" w:sz="8" w:color="CCEEFF"/>
            </w:tcBorders>
            <w:shd w:val="clear" w:color="auto" w:fill="CCEEFF"/>
          </w:tcPr>
          <w:p>
            <w:pPr>
              <w:spacing w:after="0"/>
              <w:rPr>
                <w:sz w:val="21"/>
                <w:szCs w:val="21"/>
                <w:color w:val="auto"/>
              </w:rPr>
            </w:pPr>
          </w:p>
        </w:tc>
        <w:tc>
          <w:tcPr>
            <w:tcW w:w="19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45.1</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2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56.1</w:t>
            </w:r>
          </w:p>
        </w:tc>
      </w:tr>
      <w:tr>
        <w:trPr>
          <w:trHeight w:val="243"/>
        </w:trPr>
        <w:tc>
          <w:tcPr>
            <w:tcW w:w="6760" w:type="dxa"/>
            <w:vAlign w:val="bottom"/>
          </w:tcPr>
          <w:p>
            <w:pPr>
              <w:ind w:left="280"/>
              <w:spacing w:after="0"/>
              <w:rPr>
                <w:sz w:val="20"/>
                <w:szCs w:val="20"/>
                <w:color w:val="auto"/>
              </w:rPr>
            </w:pPr>
            <w:r>
              <w:rPr>
                <w:rFonts w:ascii="Arial" w:cs="Arial" w:eastAsia="Arial" w:hAnsi="Arial"/>
                <w:sz w:val="18"/>
                <w:szCs w:val="18"/>
                <w:color w:val="auto"/>
              </w:rPr>
              <w:t>Capital lease obligation</w:t>
            </w:r>
          </w:p>
        </w:tc>
        <w:tc>
          <w:tcPr>
            <w:tcW w:w="360" w:type="dxa"/>
            <w:vAlign w:val="bottom"/>
          </w:tcPr>
          <w:p>
            <w:pPr>
              <w:spacing w:after="0"/>
              <w:rPr>
                <w:sz w:val="21"/>
                <w:szCs w:val="21"/>
                <w:color w:val="auto"/>
              </w:rPr>
            </w:pPr>
          </w:p>
        </w:tc>
        <w:tc>
          <w:tcPr>
            <w:tcW w:w="1920" w:type="dxa"/>
            <w:vAlign w:val="bottom"/>
          </w:tcPr>
          <w:p>
            <w:pPr>
              <w:jc w:val="right"/>
              <w:ind w:right="30"/>
              <w:spacing w:after="0"/>
              <w:rPr>
                <w:sz w:val="20"/>
                <w:szCs w:val="20"/>
                <w:color w:val="auto"/>
              </w:rPr>
            </w:pPr>
            <w:r>
              <w:rPr>
                <w:rFonts w:ascii="Arial" w:cs="Arial" w:eastAsia="Arial" w:hAnsi="Arial"/>
                <w:sz w:val="18"/>
                <w:szCs w:val="18"/>
                <w:color w:val="auto"/>
              </w:rPr>
              <w:t>87.1</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000" w:type="dxa"/>
            <w:vAlign w:val="bottom"/>
          </w:tcPr>
          <w:p>
            <w:pPr>
              <w:jc w:val="right"/>
              <w:ind w:right="10"/>
              <w:spacing w:after="0"/>
              <w:rPr>
                <w:sz w:val="20"/>
                <w:szCs w:val="20"/>
                <w:color w:val="auto"/>
              </w:rPr>
            </w:pPr>
            <w:r>
              <w:rPr>
                <w:rFonts w:ascii="Arial" w:cs="Arial" w:eastAsia="Arial" w:hAnsi="Arial"/>
                <w:sz w:val="18"/>
                <w:szCs w:val="18"/>
                <w:color w:val="auto"/>
              </w:rPr>
              <w:t>102.7</w:t>
            </w:r>
          </w:p>
        </w:tc>
      </w:tr>
      <w:tr>
        <w:trPr>
          <w:trHeight w:val="27"/>
        </w:trPr>
        <w:tc>
          <w:tcPr>
            <w:tcW w:w="67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2000" w:type="dxa"/>
            <w:vAlign w:val="bottom"/>
          </w:tcPr>
          <w:p>
            <w:pPr>
              <w:spacing w:after="0"/>
              <w:rPr>
                <w:sz w:val="2"/>
                <w:szCs w:val="2"/>
                <w:color w:val="auto"/>
              </w:rPr>
            </w:pPr>
          </w:p>
        </w:tc>
      </w:tr>
      <w:tr>
        <w:trPr>
          <w:trHeight w:val="270"/>
        </w:trPr>
        <w:tc>
          <w:tcPr>
            <w:tcW w:w="67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Deferred revenue</w:t>
            </w:r>
          </w:p>
        </w:tc>
        <w:tc>
          <w:tcPr>
            <w:tcW w:w="360" w:type="dxa"/>
            <w:vAlign w:val="bottom"/>
            <w:tcBorders>
              <w:bottom w:val="single" w:sz="8" w:color="CCEEFF"/>
            </w:tcBorders>
            <w:shd w:val="clear" w:color="auto" w:fill="CCEEFF"/>
          </w:tcPr>
          <w:p>
            <w:pPr>
              <w:spacing w:after="0"/>
              <w:rPr>
                <w:sz w:val="23"/>
                <w:szCs w:val="23"/>
                <w:color w:val="auto"/>
              </w:rPr>
            </w:pPr>
          </w:p>
        </w:tc>
        <w:tc>
          <w:tcPr>
            <w:tcW w:w="19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464.8</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2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417.9</w:t>
            </w:r>
          </w:p>
        </w:tc>
      </w:tr>
      <w:tr>
        <w:trPr>
          <w:trHeight w:val="236"/>
        </w:trPr>
        <w:tc>
          <w:tcPr>
            <w:tcW w:w="6760" w:type="dxa"/>
            <w:vAlign w:val="bottom"/>
          </w:tcPr>
          <w:p>
            <w:pPr>
              <w:ind w:left="40"/>
              <w:spacing w:after="0"/>
              <w:rPr>
                <w:sz w:val="20"/>
                <w:szCs w:val="20"/>
                <w:color w:val="auto"/>
              </w:rPr>
            </w:pPr>
            <w:r>
              <w:rPr>
                <w:rFonts w:ascii="Arial" w:cs="Arial" w:eastAsia="Arial" w:hAnsi="Arial"/>
                <w:sz w:val="18"/>
                <w:szCs w:val="18"/>
                <w:color w:val="auto"/>
              </w:rPr>
              <w:t>Total current liabilities</w:t>
            </w:r>
          </w:p>
        </w:tc>
        <w:tc>
          <w:tcPr>
            <w:tcW w:w="360" w:type="dxa"/>
            <w:vAlign w:val="bottom"/>
            <w:tcBorders>
              <w:top w:val="single" w:sz="8" w:color="auto"/>
            </w:tcBorders>
          </w:tcPr>
          <w:p>
            <w:pPr>
              <w:spacing w:after="0"/>
              <w:rPr>
                <w:sz w:val="20"/>
                <w:szCs w:val="20"/>
                <w:color w:val="auto"/>
              </w:rPr>
            </w:pPr>
          </w:p>
        </w:tc>
        <w:tc>
          <w:tcPr>
            <w:tcW w:w="192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793.3</w:t>
            </w:r>
          </w:p>
        </w:tc>
        <w:tc>
          <w:tcPr>
            <w:tcW w:w="10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20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738.4</w:t>
            </w:r>
          </w:p>
        </w:tc>
      </w:tr>
      <w:tr>
        <w:trPr>
          <w:trHeight w:val="27"/>
        </w:trPr>
        <w:tc>
          <w:tcPr>
            <w:tcW w:w="67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2000" w:type="dxa"/>
            <w:vAlign w:val="bottom"/>
          </w:tcPr>
          <w:p>
            <w:pPr>
              <w:spacing w:after="0"/>
              <w:rPr>
                <w:sz w:val="2"/>
                <w:szCs w:val="2"/>
                <w:color w:val="auto"/>
              </w:rPr>
            </w:pPr>
          </w:p>
        </w:tc>
      </w:tr>
      <w:tr>
        <w:trPr>
          <w:trHeight w:val="250"/>
        </w:trPr>
        <w:tc>
          <w:tcPr>
            <w:tcW w:w="67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Capital lease obligation, non-current</w:t>
            </w:r>
          </w:p>
        </w:tc>
        <w:tc>
          <w:tcPr>
            <w:tcW w:w="360" w:type="dxa"/>
            <w:vAlign w:val="bottom"/>
            <w:tcBorders>
              <w:bottom w:val="single" w:sz="8" w:color="CCEEFF"/>
            </w:tcBorders>
            <w:shd w:val="clear" w:color="auto" w:fill="CCEEFF"/>
          </w:tcPr>
          <w:p>
            <w:pPr>
              <w:spacing w:after="0"/>
              <w:rPr>
                <w:sz w:val="21"/>
                <w:szCs w:val="21"/>
                <w:color w:val="auto"/>
              </w:rPr>
            </w:pPr>
          </w:p>
        </w:tc>
        <w:tc>
          <w:tcPr>
            <w:tcW w:w="19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73.1</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2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71.6</w:t>
            </w:r>
          </w:p>
        </w:tc>
      </w:tr>
      <w:tr>
        <w:trPr>
          <w:trHeight w:val="243"/>
        </w:trPr>
        <w:tc>
          <w:tcPr>
            <w:tcW w:w="6760" w:type="dxa"/>
            <w:vAlign w:val="bottom"/>
          </w:tcPr>
          <w:p>
            <w:pPr>
              <w:ind w:left="40"/>
              <w:spacing w:after="0"/>
              <w:rPr>
                <w:sz w:val="20"/>
                <w:szCs w:val="20"/>
                <w:color w:val="auto"/>
              </w:rPr>
            </w:pPr>
            <w:r>
              <w:rPr>
                <w:rFonts w:ascii="Arial" w:cs="Arial" w:eastAsia="Arial" w:hAnsi="Arial"/>
                <w:sz w:val="18"/>
                <w:szCs w:val="18"/>
                <w:color w:val="auto"/>
              </w:rPr>
              <w:t>Deferred rent, non-current</w:t>
            </w:r>
          </w:p>
        </w:tc>
        <w:tc>
          <w:tcPr>
            <w:tcW w:w="360" w:type="dxa"/>
            <w:vAlign w:val="bottom"/>
          </w:tcPr>
          <w:p>
            <w:pPr>
              <w:spacing w:after="0"/>
              <w:rPr>
                <w:sz w:val="21"/>
                <w:szCs w:val="21"/>
                <w:color w:val="auto"/>
              </w:rPr>
            </w:pPr>
          </w:p>
        </w:tc>
        <w:tc>
          <w:tcPr>
            <w:tcW w:w="1920" w:type="dxa"/>
            <w:vAlign w:val="bottom"/>
          </w:tcPr>
          <w:p>
            <w:pPr>
              <w:jc w:val="right"/>
              <w:ind w:right="30"/>
              <w:spacing w:after="0"/>
              <w:rPr>
                <w:sz w:val="20"/>
                <w:szCs w:val="20"/>
                <w:color w:val="auto"/>
              </w:rPr>
            </w:pPr>
            <w:r>
              <w:rPr>
                <w:rFonts w:ascii="Arial" w:cs="Arial" w:eastAsia="Arial" w:hAnsi="Arial"/>
                <w:sz w:val="18"/>
                <w:szCs w:val="18"/>
                <w:color w:val="auto"/>
              </w:rPr>
              <w:t>73.6</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000" w:type="dxa"/>
            <w:vAlign w:val="bottom"/>
          </w:tcPr>
          <w:p>
            <w:pPr>
              <w:jc w:val="right"/>
              <w:ind w:right="10"/>
              <w:spacing w:after="0"/>
              <w:rPr>
                <w:sz w:val="20"/>
                <w:szCs w:val="20"/>
                <w:color w:val="auto"/>
              </w:rPr>
            </w:pPr>
            <w:r>
              <w:rPr>
                <w:rFonts w:ascii="Arial" w:cs="Arial" w:eastAsia="Arial" w:hAnsi="Arial"/>
                <w:sz w:val="18"/>
                <w:szCs w:val="18"/>
                <w:color w:val="auto"/>
              </w:rPr>
              <w:t>69.8</w:t>
            </w:r>
          </w:p>
        </w:tc>
      </w:tr>
      <w:tr>
        <w:trPr>
          <w:trHeight w:val="27"/>
        </w:trPr>
        <w:tc>
          <w:tcPr>
            <w:tcW w:w="67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2000" w:type="dxa"/>
            <w:vAlign w:val="bottom"/>
          </w:tcPr>
          <w:p>
            <w:pPr>
              <w:spacing w:after="0"/>
              <w:rPr>
                <w:sz w:val="2"/>
                <w:szCs w:val="2"/>
                <w:color w:val="auto"/>
              </w:rPr>
            </w:pPr>
          </w:p>
        </w:tc>
      </w:tr>
      <w:tr>
        <w:trPr>
          <w:trHeight w:val="270"/>
        </w:trPr>
        <w:tc>
          <w:tcPr>
            <w:tcW w:w="67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non-current liabilities</w:t>
            </w:r>
          </w:p>
        </w:tc>
        <w:tc>
          <w:tcPr>
            <w:tcW w:w="360" w:type="dxa"/>
            <w:vAlign w:val="bottom"/>
            <w:tcBorders>
              <w:bottom w:val="single" w:sz="8" w:color="CCEEFF"/>
            </w:tcBorders>
            <w:shd w:val="clear" w:color="auto" w:fill="CCEEFF"/>
          </w:tcPr>
          <w:p>
            <w:pPr>
              <w:spacing w:after="0"/>
              <w:rPr>
                <w:sz w:val="23"/>
                <w:szCs w:val="23"/>
                <w:color w:val="auto"/>
              </w:rPr>
            </w:pPr>
          </w:p>
        </w:tc>
        <w:tc>
          <w:tcPr>
            <w:tcW w:w="19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31.5</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2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37.2</w:t>
            </w:r>
          </w:p>
        </w:tc>
      </w:tr>
      <w:tr>
        <w:trPr>
          <w:trHeight w:val="236"/>
        </w:trPr>
        <w:tc>
          <w:tcPr>
            <w:tcW w:w="6760" w:type="dxa"/>
            <w:vAlign w:val="bottom"/>
          </w:tcPr>
          <w:p>
            <w:pPr>
              <w:ind w:left="40"/>
              <w:spacing w:after="0"/>
              <w:rPr>
                <w:sz w:val="20"/>
                <w:szCs w:val="20"/>
                <w:color w:val="auto"/>
              </w:rPr>
            </w:pPr>
            <w:r>
              <w:rPr>
                <w:rFonts w:ascii="Arial" w:cs="Arial" w:eastAsia="Arial" w:hAnsi="Arial"/>
                <w:sz w:val="18"/>
                <w:szCs w:val="18"/>
                <w:color w:val="auto"/>
              </w:rPr>
              <w:t>Total liabilities</w:t>
            </w:r>
          </w:p>
        </w:tc>
        <w:tc>
          <w:tcPr>
            <w:tcW w:w="360" w:type="dxa"/>
            <w:vAlign w:val="bottom"/>
            <w:tcBorders>
              <w:top w:val="single" w:sz="8" w:color="auto"/>
            </w:tcBorders>
          </w:tcPr>
          <w:p>
            <w:pPr>
              <w:spacing w:after="0"/>
              <w:rPr>
                <w:sz w:val="20"/>
                <w:szCs w:val="20"/>
                <w:color w:val="auto"/>
              </w:rPr>
            </w:pPr>
          </w:p>
        </w:tc>
        <w:tc>
          <w:tcPr>
            <w:tcW w:w="192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971.5</w:t>
            </w:r>
          </w:p>
        </w:tc>
        <w:tc>
          <w:tcPr>
            <w:tcW w:w="10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20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917.0</w:t>
            </w:r>
          </w:p>
        </w:tc>
      </w:tr>
      <w:tr>
        <w:trPr>
          <w:trHeight w:val="27"/>
        </w:trPr>
        <w:tc>
          <w:tcPr>
            <w:tcW w:w="676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2000" w:type="dxa"/>
            <w:vAlign w:val="bottom"/>
            <w:tcBorders>
              <w:bottom w:val="single" w:sz="8" w:color="auto"/>
            </w:tcBorders>
          </w:tcPr>
          <w:p>
            <w:pPr>
              <w:spacing w:after="0"/>
              <w:rPr>
                <w:sz w:val="2"/>
                <w:szCs w:val="2"/>
                <w:color w:val="auto"/>
              </w:rPr>
            </w:pPr>
          </w:p>
        </w:tc>
      </w:tr>
      <w:tr>
        <w:trPr>
          <w:trHeight w:val="243"/>
        </w:trPr>
        <w:tc>
          <w:tcPr>
            <w:tcW w:w="67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Stockholders’ equity:</w:t>
            </w:r>
          </w:p>
        </w:tc>
        <w:tc>
          <w:tcPr>
            <w:tcW w:w="360" w:type="dxa"/>
            <w:vAlign w:val="bottom"/>
            <w:tcBorders>
              <w:bottom w:val="single" w:sz="8" w:color="CCEEFF"/>
            </w:tcBorders>
            <w:shd w:val="clear" w:color="auto" w:fill="CCEEFF"/>
          </w:tcPr>
          <w:p>
            <w:pPr>
              <w:spacing w:after="0"/>
              <w:rPr>
                <w:sz w:val="21"/>
                <w:szCs w:val="21"/>
                <w:color w:val="auto"/>
              </w:rPr>
            </w:pPr>
          </w:p>
        </w:tc>
        <w:tc>
          <w:tcPr>
            <w:tcW w:w="19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2000" w:type="dxa"/>
            <w:vAlign w:val="bottom"/>
            <w:tcBorders>
              <w:bottom w:val="single" w:sz="8" w:color="CCEEFF"/>
            </w:tcBorders>
            <w:shd w:val="clear" w:color="auto" w:fill="CCEEFF"/>
          </w:tcPr>
          <w:p>
            <w:pPr>
              <w:spacing w:after="0"/>
              <w:rPr>
                <w:sz w:val="21"/>
                <w:szCs w:val="21"/>
                <w:color w:val="auto"/>
              </w:rPr>
            </w:pPr>
          </w:p>
        </w:tc>
      </w:tr>
      <w:tr>
        <w:trPr>
          <w:trHeight w:val="243"/>
        </w:trPr>
        <w:tc>
          <w:tcPr>
            <w:tcW w:w="6760" w:type="dxa"/>
            <w:vAlign w:val="bottom"/>
          </w:tcPr>
          <w:p>
            <w:pPr>
              <w:ind w:left="280"/>
              <w:spacing w:after="0"/>
              <w:rPr>
                <w:sz w:val="20"/>
                <w:szCs w:val="20"/>
                <w:color w:val="auto"/>
              </w:rPr>
            </w:pPr>
            <w:r>
              <w:rPr>
                <w:rFonts w:ascii="Arial" w:cs="Arial" w:eastAsia="Arial" w:hAnsi="Arial"/>
                <w:sz w:val="18"/>
                <w:szCs w:val="18"/>
                <w:color w:val="auto"/>
              </w:rPr>
              <w:t>Convertible preferred stock</w:t>
            </w:r>
          </w:p>
        </w:tc>
        <w:tc>
          <w:tcPr>
            <w:tcW w:w="360" w:type="dxa"/>
            <w:vAlign w:val="bottom"/>
          </w:tcPr>
          <w:p>
            <w:pPr>
              <w:spacing w:after="0"/>
              <w:rPr>
                <w:sz w:val="21"/>
                <w:szCs w:val="21"/>
                <w:color w:val="auto"/>
              </w:rPr>
            </w:pPr>
          </w:p>
        </w:tc>
        <w:tc>
          <w:tcPr>
            <w:tcW w:w="20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1"/>
                <w:szCs w:val="21"/>
                <w:color w:val="auto"/>
              </w:rPr>
            </w:pPr>
          </w:p>
        </w:tc>
        <w:tc>
          <w:tcPr>
            <w:tcW w:w="2000" w:type="dxa"/>
            <w:vAlign w:val="bottom"/>
          </w:tcPr>
          <w:p>
            <w:pPr>
              <w:jc w:val="right"/>
              <w:ind w:right="10"/>
              <w:spacing w:after="0"/>
              <w:rPr>
                <w:sz w:val="20"/>
                <w:szCs w:val="20"/>
                <w:color w:val="auto"/>
              </w:rPr>
            </w:pPr>
            <w:r>
              <w:rPr>
                <w:rFonts w:ascii="Arial" w:cs="Arial" w:eastAsia="Arial" w:hAnsi="Arial"/>
                <w:sz w:val="18"/>
                <w:szCs w:val="18"/>
                <w:color w:val="auto"/>
              </w:rPr>
              <w:t>615.3</w:t>
            </w:r>
          </w:p>
        </w:tc>
      </w:tr>
      <w:tr>
        <w:trPr>
          <w:trHeight w:val="27"/>
        </w:trPr>
        <w:tc>
          <w:tcPr>
            <w:tcW w:w="67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2000" w:type="dxa"/>
            <w:vAlign w:val="bottom"/>
          </w:tcPr>
          <w:p>
            <w:pPr>
              <w:spacing w:after="0"/>
              <w:rPr>
                <w:sz w:val="2"/>
                <w:szCs w:val="2"/>
                <w:color w:val="auto"/>
              </w:rPr>
            </w:pPr>
          </w:p>
        </w:tc>
      </w:tr>
      <w:tr>
        <w:trPr>
          <w:trHeight w:val="250"/>
        </w:trPr>
        <w:tc>
          <w:tcPr>
            <w:tcW w:w="67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Preferred stock</w:t>
            </w:r>
          </w:p>
        </w:tc>
        <w:tc>
          <w:tcPr>
            <w:tcW w:w="360" w:type="dxa"/>
            <w:vAlign w:val="bottom"/>
            <w:tcBorders>
              <w:bottom w:val="single" w:sz="8" w:color="CCEEFF"/>
            </w:tcBorders>
            <w:shd w:val="clear" w:color="auto" w:fill="CCEEFF"/>
          </w:tcPr>
          <w:p>
            <w:pPr>
              <w:spacing w:after="0"/>
              <w:rPr>
                <w:sz w:val="21"/>
                <w:szCs w:val="21"/>
                <w:color w:val="auto"/>
              </w:rPr>
            </w:pPr>
          </w:p>
        </w:tc>
        <w:tc>
          <w:tcPr>
            <w:tcW w:w="20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2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6760" w:type="dxa"/>
            <w:vAlign w:val="bottom"/>
          </w:tcPr>
          <w:p>
            <w:pPr>
              <w:ind w:left="280"/>
              <w:spacing w:after="0"/>
              <w:rPr>
                <w:sz w:val="20"/>
                <w:szCs w:val="20"/>
                <w:color w:val="auto"/>
              </w:rPr>
            </w:pPr>
            <w:r>
              <w:rPr>
                <w:rFonts w:ascii="Arial" w:cs="Arial" w:eastAsia="Arial" w:hAnsi="Arial"/>
                <w:sz w:val="18"/>
                <w:szCs w:val="18"/>
                <w:color w:val="auto"/>
              </w:rPr>
              <w:t>Common stock</w:t>
            </w:r>
          </w:p>
        </w:tc>
        <w:tc>
          <w:tcPr>
            <w:tcW w:w="360" w:type="dxa"/>
            <w:vAlign w:val="bottom"/>
          </w:tcPr>
          <w:p>
            <w:pPr>
              <w:spacing w:after="0"/>
              <w:rPr>
                <w:sz w:val="21"/>
                <w:szCs w:val="21"/>
                <w:color w:val="auto"/>
              </w:rPr>
            </w:pPr>
          </w:p>
        </w:tc>
        <w:tc>
          <w:tcPr>
            <w:tcW w:w="20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1"/>
                <w:szCs w:val="21"/>
                <w:color w:val="auto"/>
              </w:rPr>
            </w:pPr>
          </w:p>
        </w:tc>
        <w:tc>
          <w:tcPr>
            <w:tcW w:w="200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67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2000" w:type="dxa"/>
            <w:vAlign w:val="bottom"/>
          </w:tcPr>
          <w:p>
            <w:pPr>
              <w:spacing w:after="0"/>
              <w:rPr>
                <w:sz w:val="2"/>
                <w:szCs w:val="2"/>
                <w:color w:val="auto"/>
              </w:rPr>
            </w:pPr>
          </w:p>
        </w:tc>
      </w:tr>
      <w:tr>
        <w:trPr>
          <w:trHeight w:val="250"/>
        </w:trPr>
        <w:tc>
          <w:tcPr>
            <w:tcW w:w="67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Additional paid-in capital</w:t>
            </w:r>
          </w:p>
        </w:tc>
        <w:tc>
          <w:tcPr>
            <w:tcW w:w="360" w:type="dxa"/>
            <w:vAlign w:val="bottom"/>
            <w:tcBorders>
              <w:bottom w:val="single" w:sz="8" w:color="CCEEFF"/>
            </w:tcBorders>
            <w:shd w:val="clear" w:color="auto" w:fill="CCEEFF"/>
          </w:tcPr>
          <w:p>
            <w:pPr>
              <w:spacing w:after="0"/>
              <w:rPr>
                <w:sz w:val="21"/>
                <w:szCs w:val="21"/>
                <w:color w:val="auto"/>
              </w:rPr>
            </w:pPr>
          </w:p>
        </w:tc>
        <w:tc>
          <w:tcPr>
            <w:tcW w:w="19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2,248.4</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2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533.1</w:t>
            </w:r>
          </w:p>
        </w:tc>
      </w:tr>
      <w:tr>
        <w:trPr>
          <w:trHeight w:val="243"/>
        </w:trPr>
        <w:tc>
          <w:tcPr>
            <w:tcW w:w="6760" w:type="dxa"/>
            <w:vAlign w:val="bottom"/>
          </w:tcPr>
          <w:p>
            <w:pPr>
              <w:ind w:left="280"/>
              <w:spacing w:after="0"/>
              <w:rPr>
                <w:sz w:val="20"/>
                <w:szCs w:val="20"/>
                <w:color w:val="auto"/>
              </w:rPr>
            </w:pPr>
            <w:r>
              <w:rPr>
                <w:rFonts w:ascii="Arial" w:cs="Arial" w:eastAsia="Arial" w:hAnsi="Arial"/>
                <w:sz w:val="18"/>
                <w:szCs w:val="18"/>
                <w:color w:val="auto"/>
              </w:rPr>
              <w:t>Accumulated deficit</w:t>
            </w:r>
          </w:p>
        </w:tc>
        <w:tc>
          <w:tcPr>
            <w:tcW w:w="360" w:type="dxa"/>
            <w:vAlign w:val="bottom"/>
          </w:tcPr>
          <w:p>
            <w:pPr>
              <w:spacing w:after="0"/>
              <w:rPr>
                <w:sz w:val="21"/>
                <w:szCs w:val="21"/>
                <w:color w:val="auto"/>
              </w:rPr>
            </w:pPr>
          </w:p>
        </w:tc>
        <w:tc>
          <w:tcPr>
            <w:tcW w:w="1920" w:type="dxa"/>
            <w:vAlign w:val="bottom"/>
          </w:tcPr>
          <w:p>
            <w:pPr>
              <w:jc w:val="right"/>
              <w:spacing w:after="0"/>
              <w:rPr>
                <w:sz w:val="20"/>
                <w:szCs w:val="20"/>
                <w:color w:val="auto"/>
              </w:rPr>
            </w:pPr>
            <w:r>
              <w:rPr>
                <w:rFonts w:ascii="Arial" w:cs="Arial" w:eastAsia="Arial" w:hAnsi="Arial"/>
                <w:sz w:val="18"/>
                <w:szCs w:val="18"/>
                <w:color w:val="auto"/>
              </w:rPr>
              <w:t>(1,619.4)</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000" w:type="dxa"/>
            <w:vAlign w:val="bottom"/>
          </w:tcPr>
          <w:p>
            <w:pPr>
              <w:jc w:val="right"/>
              <w:spacing w:after="0"/>
              <w:rPr>
                <w:sz w:val="20"/>
                <w:szCs w:val="20"/>
                <w:color w:val="auto"/>
              </w:rPr>
            </w:pPr>
            <w:r>
              <w:rPr>
                <w:rFonts w:ascii="Arial" w:cs="Arial" w:eastAsia="Arial" w:hAnsi="Arial"/>
                <w:sz w:val="18"/>
                <w:szCs w:val="18"/>
                <w:color w:val="auto"/>
              </w:rPr>
              <w:t>(1,049.7)</w:t>
            </w:r>
          </w:p>
        </w:tc>
      </w:tr>
      <w:tr>
        <w:trPr>
          <w:trHeight w:val="27"/>
        </w:trPr>
        <w:tc>
          <w:tcPr>
            <w:tcW w:w="67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2000" w:type="dxa"/>
            <w:vAlign w:val="bottom"/>
          </w:tcPr>
          <w:p>
            <w:pPr>
              <w:spacing w:after="0"/>
              <w:rPr>
                <w:sz w:val="2"/>
                <w:szCs w:val="2"/>
                <w:color w:val="auto"/>
              </w:rPr>
            </w:pPr>
          </w:p>
        </w:tc>
      </w:tr>
      <w:tr>
        <w:trPr>
          <w:trHeight w:val="270"/>
        </w:trPr>
        <w:tc>
          <w:tcPr>
            <w:tcW w:w="67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Accumulated other comprehensive income</w:t>
            </w:r>
          </w:p>
        </w:tc>
        <w:tc>
          <w:tcPr>
            <w:tcW w:w="360" w:type="dxa"/>
            <w:vAlign w:val="bottom"/>
            <w:tcBorders>
              <w:bottom w:val="single" w:sz="8" w:color="CCEEFF"/>
            </w:tcBorders>
            <w:shd w:val="clear" w:color="auto" w:fill="CCEEFF"/>
          </w:tcPr>
          <w:p>
            <w:pPr>
              <w:spacing w:after="0"/>
              <w:rPr>
                <w:sz w:val="23"/>
                <w:szCs w:val="23"/>
                <w:color w:val="auto"/>
              </w:rPr>
            </w:pPr>
          </w:p>
        </w:tc>
        <w:tc>
          <w:tcPr>
            <w:tcW w:w="19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1.9</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2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4.2</w:t>
            </w:r>
          </w:p>
        </w:tc>
      </w:tr>
      <w:tr>
        <w:trPr>
          <w:trHeight w:val="236"/>
        </w:trPr>
        <w:tc>
          <w:tcPr>
            <w:tcW w:w="6760" w:type="dxa"/>
            <w:vAlign w:val="bottom"/>
          </w:tcPr>
          <w:p>
            <w:pPr>
              <w:ind w:left="40"/>
              <w:spacing w:after="0"/>
              <w:rPr>
                <w:sz w:val="20"/>
                <w:szCs w:val="20"/>
                <w:color w:val="auto"/>
              </w:rPr>
            </w:pPr>
            <w:r>
              <w:rPr>
                <w:rFonts w:ascii="Arial" w:cs="Arial" w:eastAsia="Arial" w:hAnsi="Arial"/>
                <w:sz w:val="18"/>
                <w:szCs w:val="18"/>
                <w:color w:val="auto"/>
              </w:rPr>
              <w:t>Total stockholders’ equity</w:t>
            </w:r>
          </w:p>
        </w:tc>
        <w:tc>
          <w:tcPr>
            <w:tcW w:w="360" w:type="dxa"/>
            <w:vAlign w:val="bottom"/>
            <w:tcBorders>
              <w:top w:val="single" w:sz="8" w:color="auto"/>
            </w:tcBorders>
          </w:tcPr>
          <w:p>
            <w:pPr>
              <w:spacing w:after="0"/>
              <w:rPr>
                <w:sz w:val="20"/>
                <w:szCs w:val="20"/>
                <w:color w:val="auto"/>
              </w:rPr>
            </w:pPr>
          </w:p>
        </w:tc>
        <w:tc>
          <w:tcPr>
            <w:tcW w:w="192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630.9</w:t>
            </w:r>
          </w:p>
        </w:tc>
        <w:tc>
          <w:tcPr>
            <w:tcW w:w="10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20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102.9</w:t>
            </w:r>
          </w:p>
        </w:tc>
      </w:tr>
      <w:tr>
        <w:trPr>
          <w:trHeight w:val="27"/>
        </w:trPr>
        <w:tc>
          <w:tcPr>
            <w:tcW w:w="676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2000" w:type="dxa"/>
            <w:vAlign w:val="bottom"/>
            <w:tcBorders>
              <w:bottom w:val="single" w:sz="8" w:color="auto"/>
            </w:tcBorders>
          </w:tcPr>
          <w:p>
            <w:pPr>
              <w:spacing w:after="0"/>
              <w:rPr>
                <w:sz w:val="2"/>
                <w:szCs w:val="2"/>
                <w:color w:val="auto"/>
              </w:rPr>
            </w:pPr>
          </w:p>
        </w:tc>
      </w:tr>
      <w:tr>
        <w:trPr>
          <w:trHeight w:val="268"/>
        </w:trPr>
        <w:tc>
          <w:tcPr>
            <w:tcW w:w="67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Total liabilities and stockholders’ equity</w:t>
            </w:r>
          </w:p>
        </w:tc>
        <w:tc>
          <w:tcPr>
            <w:tcW w:w="36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79"/>
              </w:rPr>
              <w:t>$</w:t>
            </w:r>
          </w:p>
        </w:tc>
        <w:tc>
          <w:tcPr>
            <w:tcW w:w="19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1,602.4</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2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1,019.9</w:t>
            </w:r>
          </w:p>
        </w:tc>
      </w:tr>
      <w:tr>
        <w:trPr>
          <w:trHeight w:val="20"/>
        </w:trPr>
        <w:tc>
          <w:tcPr>
            <w:tcW w:w="676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2000" w:type="dxa"/>
            <w:vAlign w:val="bottom"/>
            <w:tcBorders>
              <w:top w:val="single" w:sz="8" w:color="auto"/>
              <w:bottom w:val="single" w:sz="8" w:color="auto"/>
            </w:tcBorders>
          </w:tcPr>
          <w:p>
            <w:pPr>
              <w:spacing w:after="0" w:line="20" w:lineRule="exact"/>
              <w:rPr>
                <w:sz w:val="1"/>
                <w:szCs w:val="1"/>
                <w:color w:val="auto"/>
              </w:rPr>
            </w:pPr>
          </w:p>
        </w:tc>
      </w:tr>
    </w:tbl>
    <w:p>
      <w:pPr>
        <w:sectPr>
          <w:pgSz w:w="11900" w:h="16838" w:orient="portrait"/>
          <w:cols w:equalWidth="0" w:num="1">
            <w:col w:w="11420"/>
          </w:cols>
          <w:pgMar w:left="240" w:top="584" w:right="239" w:bottom="1440" w:gutter="0" w:footer="0" w:header="0"/>
        </w:sectPr>
      </w:pPr>
    </w:p>
    <w:bookmarkStart w:id="9" w:name="page10"/>
    <w:bookmarkEnd w:id="9"/>
    <w:p>
      <w:pPr>
        <w:jc w:val="center"/>
        <w:spacing w:after="0"/>
        <w:rPr>
          <w:sz w:val="20"/>
          <w:szCs w:val="20"/>
          <w:color w:val="auto"/>
        </w:rPr>
      </w:pPr>
      <w:r>
        <w:rPr>
          <w:rFonts w:ascii="Arial" w:cs="Arial" w:eastAsia="Arial" w:hAnsi="Arial"/>
          <w:sz w:val="22"/>
          <w:szCs w:val="22"/>
          <w:b w:val="1"/>
          <w:bCs w:val="1"/>
          <w:color w:val="auto"/>
        </w:rPr>
        <w:t>Dropbox,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Condensed Consolidated Statements of Cash Flows</w:t>
      </w:r>
    </w:p>
    <w:p>
      <w:pPr>
        <w:ind w:left="5260"/>
        <w:spacing w:after="0"/>
        <w:rPr>
          <w:sz w:val="20"/>
          <w:szCs w:val="20"/>
          <w:color w:val="auto"/>
        </w:rPr>
      </w:pPr>
      <w:r>
        <w:rPr>
          <w:rFonts w:ascii="Arial" w:cs="Arial" w:eastAsia="Arial" w:hAnsi="Arial"/>
          <w:sz w:val="18"/>
          <w:szCs w:val="18"/>
          <w:i w:val="1"/>
          <w:iCs w:val="1"/>
          <w:color w:val="auto"/>
        </w:rPr>
        <w:t>(In millions)</w:t>
      </w:r>
    </w:p>
    <w:p>
      <w:pPr>
        <w:spacing w:after="0" w:line="7" w:lineRule="exact"/>
        <w:rPr>
          <w:sz w:val="20"/>
          <w:szCs w:val="20"/>
          <w:color w:val="auto"/>
        </w:rPr>
      </w:pPr>
    </w:p>
    <w:p>
      <w:pPr>
        <w:ind w:left="5280"/>
        <w:spacing w:after="0"/>
        <w:rPr>
          <w:sz w:val="20"/>
          <w:szCs w:val="20"/>
          <w:color w:val="auto"/>
        </w:rPr>
      </w:pPr>
      <w:r>
        <w:rPr>
          <w:rFonts w:ascii="Arial" w:cs="Arial" w:eastAsia="Arial" w:hAnsi="Arial"/>
          <w:sz w:val="18"/>
          <w:szCs w:val="18"/>
          <w:i w:val="1"/>
          <w:iCs w:val="1"/>
          <w:color w:val="auto"/>
        </w:rPr>
        <w:t>(Unaudited)</w:t>
      </w:r>
    </w:p>
    <w:p>
      <w:pPr>
        <w:spacing w:after="0" w:line="157" w:lineRule="exact"/>
        <w:rPr>
          <w:sz w:val="20"/>
          <w:szCs w:val="20"/>
          <w:color w:val="auto"/>
        </w:rPr>
      </w:pPr>
    </w:p>
    <w:tbl>
      <w:tblPr>
        <w:tblLayout w:type="fixed"/>
        <w:tblInd w:w="0" w:type="dxa"/>
        <w:tblCellMar>
          <w:top w:w="0" w:type="dxa"/>
          <w:left w:w="0" w:type="dxa"/>
          <w:bottom w:w="0" w:type="dxa"/>
          <w:right w:w="0" w:type="dxa"/>
        </w:tblCellMar>
      </w:tblPr>
      <w:tr>
        <w:trPr>
          <w:trHeight w:val="202"/>
        </w:trPr>
        <w:tc>
          <w:tcPr>
            <w:tcW w:w="4680" w:type="dxa"/>
            <w:vAlign w:val="bottom"/>
          </w:tcPr>
          <w:p>
            <w:pPr>
              <w:spacing w:after="0"/>
              <w:rPr>
                <w:sz w:val="17"/>
                <w:szCs w:val="17"/>
                <w:color w:val="auto"/>
              </w:rPr>
            </w:pPr>
          </w:p>
        </w:tc>
        <w:tc>
          <w:tcPr>
            <w:tcW w:w="2820" w:type="dxa"/>
            <w:vAlign w:val="bottom"/>
            <w:gridSpan w:val="4"/>
          </w:tcPr>
          <w:p>
            <w:pPr>
              <w:jc w:val="center"/>
              <w:ind w:left="499"/>
              <w:spacing w:after="0"/>
              <w:rPr>
                <w:sz w:val="20"/>
                <w:szCs w:val="20"/>
                <w:color w:val="auto"/>
              </w:rPr>
            </w:pPr>
            <w:r>
              <w:rPr>
                <w:rFonts w:ascii="Arial" w:cs="Arial" w:eastAsia="Arial" w:hAnsi="Arial"/>
                <w:sz w:val="16"/>
                <w:szCs w:val="16"/>
                <w:b w:val="1"/>
                <w:bCs w:val="1"/>
                <w:color w:val="auto"/>
                <w:w w:val="93"/>
              </w:rPr>
              <w:t>Three Months Ended</w:t>
            </w:r>
          </w:p>
        </w:tc>
        <w:tc>
          <w:tcPr>
            <w:tcW w:w="5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940" w:type="dxa"/>
            <w:vAlign w:val="bottom"/>
            <w:gridSpan w:val="3"/>
          </w:tcPr>
          <w:p>
            <w:pPr>
              <w:jc w:val="center"/>
              <w:ind w:left="539"/>
              <w:spacing w:after="0"/>
              <w:rPr>
                <w:sz w:val="20"/>
                <w:szCs w:val="20"/>
                <w:color w:val="auto"/>
              </w:rPr>
            </w:pPr>
            <w:r>
              <w:rPr>
                <w:rFonts w:ascii="Arial" w:cs="Arial" w:eastAsia="Arial" w:hAnsi="Arial"/>
                <w:sz w:val="16"/>
                <w:szCs w:val="16"/>
                <w:b w:val="1"/>
                <w:bCs w:val="1"/>
                <w:color w:val="auto"/>
                <w:w w:val="92"/>
              </w:rPr>
              <w:t>Six Months Ended</w:t>
            </w:r>
          </w:p>
        </w:tc>
        <w:tc>
          <w:tcPr>
            <w:tcW w:w="960" w:type="dxa"/>
            <w:vAlign w:val="bottom"/>
          </w:tcPr>
          <w:p>
            <w:pPr>
              <w:spacing w:after="0"/>
              <w:rPr>
                <w:sz w:val="17"/>
                <w:szCs w:val="17"/>
                <w:color w:val="auto"/>
              </w:rPr>
            </w:pPr>
          </w:p>
        </w:tc>
      </w:tr>
      <w:tr>
        <w:trPr>
          <w:trHeight w:val="210"/>
        </w:trPr>
        <w:tc>
          <w:tcPr>
            <w:tcW w:w="46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760" w:type="dxa"/>
            <w:vAlign w:val="bottom"/>
            <w:gridSpan w:val="3"/>
          </w:tcPr>
          <w:p>
            <w:pPr>
              <w:jc w:val="center"/>
              <w:ind w:right="399"/>
              <w:spacing w:after="0"/>
              <w:rPr>
                <w:sz w:val="20"/>
                <w:szCs w:val="20"/>
                <w:color w:val="auto"/>
              </w:rPr>
            </w:pPr>
            <w:r>
              <w:rPr>
                <w:rFonts w:ascii="Arial" w:cs="Arial" w:eastAsia="Arial" w:hAnsi="Arial"/>
                <w:sz w:val="16"/>
                <w:szCs w:val="16"/>
                <w:b w:val="1"/>
                <w:bCs w:val="1"/>
                <w:color w:val="auto"/>
                <w:w w:val="87"/>
              </w:rPr>
              <w:t>June 30,</w:t>
            </w:r>
          </w:p>
        </w:tc>
        <w:tc>
          <w:tcPr>
            <w:tcW w:w="5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940" w:type="dxa"/>
            <w:vAlign w:val="bottom"/>
            <w:gridSpan w:val="3"/>
          </w:tcPr>
          <w:p>
            <w:pPr>
              <w:jc w:val="center"/>
              <w:ind w:left="539"/>
              <w:spacing w:after="0"/>
              <w:rPr>
                <w:sz w:val="20"/>
                <w:szCs w:val="20"/>
                <w:color w:val="auto"/>
              </w:rPr>
            </w:pPr>
            <w:r>
              <w:rPr>
                <w:rFonts w:ascii="Arial" w:cs="Arial" w:eastAsia="Arial" w:hAnsi="Arial"/>
                <w:sz w:val="16"/>
                <w:szCs w:val="16"/>
                <w:b w:val="1"/>
                <w:bCs w:val="1"/>
                <w:color w:val="auto"/>
                <w:w w:val="87"/>
              </w:rPr>
              <w:t>June 30,</w:t>
            </w:r>
          </w:p>
        </w:tc>
        <w:tc>
          <w:tcPr>
            <w:tcW w:w="960" w:type="dxa"/>
            <w:vAlign w:val="bottom"/>
          </w:tcPr>
          <w:p>
            <w:pPr>
              <w:spacing w:after="0"/>
              <w:rPr>
                <w:sz w:val="18"/>
                <w:szCs w:val="18"/>
                <w:color w:val="auto"/>
              </w:rPr>
            </w:pPr>
          </w:p>
        </w:tc>
      </w:tr>
      <w:tr>
        <w:trPr>
          <w:trHeight w:val="33"/>
        </w:trPr>
        <w:tc>
          <w:tcPr>
            <w:tcW w:w="4680" w:type="dxa"/>
            <w:vAlign w:val="bottom"/>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30"/>
        </w:trPr>
        <w:tc>
          <w:tcPr>
            <w:tcW w:w="468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6"/>
                <w:szCs w:val="16"/>
                <w:b w:val="1"/>
                <w:bCs w:val="1"/>
                <w:color w:val="auto"/>
              </w:rPr>
              <w:t>2018</w:t>
            </w:r>
          </w:p>
        </w:tc>
        <w:tc>
          <w:tcPr>
            <w:tcW w:w="5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b w:val="1"/>
                <w:bCs w:val="1"/>
                <w:color w:val="auto"/>
              </w:rPr>
              <w:t>2017</w:t>
            </w:r>
          </w:p>
        </w:tc>
        <w:tc>
          <w:tcPr>
            <w:tcW w:w="5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20" w:type="dxa"/>
            <w:vAlign w:val="bottom"/>
          </w:tcPr>
          <w:p>
            <w:pPr>
              <w:jc w:val="right"/>
              <w:ind w:right="559"/>
              <w:spacing w:after="0"/>
              <w:rPr>
                <w:sz w:val="20"/>
                <w:szCs w:val="20"/>
                <w:color w:val="auto"/>
              </w:rPr>
            </w:pPr>
            <w:r>
              <w:rPr>
                <w:rFonts w:ascii="Arial" w:cs="Arial" w:eastAsia="Arial" w:hAnsi="Arial"/>
                <w:sz w:val="16"/>
                <w:szCs w:val="16"/>
                <w:b w:val="1"/>
                <w:bCs w:val="1"/>
                <w:color w:val="auto"/>
              </w:rPr>
              <w:t>2018</w:t>
            </w: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960" w:type="dxa"/>
            <w:vAlign w:val="bottom"/>
          </w:tcPr>
          <w:p>
            <w:pPr>
              <w:jc w:val="right"/>
              <w:ind w:right="539"/>
              <w:spacing w:after="0"/>
              <w:rPr>
                <w:sz w:val="20"/>
                <w:szCs w:val="20"/>
                <w:color w:val="auto"/>
              </w:rPr>
            </w:pPr>
            <w:r>
              <w:rPr>
                <w:rFonts w:ascii="Arial" w:cs="Arial" w:eastAsia="Arial" w:hAnsi="Arial"/>
                <w:sz w:val="16"/>
                <w:szCs w:val="16"/>
                <w:b w:val="1"/>
                <w:bCs w:val="1"/>
                <w:color w:val="auto"/>
                <w:w w:val="89"/>
              </w:rPr>
              <w:t>2017</w:t>
            </w:r>
          </w:p>
        </w:tc>
      </w:tr>
      <w:tr>
        <w:trPr>
          <w:trHeight w:val="33"/>
        </w:trPr>
        <w:tc>
          <w:tcPr>
            <w:tcW w:w="4680" w:type="dxa"/>
            <w:vAlign w:val="bottom"/>
            <w:tcBorders>
              <w:bottom w:val="single" w:sz="8" w:color="CCEEFF"/>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43"/>
        </w:trPr>
        <w:tc>
          <w:tcPr>
            <w:tcW w:w="46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Cash flow from operating activities</w:t>
            </w:r>
          </w:p>
        </w:tc>
        <w:tc>
          <w:tcPr>
            <w:tcW w:w="1060" w:type="dxa"/>
            <w:vAlign w:val="bottom"/>
            <w:tcBorders>
              <w:bottom w:val="single" w:sz="8" w:color="CCEEFF"/>
            </w:tcBorders>
            <w:shd w:val="clear" w:color="auto" w:fill="CCEEFF"/>
          </w:tcPr>
          <w:p>
            <w:pPr>
              <w:spacing w:after="0"/>
              <w:rPr>
                <w:sz w:val="21"/>
                <w:szCs w:val="21"/>
                <w:color w:val="auto"/>
              </w:rPr>
            </w:pPr>
          </w:p>
        </w:tc>
        <w:tc>
          <w:tcPr>
            <w:tcW w:w="5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62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r>
      <w:tr>
        <w:trPr>
          <w:trHeight w:val="237"/>
        </w:trPr>
        <w:tc>
          <w:tcPr>
            <w:tcW w:w="4680" w:type="dxa"/>
            <w:vAlign w:val="bottom"/>
          </w:tcPr>
          <w:p>
            <w:pPr>
              <w:ind w:left="40"/>
              <w:spacing w:after="0"/>
              <w:rPr>
                <w:sz w:val="20"/>
                <w:szCs w:val="20"/>
                <w:color w:val="auto"/>
              </w:rPr>
            </w:pPr>
            <w:r>
              <w:rPr>
                <w:rFonts w:ascii="Arial" w:cs="Arial" w:eastAsia="Arial" w:hAnsi="Arial"/>
                <w:sz w:val="16"/>
                <w:szCs w:val="16"/>
                <w:color w:val="auto"/>
              </w:rPr>
              <w:t>Net loss</w:t>
            </w:r>
          </w:p>
        </w:tc>
        <w:tc>
          <w:tcPr>
            <w:tcW w:w="1060" w:type="dxa"/>
            <w:vAlign w:val="bottom"/>
          </w:tcPr>
          <w:p>
            <w:pPr>
              <w:jc w:val="right"/>
              <w:ind w:right="859"/>
              <w:spacing w:after="0"/>
              <w:rPr>
                <w:sz w:val="20"/>
                <w:szCs w:val="20"/>
                <w:color w:val="auto"/>
              </w:rPr>
            </w:pPr>
            <w:r>
              <w:rPr>
                <w:rFonts w:ascii="Arial" w:cs="Arial" w:eastAsia="Arial" w:hAnsi="Arial"/>
                <w:sz w:val="16"/>
                <w:szCs w:val="16"/>
                <w:color w:val="auto"/>
              </w:rPr>
              <w:t>$</w:t>
            </w:r>
          </w:p>
        </w:tc>
        <w:tc>
          <w:tcPr>
            <w:tcW w:w="560" w:type="dxa"/>
            <w:vAlign w:val="bottom"/>
          </w:tcPr>
          <w:p>
            <w:pPr>
              <w:jc w:val="right"/>
              <w:spacing w:after="0"/>
              <w:rPr>
                <w:sz w:val="20"/>
                <w:szCs w:val="20"/>
                <w:color w:val="auto"/>
              </w:rPr>
            </w:pPr>
            <w:r>
              <w:rPr>
                <w:rFonts w:ascii="Arial" w:cs="Arial" w:eastAsia="Arial" w:hAnsi="Arial"/>
                <w:sz w:val="16"/>
                <w:szCs w:val="16"/>
                <w:color w:val="auto"/>
              </w:rPr>
              <w:t>(4.1)</w:t>
            </w:r>
          </w:p>
        </w:tc>
        <w:tc>
          <w:tcPr>
            <w:tcW w:w="120" w:type="dxa"/>
            <w:vAlign w:val="bottom"/>
          </w:tcPr>
          <w:p>
            <w:pPr>
              <w:spacing w:after="0"/>
              <w:rPr>
                <w:sz w:val="20"/>
                <w:szCs w:val="20"/>
                <w:color w:val="auto"/>
              </w:rPr>
            </w:pPr>
          </w:p>
        </w:tc>
        <w:tc>
          <w:tcPr>
            <w:tcW w:w="1080" w:type="dxa"/>
            <w:vAlign w:val="bottom"/>
          </w:tcPr>
          <w:p>
            <w:pPr>
              <w:jc w:val="right"/>
              <w:ind w:right="879"/>
              <w:spacing w:after="0"/>
              <w:rPr>
                <w:sz w:val="20"/>
                <w:szCs w:val="20"/>
                <w:color w:val="auto"/>
              </w:rPr>
            </w:pPr>
            <w:r>
              <w:rPr>
                <w:rFonts w:ascii="Arial" w:cs="Arial" w:eastAsia="Arial" w:hAnsi="Arial"/>
                <w:sz w:val="16"/>
                <w:szCs w:val="16"/>
                <w:color w:val="auto"/>
              </w:rPr>
              <w:t>$</w:t>
            </w:r>
          </w:p>
        </w:tc>
        <w:tc>
          <w:tcPr>
            <w:tcW w:w="540" w:type="dxa"/>
            <w:vAlign w:val="bottom"/>
          </w:tcPr>
          <w:p>
            <w:pPr>
              <w:jc w:val="right"/>
              <w:spacing w:after="0"/>
              <w:rPr>
                <w:sz w:val="20"/>
                <w:szCs w:val="20"/>
                <w:color w:val="auto"/>
              </w:rPr>
            </w:pPr>
            <w:r>
              <w:rPr>
                <w:rFonts w:ascii="Arial" w:cs="Arial" w:eastAsia="Arial" w:hAnsi="Arial"/>
                <w:sz w:val="16"/>
                <w:szCs w:val="16"/>
                <w:color w:val="auto"/>
              </w:rPr>
              <w:t>(26.8)</w:t>
            </w:r>
          </w:p>
        </w:tc>
        <w:tc>
          <w:tcPr>
            <w:tcW w:w="120" w:type="dxa"/>
            <w:vAlign w:val="bottom"/>
          </w:tcPr>
          <w:p>
            <w:pPr>
              <w:spacing w:after="0"/>
              <w:rPr>
                <w:sz w:val="20"/>
                <w:szCs w:val="20"/>
                <w:color w:val="auto"/>
              </w:rPr>
            </w:pPr>
          </w:p>
        </w:tc>
        <w:tc>
          <w:tcPr>
            <w:tcW w:w="360" w:type="dxa"/>
            <w:vAlign w:val="bottom"/>
          </w:tcPr>
          <w:p>
            <w:pPr>
              <w:jc w:val="right"/>
              <w:ind w:right="179"/>
              <w:spacing w:after="0"/>
              <w:rPr>
                <w:sz w:val="20"/>
                <w:szCs w:val="20"/>
                <w:color w:val="auto"/>
              </w:rPr>
            </w:pPr>
            <w:r>
              <w:rPr>
                <w:rFonts w:ascii="Arial" w:cs="Arial" w:eastAsia="Arial" w:hAnsi="Arial"/>
                <w:sz w:val="16"/>
                <w:szCs w:val="16"/>
                <w:color w:val="auto"/>
                <w:w w:val="89"/>
              </w:rPr>
              <w:t>$</w:t>
            </w:r>
          </w:p>
        </w:tc>
        <w:tc>
          <w:tcPr>
            <w:tcW w:w="1220" w:type="dxa"/>
            <w:vAlign w:val="bottom"/>
          </w:tcPr>
          <w:p>
            <w:pPr>
              <w:jc w:val="right"/>
              <w:spacing w:after="0"/>
              <w:rPr>
                <w:sz w:val="20"/>
                <w:szCs w:val="20"/>
                <w:color w:val="auto"/>
              </w:rPr>
            </w:pPr>
            <w:r>
              <w:rPr>
                <w:rFonts w:ascii="Arial" w:cs="Arial" w:eastAsia="Arial" w:hAnsi="Arial"/>
                <w:sz w:val="16"/>
                <w:szCs w:val="16"/>
                <w:color w:val="auto"/>
              </w:rPr>
              <w:t>(469.6)</w:t>
            </w:r>
          </w:p>
        </w:tc>
        <w:tc>
          <w:tcPr>
            <w:tcW w:w="100" w:type="dxa"/>
            <w:vAlign w:val="bottom"/>
          </w:tcPr>
          <w:p>
            <w:pPr>
              <w:spacing w:after="0"/>
              <w:rPr>
                <w:sz w:val="20"/>
                <w:szCs w:val="20"/>
                <w:color w:val="auto"/>
              </w:rPr>
            </w:pPr>
          </w:p>
        </w:tc>
        <w:tc>
          <w:tcPr>
            <w:tcW w:w="620" w:type="dxa"/>
            <w:vAlign w:val="bottom"/>
          </w:tcPr>
          <w:p>
            <w:pPr>
              <w:jc w:val="right"/>
              <w:ind w:right="439"/>
              <w:spacing w:after="0"/>
              <w:rPr>
                <w:sz w:val="20"/>
                <w:szCs w:val="20"/>
                <w:color w:val="auto"/>
              </w:rPr>
            </w:pPr>
            <w:r>
              <w:rPr>
                <w:rFonts w:ascii="Arial" w:cs="Arial" w:eastAsia="Arial" w:hAnsi="Arial"/>
                <w:sz w:val="16"/>
                <w:szCs w:val="16"/>
                <w:color w:val="auto"/>
                <w:w w:val="89"/>
              </w:rPr>
              <w:t>$</w:t>
            </w:r>
          </w:p>
        </w:tc>
        <w:tc>
          <w:tcPr>
            <w:tcW w:w="960" w:type="dxa"/>
            <w:vAlign w:val="bottom"/>
          </w:tcPr>
          <w:p>
            <w:pPr>
              <w:jc w:val="right"/>
              <w:spacing w:after="0"/>
              <w:rPr>
                <w:sz w:val="20"/>
                <w:szCs w:val="20"/>
                <w:color w:val="auto"/>
              </w:rPr>
            </w:pPr>
            <w:r>
              <w:rPr>
                <w:rFonts w:ascii="Arial" w:cs="Arial" w:eastAsia="Arial" w:hAnsi="Arial"/>
                <w:sz w:val="16"/>
                <w:szCs w:val="16"/>
                <w:color w:val="auto"/>
              </w:rPr>
              <w:t>(59.9)</w:t>
            </w:r>
          </w:p>
        </w:tc>
      </w:tr>
      <w:tr>
        <w:trPr>
          <w:trHeight w:val="33"/>
        </w:trPr>
        <w:tc>
          <w:tcPr>
            <w:tcW w:w="46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5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19"/>
        </w:trPr>
        <w:tc>
          <w:tcPr>
            <w:tcW w:w="4680" w:type="dxa"/>
            <w:vAlign w:val="bottom"/>
            <w:shd w:val="clear" w:color="auto" w:fill="CCEEFF"/>
          </w:tcPr>
          <w:p>
            <w:pPr>
              <w:ind w:left="40"/>
              <w:spacing w:after="0"/>
              <w:rPr>
                <w:sz w:val="20"/>
                <w:szCs w:val="20"/>
                <w:color w:val="auto"/>
              </w:rPr>
            </w:pPr>
            <w:r>
              <w:rPr>
                <w:rFonts w:ascii="Arial" w:cs="Arial" w:eastAsia="Arial" w:hAnsi="Arial"/>
                <w:sz w:val="16"/>
                <w:szCs w:val="16"/>
                <w:color w:val="auto"/>
                <w:w w:val="97"/>
              </w:rPr>
              <w:t>Adjustments to reconcile net loss to net cash provided by operating</w:t>
            </w:r>
          </w:p>
        </w:tc>
        <w:tc>
          <w:tcPr>
            <w:tcW w:w="106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5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62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r>
      <w:tr>
        <w:trPr>
          <w:trHeight w:val="219"/>
        </w:trPr>
        <w:tc>
          <w:tcPr>
            <w:tcW w:w="46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activities:</w:t>
            </w:r>
          </w:p>
        </w:tc>
        <w:tc>
          <w:tcPr>
            <w:tcW w:w="1060" w:type="dxa"/>
            <w:vAlign w:val="bottom"/>
            <w:tcBorders>
              <w:bottom w:val="single" w:sz="8" w:color="CCEEFF"/>
            </w:tcBorders>
            <w:shd w:val="clear" w:color="auto" w:fill="CCEEFF"/>
          </w:tcPr>
          <w:p>
            <w:pPr>
              <w:spacing w:after="0"/>
              <w:rPr>
                <w:sz w:val="19"/>
                <w:szCs w:val="19"/>
                <w:color w:val="auto"/>
              </w:rPr>
            </w:pPr>
          </w:p>
        </w:tc>
        <w:tc>
          <w:tcPr>
            <w:tcW w:w="56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CCEEFF"/>
            </w:tcBorders>
            <w:shd w:val="clear" w:color="auto" w:fill="CCEEFF"/>
          </w:tcPr>
          <w:p>
            <w:pPr>
              <w:spacing w:after="0"/>
              <w:rPr>
                <w:sz w:val="19"/>
                <w:szCs w:val="19"/>
                <w:color w:val="auto"/>
              </w:rPr>
            </w:pPr>
          </w:p>
        </w:tc>
        <w:tc>
          <w:tcPr>
            <w:tcW w:w="1080" w:type="dxa"/>
            <w:vAlign w:val="bottom"/>
            <w:tcBorders>
              <w:bottom w:val="single" w:sz="8" w:color="CCEEFF"/>
            </w:tcBorders>
            <w:shd w:val="clear" w:color="auto" w:fill="CCEEFF"/>
          </w:tcPr>
          <w:p>
            <w:pPr>
              <w:spacing w:after="0"/>
              <w:rPr>
                <w:sz w:val="19"/>
                <w:szCs w:val="19"/>
                <w:color w:val="auto"/>
              </w:rPr>
            </w:pPr>
          </w:p>
        </w:tc>
        <w:tc>
          <w:tcPr>
            <w:tcW w:w="54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CCEEFF"/>
            </w:tcBorders>
            <w:shd w:val="clear" w:color="auto" w:fill="CCEEFF"/>
          </w:tcPr>
          <w:p>
            <w:pPr>
              <w:spacing w:after="0"/>
              <w:rPr>
                <w:sz w:val="19"/>
                <w:szCs w:val="19"/>
                <w:color w:val="auto"/>
              </w:rPr>
            </w:pPr>
          </w:p>
        </w:tc>
        <w:tc>
          <w:tcPr>
            <w:tcW w:w="360" w:type="dxa"/>
            <w:vAlign w:val="bottom"/>
            <w:tcBorders>
              <w:bottom w:val="single" w:sz="8" w:color="CCEEFF"/>
            </w:tcBorders>
            <w:shd w:val="clear" w:color="auto" w:fill="CCEEFF"/>
          </w:tcPr>
          <w:p>
            <w:pPr>
              <w:spacing w:after="0"/>
              <w:rPr>
                <w:sz w:val="19"/>
                <w:szCs w:val="19"/>
                <w:color w:val="auto"/>
              </w:rPr>
            </w:pPr>
          </w:p>
        </w:tc>
        <w:tc>
          <w:tcPr>
            <w:tcW w:w="122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620" w:type="dxa"/>
            <w:vAlign w:val="bottom"/>
            <w:tcBorders>
              <w:bottom w:val="single" w:sz="8" w:color="CCEEFF"/>
            </w:tcBorders>
            <w:shd w:val="clear" w:color="auto" w:fill="CCEEFF"/>
          </w:tcPr>
          <w:p>
            <w:pPr>
              <w:spacing w:after="0"/>
              <w:rPr>
                <w:sz w:val="19"/>
                <w:szCs w:val="19"/>
                <w:color w:val="auto"/>
              </w:rPr>
            </w:pPr>
          </w:p>
        </w:tc>
        <w:tc>
          <w:tcPr>
            <w:tcW w:w="960" w:type="dxa"/>
            <w:vAlign w:val="bottom"/>
            <w:tcBorders>
              <w:bottom w:val="single" w:sz="8" w:color="CCEEFF"/>
            </w:tcBorders>
            <w:shd w:val="clear" w:color="auto" w:fill="CCEEFF"/>
          </w:tcPr>
          <w:p>
            <w:pPr>
              <w:spacing w:after="0"/>
              <w:rPr>
                <w:sz w:val="19"/>
                <w:szCs w:val="19"/>
                <w:color w:val="auto"/>
              </w:rPr>
            </w:pPr>
          </w:p>
        </w:tc>
      </w:tr>
      <w:tr>
        <w:trPr>
          <w:trHeight w:val="237"/>
        </w:trPr>
        <w:tc>
          <w:tcPr>
            <w:tcW w:w="4680" w:type="dxa"/>
            <w:vAlign w:val="bottom"/>
          </w:tcPr>
          <w:p>
            <w:pPr>
              <w:ind w:left="280"/>
              <w:spacing w:after="0"/>
              <w:rPr>
                <w:sz w:val="20"/>
                <w:szCs w:val="20"/>
                <w:color w:val="auto"/>
              </w:rPr>
            </w:pPr>
            <w:r>
              <w:rPr>
                <w:rFonts w:ascii="Arial" w:cs="Arial" w:eastAsia="Arial" w:hAnsi="Arial"/>
                <w:sz w:val="16"/>
                <w:szCs w:val="16"/>
                <w:color w:val="auto"/>
              </w:rPr>
              <w:t>Depreciation and amortization</w:t>
            </w:r>
          </w:p>
        </w:tc>
        <w:tc>
          <w:tcPr>
            <w:tcW w:w="1060" w:type="dxa"/>
            <w:vAlign w:val="bottom"/>
          </w:tcPr>
          <w:p>
            <w:pPr>
              <w:spacing w:after="0"/>
              <w:rPr>
                <w:sz w:val="20"/>
                <w:szCs w:val="20"/>
                <w:color w:val="auto"/>
              </w:rPr>
            </w:pPr>
          </w:p>
        </w:tc>
        <w:tc>
          <w:tcPr>
            <w:tcW w:w="560" w:type="dxa"/>
            <w:vAlign w:val="bottom"/>
          </w:tcPr>
          <w:p>
            <w:pPr>
              <w:jc w:val="right"/>
              <w:ind w:right="39"/>
              <w:spacing w:after="0"/>
              <w:rPr>
                <w:sz w:val="20"/>
                <w:szCs w:val="20"/>
                <w:color w:val="auto"/>
              </w:rPr>
            </w:pPr>
            <w:r>
              <w:rPr>
                <w:rFonts w:ascii="Arial" w:cs="Arial" w:eastAsia="Arial" w:hAnsi="Arial"/>
                <w:sz w:val="16"/>
                <w:szCs w:val="16"/>
                <w:color w:val="auto"/>
              </w:rPr>
              <w:t>40.0</w:t>
            </w:r>
          </w:p>
        </w:tc>
        <w:tc>
          <w:tcPr>
            <w:tcW w:w="12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40" w:type="dxa"/>
            <w:vAlign w:val="bottom"/>
          </w:tcPr>
          <w:p>
            <w:pPr>
              <w:jc w:val="right"/>
              <w:ind w:right="39"/>
              <w:spacing w:after="0"/>
              <w:rPr>
                <w:sz w:val="20"/>
                <w:szCs w:val="20"/>
                <w:color w:val="auto"/>
              </w:rPr>
            </w:pPr>
            <w:r>
              <w:rPr>
                <w:rFonts w:ascii="Arial" w:cs="Arial" w:eastAsia="Arial" w:hAnsi="Arial"/>
                <w:sz w:val="16"/>
                <w:szCs w:val="16"/>
                <w:color w:val="auto"/>
              </w:rPr>
              <w:t>46.4</w:t>
            </w: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20" w:type="dxa"/>
            <w:vAlign w:val="bottom"/>
          </w:tcPr>
          <w:p>
            <w:pPr>
              <w:jc w:val="right"/>
              <w:ind w:right="39"/>
              <w:spacing w:after="0"/>
              <w:rPr>
                <w:sz w:val="20"/>
                <w:szCs w:val="20"/>
                <w:color w:val="auto"/>
              </w:rPr>
            </w:pPr>
            <w:r>
              <w:rPr>
                <w:rFonts w:ascii="Arial" w:cs="Arial" w:eastAsia="Arial" w:hAnsi="Arial"/>
                <w:sz w:val="16"/>
                <w:szCs w:val="16"/>
                <w:color w:val="auto"/>
              </w:rPr>
              <w:t>75.9</w:t>
            </w: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94.4</w:t>
            </w:r>
          </w:p>
        </w:tc>
      </w:tr>
      <w:tr>
        <w:trPr>
          <w:trHeight w:val="33"/>
        </w:trPr>
        <w:tc>
          <w:tcPr>
            <w:tcW w:w="46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5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46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Stock-based compensation</w:t>
            </w:r>
          </w:p>
        </w:tc>
        <w:tc>
          <w:tcPr>
            <w:tcW w:w="1060" w:type="dxa"/>
            <w:vAlign w:val="bottom"/>
            <w:tcBorders>
              <w:bottom w:val="single" w:sz="8" w:color="CCEEFF"/>
            </w:tcBorders>
            <w:shd w:val="clear" w:color="auto" w:fill="CCEEFF"/>
          </w:tcPr>
          <w:p>
            <w:pPr>
              <w:spacing w:after="0"/>
              <w:rPr>
                <w:sz w:val="21"/>
                <w:szCs w:val="21"/>
                <w:color w:val="auto"/>
              </w:rPr>
            </w:pPr>
          </w:p>
        </w:tc>
        <w:tc>
          <w:tcPr>
            <w:tcW w:w="5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55.1</w:t>
            </w:r>
          </w:p>
        </w:tc>
        <w:tc>
          <w:tcPr>
            <w:tcW w:w="1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38.7</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541.6</w:t>
            </w:r>
          </w:p>
        </w:tc>
        <w:tc>
          <w:tcPr>
            <w:tcW w:w="100" w:type="dxa"/>
            <w:vAlign w:val="bottom"/>
            <w:tcBorders>
              <w:bottom w:val="single" w:sz="8" w:color="CCEEFF"/>
            </w:tcBorders>
            <w:shd w:val="clear" w:color="auto" w:fill="CCEEFF"/>
          </w:tcPr>
          <w:p>
            <w:pPr>
              <w:spacing w:after="0"/>
              <w:rPr>
                <w:sz w:val="21"/>
                <w:szCs w:val="21"/>
                <w:color w:val="auto"/>
              </w:rPr>
            </w:pPr>
          </w:p>
        </w:tc>
        <w:tc>
          <w:tcPr>
            <w:tcW w:w="62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77.5</w:t>
            </w:r>
          </w:p>
        </w:tc>
      </w:tr>
      <w:tr>
        <w:trPr>
          <w:trHeight w:val="237"/>
        </w:trPr>
        <w:tc>
          <w:tcPr>
            <w:tcW w:w="4680" w:type="dxa"/>
            <w:vAlign w:val="bottom"/>
          </w:tcPr>
          <w:p>
            <w:pPr>
              <w:ind w:left="280"/>
              <w:spacing w:after="0"/>
              <w:rPr>
                <w:sz w:val="20"/>
                <w:szCs w:val="20"/>
                <w:color w:val="auto"/>
              </w:rPr>
            </w:pPr>
            <w:r>
              <w:rPr>
                <w:rFonts w:ascii="Arial" w:cs="Arial" w:eastAsia="Arial" w:hAnsi="Arial"/>
                <w:sz w:val="16"/>
                <w:szCs w:val="16"/>
                <w:color w:val="auto"/>
              </w:rPr>
              <w:t>Amortization of deferred commissions</w:t>
            </w:r>
          </w:p>
        </w:tc>
        <w:tc>
          <w:tcPr>
            <w:tcW w:w="1060" w:type="dxa"/>
            <w:vAlign w:val="bottom"/>
          </w:tcPr>
          <w:p>
            <w:pPr>
              <w:spacing w:after="0"/>
              <w:rPr>
                <w:sz w:val="20"/>
                <w:szCs w:val="20"/>
                <w:color w:val="auto"/>
              </w:rPr>
            </w:pPr>
          </w:p>
        </w:tc>
        <w:tc>
          <w:tcPr>
            <w:tcW w:w="560" w:type="dxa"/>
            <w:vAlign w:val="bottom"/>
          </w:tcPr>
          <w:p>
            <w:pPr>
              <w:jc w:val="right"/>
              <w:ind w:right="39"/>
              <w:spacing w:after="0"/>
              <w:rPr>
                <w:sz w:val="20"/>
                <w:szCs w:val="20"/>
                <w:color w:val="auto"/>
              </w:rPr>
            </w:pPr>
            <w:r>
              <w:rPr>
                <w:rFonts w:ascii="Arial" w:cs="Arial" w:eastAsia="Arial" w:hAnsi="Arial"/>
                <w:sz w:val="16"/>
                <w:szCs w:val="16"/>
                <w:color w:val="auto"/>
              </w:rPr>
              <w:t>2.9</w:t>
            </w:r>
          </w:p>
        </w:tc>
        <w:tc>
          <w:tcPr>
            <w:tcW w:w="12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40" w:type="dxa"/>
            <w:vAlign w:val="bottom"/>
          </w:tcPr>
          <w:p>
            <w:pPr>
              <w:jc w:val="right"/>
              <w:ind w:right="39"/>
              <w:spacing w:after="0"/>
              <w:rPr>
                <w:sz w:val="20"/>
                <w:szCs w:val="20"/>
                <w:color w:val="auto"/>
              </w:rPr>
            </w:pPr>
            <w:r>
              <w:rPr>
                <w:rFonts w:ascii="Arial" w:cs="Arial" w:eastAsia="Arial" w:hAnsi="Arial"/>
                <w:sz w:val="16"/>
                <w:szCs w:val="16"/>
                <w:color w:val="auto"/>
              </w:rPr>
              <w:t>1.4</w:t>
            </w: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20" w:type="dxa"/>
            <w:vAlign w:val="bottom"/>
          </w:tcPr>
          <w:p>
            <w:pPr>
              <w:jc w:val="right"/>
              <w:ind w:right="39"/>
              <w:spacing w:after="0"/>
              <w:rPr>
                <w:sz w:val="20"/>
                <w:szCs w:val="20"/>
                <w:color w:val="auto"/>
              </w:rPr>
            </w:pPr>
            <w:r>
              <w:rPr>
                <w:rFonts w:ascii="Arial" w:cs="Arial" w:eastAsia="Arial" w:hAnsi="Arial"/>
                <w:sz w:val="16"/>
                <w:szCs w:val="16"/>
                <w:color w:val="auto"/>
              </w:rPr>
              <w:t>5.3</w:t>
            </w: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2.6</w:t>
            </w:r>
          </w:p>
        </w:tc>
      </w:tr>
      <w:tr>
        <w:trPr>
          <w:trHeight w:val="33"/>
        </w:trPr>
        <w:tc>
          <w:tcPr>
            <w:tcW w:w="46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5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46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Donation of common stock to charitable foundation</w:t>
            </w:r>
          </w:p>
        </w:tc>
        <w:tc>
          <w:tcPr>
            <w:tcW w:w="106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08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9.4</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62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9.4</w:t>
            </w:r>
          </w:p>
        </w:tc>
      </w:tr>
      <w:tr>
        <w:trPr>
          <w:trHeight w:val="237"/>
        </w:trPr>
        <w:tc>
          <w:tcPr>
            <w:tcW w:w="4680" w:type="dxa"/>
            <w:vAlign w:val="bottom"/>
          </w:tcPr>
          <w:p>
            <w:pPr>
              <w:ind w:left="280"/>
              <w:spacing w:after="0"/>
              <w:rPr>
                <w:sz w:val="20"/>
                <w:szCs w:val="20"/>
                <w:color w:val="auto"/>
              </w:rPr>
            </w:pPr>
            <w:r>
              <w:rPr>
                <w:rFonts w:ascii="Arial" w:cs="Arial" w:eastAsia="Arial" w:hAnsi="Arial"/>
                <w:sz w:val="16"/>
                <w:szCs w:val="16"/>
                <w:color w:val="auto"/>
              </w:rPr>
              <w:t>Other</w:t>
            </w:r>
          </w:p>
        </w:tc>
        <w:tc>
          <w:tcPr>
            <w:tcW w:w="1060" w:type="dxa"/>
            <w:vAlign w:val="bottom"/>
          </w:tcPr>
          <w:p>
            <w:pPr>
              <w:spacing w:after="0"/>
              <w:rPr>
                <w:sz w:val="20"/>
                <w:szCs w:val="20"/>
                <w:color w:val="auto"/>
              </w:rPr>
            </w:pPr>
          </w:p>
        </w:tc>
        <w:tc>
          <w:tcPr>
            <w:tcW w:w="560" w:type="dxa"/>
            <w:vAlign w:val="bottom"/>
          </w:tcPr>
          <w:p>
            <w:pPr>
              <w:jc w:val="right"/>
              <w:spacing w:after="0"/>
              <w:rPr>
                <w:sz w:val="20"/>
                <w:szCs w:val="20"/>
                <w:color w:val="auto"/>
              </w:rPr>
            </w:pPr>
            <w:r>
              <w:rPr>
                <w:rFonts w:ascii="Arial" w:cs="Arial" w:eastAsia="Arial" w:hAnsi="Arial"/>
                <w:sz w:val="16"/>
                <w:szCs w:val="16"/>
                <w:color w:val="auto"/>
              </w:rPr>
              <w:t>(0.5)</w:t>
            </w:r>
          </w:p>
        </w:tc>
        <w:tc>
          <w:tcPr>
            <w:tcW w:w="12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40" w:type="dxa"/>
            <w:vAlign w:val="bottom"/>
          </w:tcPr>
          <w:p>
            <w:pPr>
              <w:jc w:val="right"/>
              <w:spacing w:after="0"/>
              <w:rPr>
                <w:sz w:val="20"/>
                <w:szCs w:val="20"/>
                <w:color w:val="auto"/>
              </w:rPr>
            </w:pPr>
            <w:r>
              <w:rPr>
                <w:rFonts w:ascii="Arial" w:cs="Arial" w:eastAsia="Arial" w:hAnsi="Arial"/>
                <w:sz w:val="16"/>
                <w:szCs w:val="16"/>
                <w:color w:val="auto"/>
              </w:rPr>
              <w:t>(0.4)</w:t>
            </w: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(1.1)</w:t>
            </w: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(0.9)</w:t>
            </w:r>
          </w:p>
        </w:tc>
      </w:tr>
      <w:tr>
        <w:trPr>
          <w:trHeight w:val="33"/>
        </w:trPr>
        <w:tc>
          <w:tcPr>
            <w:tcW w:w="46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5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46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Changes in operating assets and liabilities:</w:t>
            </w:r>
          </w:p>
        </w:tc>
        <w:tc>
          <w:tcPr>
            <w:tcW w:w="1060" w:type="dxa"/>
            <w:vAlign w:val="bottom"/>
            <w:tcBorders>
              <w:bottom w:val="single" w:sz="8" w:color="CCEEFF"/>
            </w:tcBorders>
            <w:shd w:val="clear" w:color="auto" w:fill="CCEEFF"/>
          </w:tcPr>
          <w:p>
            <w:pPr>
              <w:spacing w:after="0"/>
              <w:rPr>
                <w:sz w:val="21"/>
                <w:szCs w:val="21"/>
                <w:color w:val="auto"/>
              </w:rPr>
            </w:pPr>
          </w:p>
        </w:tc>
        <w:tc>
          <w:tcPr>
            <w:tcW w:w="5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62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r>
      <w:tr>
        <w:trPr>
          <w:trHeight w:val="237"/>
        </w:trPr>
        <w:tc>
          <w:tcPr>
            <w:tcW w:w="4680" w:type="dxa"/>
            <w:vAlign w:val="bottom"/>
          </w:tcPr>
          <w:p>
            <w:pPr>
              <w:ind w:left="280"/>
              <w:spacing w:after="0"/>
              <w:rPr>
                <w:sz w:val="20"/>
                <w:szCs w:val="20"/>
                <w:color w:val="auto"/>
              </w:rPr>
            </w:pPr>
            <w:r>
              <w:rPr>
                <w:rFonts w:ascii="Arial" w:cs="Arial" w:eastAsia="Arial" w:hAnsi="Arial"/>
                <w:sz w:val="16"/>
                <w:szCs w:val="16"/>
                <w:color w:val="auto"/>
              </w:rPr>
              <w:t>Trade and other receivables, net</w:t>
            </w:r>
          </w:p>
        </w:tc>
        <w:tc>
          <w:tcPr>
            <w:tcW w:w="1060" w:type="dxa"/>
            <w:vAlign w:val="bottom"/>
          </w:tcPr>
          <w:p>
            <w:pPr>
              <w:spacing w:after="0"/>
              <w:rPr>
                <w:sz w:val="20"/>
                <w:szCs w:val="20"/>
                <w:color w:val="auto"/>
              </w:rPr>
            </w:pPr>
          </w:p>
        </w:tc>
        <w:tc>
          <w:tcPr>
            <w:tcW w:w="560" w:type="dxa"/>
            <w:vAlign w:val="bottom"/>
          </w:tcPr>
          <w:p>
            <w:pPr>
              <w:jc w:val="right"/>
              <w:spacing w:after="0"/>
              <w:rPr>
                <w:sz w:val="20"/>
                <w:szCs w:val="20"/>
                <w:color w:val="auto"/>
              </w:rPr>
            </w:pPr>
            <w:r>
              <w:rPr>
                <w:rFonts w:ascii="Arial" w:cs="Arial" w:eastAsia="Arial" w:hAnsi="Arial"/>
                <w:sz w:val="16"/>
                <w:szCs w:val="16"/>
                <w:color w:val="auto"/>
              </w:rPr>
              <w:t>(5.5)</w:t>
            </w:r>
          </w:p>
        </w:tc>
        <w:tc>
          <w:tcPr>
            <w:tcW w:w="12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40" w:type="dxa"/>
            <w:vAlign w:val="bottom"/>
          </w:tcPr>
          <w:p>
            <w:pPr>
              <w:jc w:val="right"/>
              <w:spacing w:after="0"/>
              <w:rPr>
                <w:sz w:val="20"/>
                <w:szCs w:val="20"/>
                <w:color w:val="auto"/>
              </w:rPr>
            </w:pPr>
            <w:r>
              <w:rPr>
                <w:rFonts w:ascii="Arial" w:cs="Arial" w:eastAsia="Arial" w:hAnsi="Arial"/>
                <w:sz w:val="16"/>
                <w:szCs w:val="16"/>
                <w:color w:val="auto"/>
              </w:rPr>
              <w:t>(8.7)</w:t>
            </w: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(1.9)</w:t>
            </w: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(9.1)</w:t>
            </w:r>
          </w:p>
        </w:tc>
      </w:tr>
      <w:tr>
        <w:trPr>
          <w:trHeight w:val="33"/>
        </w:trPr>
        <w:tc>
          <w:tcPr>
            <w:tcW w:w="46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5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46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Prepaid expenses and other current assets</w:t>
            </w:r>
          </w:p>
        </w:tc>
        <w:tc>
          <w:tcPr>
            <w:tcW w:w="1060" w:type="dxa"/>
            <w:vAlign w:val="bottom"/>
            <w:tcBorders>
              <w:bottom w:val="single" w:sz="8" w:color="CCEEFF"/>
            </w:tcBorders>
            <w:shd w:val="clear" w:color="auto" w:fill="CCEEFF"/>
          </w:tcPr>
          <w:p>
            <w:pPr>
              <w:spacing w:after="0"/>
              <w:rPr>
                <w:sz w:val="21"/>
                <w:szCs w:val="21"/>
                <w:color w:val="auto"/>
              </w:rPr>
            </w:pPr>
          </w:p>
        </w:tc>
        <w:tc>
          <w:tcPr>
            <w:tcW w:w="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(32.4)</w:t>
            </w:r>
          </w:p>
        </w:tc>
        <w:tc>
          <w:tcPr>
            <w:tcW w:w="1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(4.7)</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(33.9)</w:t>
            </w:r>
          </w:p>
        </w:tc>
        <w:tc>
          <w:tcPr>
            <w:tcW w:w="100" w:type="dxa"/>
            <w:vAlign w:val="bottom"/>
            <w:tcBorders>
              <w:bottom w:val="single" w:sz="8" w:color="CCEEFF"/>
            </w:tcBorders>
            <w:shd w:val="clear" w:color="auto" w:fill="CCEEFF"/>
          </w:tcPr>
          <w:p>
            <w:pPr>
              <w:spacing w:after="0"/>
              <w:rPr>
                <w:sz w:val="21"/>
                <w:szCs w:val="21"/>
                <w:color w:val="auto"/>
              </w:rPr>
            </w:pPr>
          </w:p>
        </w:tc>
        <w:tc>
          <w:tcPr>
            <w:tcW w:w="62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2.4</w:t>
            </w:r>
          </w:p>
        </w:tc>
      </w:tr>
      <w:tr>
        <w:trPr>
          <w:trHeight w:val="237"/>
        </w:trPr>
        <w:tc>
          <w:tcPr>
            <w:tcW w:w="4680" w:type="dxa"/>
            <w:vAlign w:val="bottom"/>
          </w:tcPr>
          <w:p>
            <w:pPr>
              <w:ind w:left="280"/>
              <w:spacing w:after="0"/>
              <w:rPr>
                <w:sz w:val="20"/>
                <w:szCs w:val="20"/>
                <w:color w:val="auto"/>
              </w:rPr>
            </w:pPr>
            <w:r>
              <w:rPr>
                <w:rFonts w:ascii="Arial" w:cs="Arial" w:eastAsia="Arial" w:hAnsi="Arial"/>
                <w:sz w:val="16"/>
                <w:szCs w:val="16"/>
                <w:color w:val="auto"/>
              </w:rPr>
              <w:t>Other assets</w:t>
            </w:r>
          </w:p>
        </w:tc>
        <w:tc>
          <w:tcPr>
            <w:tcW w:w="1060" w:type="dxa"/>
            <w:vAlign w:val="bottom"/>
          </w:tcPr>
          <w:p>
            <w:pPr>
              <w:spacing w:after="0"/>
              <w:rPr>
                <w:sz w:val="20"/>
                <w:szCs w:val="20"/>
                <w:color w:val="auto"/>
              </w:rPr>
            </w:pPr>
          </w:p>
        </w:tc>
        <w:tc>
          <w:tcPr>
            <w:tcW w:w="560" w:type="dxa"/>
            <w:vAlign w:val="bottom"/>
          </w:tcPr>
          <w:p>
            <w:pPr>
              <w:jc w:val="right"/>
              <w:spacing w:after="0"/>
              <w:rPr>
                <w:sz w:val="20"/>
                <w:szCs w:val="20"/>
                <w:color w:val="auto"/>
              </w:rPr>
            </w:pPr>
            <w:r>
              <w:rPr>
                <w:rFonts w:ascii="Arial" w:cs="Arial" w:eastAsia="Arial" w:hAnsi="Arial"/>
                <w:sz w:val="16"/>
                <w:szCs w:val="16"/>
                <w:color w:val="auto"/>
              </w:rPr>
              <w:t>(11.8)</w:t>
            </w:r>
          </w:p>
        </w:tc>
        <w:tc>
          <w:tcPr>
            <w:tcW w:w="12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40" w:type="dxa"/>
            <w:vAlign w:val="bottom"/>
          </w:tcPr>
          <w:p>
            <w:pPr>
              <w:jc w:val="right"/>
              <w:spacing w:after="0"/>
              <w:rPr>
                <w:sz w:val="20"/>
                <w:szCs w:val="20"/>
                <w:color w:val="auto"/>
              </w:rPr>
            </w:pPr>
            <w:r>
              <w:rPr>
                <w:rFonts w:ascii="Arial" w:cs="Arial" w:eastAsia="Arial" w:hAnsi="Arial"/>
                <w:sz w:val="16"/>
                <w:szCs w:val="16"/>
                <w:color w:val="auto"/>
              </w:rPr>
              <w:t>(0.3)</w:t>
            </w: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(17.5)</w:t>
            </w: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(2.1)</w:t>
            </w:r>
          </w:p>
        </w:tc>
      </w:tr>
      <w:tr>
        <w:trPr>
          <w:trHeight w:val="33"/>
        </w:trPr>
        <w:tc>
          <w:tcPr>
            <w:tcW w:w="46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5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46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Accounts payable</w:t>
            </w:r>
          </w:p>
        </w:tc>
        <w:tc>
          <w:tcPr>
            <w:tcW w:w="1060" w:type="dxa"/>
            <w:vAlign w:val="bottom"/>
            <w:tcBorders>
              <w:bottom w:val="single" w:sz="8" w:color="CCEEFF"/>
            </w:tcBorders>
            <w:shd w:val="clear" w:color="auto" w:fill="CCEEFF"/>
          </w:tcPr>
          <w:p>
            <w:pPr>
              <w:spacing w:after="0"/>
              <w:rPr>
                <w:sz w:val="21"/>
                <w:szCs w:val="21"/>
                <w:color w:val="auto"/>
              </w:rPr>
            </w:pPr>
          </w:p>
        </w:tc>
        <w:tc>
          <w:tcPr>
            <w:tcW w:w="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(5.7)</w:t>
            </w:r>
          </w:p>
        </w:tc>
        <w:tc>
          <w:tcPr>
            <w:tcW w:w="1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1.8</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(8.5)</w:t>
            </w:r>
          </w:p>
        </w:tc>
        <w:tc>
          <w:tcPr>
            <w:tcW w:w="100" w:type="dxa"/>
            <w:vAlign w:val="bottom"/>
            <w:tcBorders>
              <w:bottom w:val="single" w:sz="8" w:color="CCEEFF"/>
            </w:tcBorders>
            <w:shd w:val="clear" w:color="auto" w:fill="CCEEFF"/>
          </w:tcPr>
          <w:p>
            <w:pPr>
              <w:spacing w:after="0"/>
              <w:rPr>
                <w:sz w:val="21"/>
                <w:szCs w:val="21"/>
                <w:color w:val="auto"/>
              </w:rPr>
            </w:pPr>
          </w:p>
        </w:tc>
        <w:tc>
          <w:tcPr>
            <w:tcW w:w="62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2.6</w:t>
            </w:r>
          </w:p>
        </w:tc>
      </w:tr>
      <w:tr>
        <w:trPr>
          <w:trHeight w:val="237"/>
        </w:trPr>
        <w:tc>
          <w:tcPr>
            <w:tcW w:w="4680" w:type="dxa"/>
            <w:vAlign w:val="bottom"/>
          </w:tcPr>
          <w:p>
            <w:pPr>
              <w:ind w:left="280"/>
              <w:spacing w:after="0"/>
              <w:rPr>
                <w:sz w:val="20"/>
                <w:szCs w:val="20"/>
                <w:color w:val="auto"/>
              </w:rPr>
            </w:pPr>
            <w:r>
              <w:rPr>
                <w:rFonts w:ascii="Arial" w:cs="Arial" w:eastAsia="Arial" w:hAnsi="Arial"/>
                <w:sz w:val="16"/>
                <w:szCs w:val="16"/>
                <w:color w:val="auto"/>
              </w:rPr>
              <w:t>Accrued and other current liabilities</w:t>
            </w:r>
          </w:p>
        </w:tc>
        <w:tc>
          <w:tcPr>
            <w:tcW w:w="1060" w:type="dxa"/>
            <w:vAlign w:val="bottom"/>
          </w:tcPr>
          <w:p>
            <w:pPr>
              <w:spacing w:after="0"/>
              <w:rPr>
                <w:sz w:val="20"/>
                <w:szCs w:val="20"/>
                <w:color w:val="auto"/>
              </w:rPr>
            </w:pPr>
          </w:p>
        </w:tc>
        <w:tc>
          <w:tcPr>
            <w:tcW w:w="560" w:type="dxa"/>
            <w:vAlign w:val="bottom"/>
          </w:tcPr>
          <w:p>
            <w:pPr>
              <w:jc w:val="right"/>
              <w:ind w:right="39"/>
              <w:spacing w:after="0"/>
              <w:rPr>
                <w:sz w:val="20"/>
                <w:szCs w:val="20"/>
                <w:color w:val="auto"/>
              </w:rPr>
            </w:pPr>
            <w:r>
              <w:rPr>
                <w:rFonts w:ascii="Arial" w:cs="Arial" w:eastAsia="Arial" w:hAnsi="Arial"/>
                <w:sz w:val="16"/>
                <w:szCs w:val="16"/>
                <w:color w:val="auto"/>
              </w:rPr>
              <w:t>35.7</w:t>
            </w:r>
          </w:p>
        </w:tc>
        <w:tc>
          <w:tcPr>
            <w:tcW w:w="12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40" w:type="dxa"/>
            <w:vAlign w:val="bottom"/>
          </w:tcPr>
          <w:p>
            <w:pPr>
              <w:jc w:val="right"/>
              <w:ind w:right="39"/>
              <w:spacing w:after="0"/>
              <w:rPr>
                <w:sz w:val="20"/>
                <w:szCs w:val="20"/>
                <w:color w:val="auto"/>
              </w:rPr>
            </w:pPr>
            <w:r>
              <w:rPr>
                <w:rFonts w:ascii="Arial" w:cs="Arial" w:eastAsia="Arial" w:hAnsi="Arial"/>
                <w:sz w:val="16"/>
                <w:szCs w:val="16"/>
                <w:color w:val="auto"/>
              </w:rPr>
              <w:t>6.1</w:t>
            </w: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20" w:type="dxa"/>
            <w:vAlign w:val="bottom"/>
          </w:tcPr>
          <w:p>
            <w:pPr>
              <w:jc w:val="right"/>
              <w:ind w:right="39"/>
              <w:spacing w:after="0"/>
              <w:rPr>
                <w:sz w:val="20"/>
                <w:szCs w:val="20"/>
                <w:color w:val="auto"/>
              </w:rPr>
            </w:pPr>
            <w:r>
              <w:rPr>
                <w:rFonts w:ascii="Arial" w:cs="Arial" w:eastAsia="Arial" w:hAnsi="Arial"/>
                <w:sz w:val="16"/>
                <w:szCs w:val="16"/>
                <w:color w:val="auto"/>
              </w:rPr>
              <w:t>44.5</w:t>
            </w: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11.8</w:t>
            </w:r>
          </w:p>
        </w:tc>
      </w:tr>
      <w:tr>
        <w:trPr>
          <w:trHeight w:val="33"/>
        </w:trPr>
        <w:tc>
          <w:tcPr>
            <w:tcW w:w="46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5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46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Accrued compensation and benefits</w:t>
            </w:r>
          </w:p>
        </w:tc>
        <w:tc>
          <w:tcPr>
            <w:tcW w:w="1060" w:type="dxa"/>
            <w:vAlign w:val="bottom"/>
            <w:tcBorders>
              <w:bottom w:val="single" w:sz="8" w:color="CCEEFF"/>
            </w:tcBorders>
            <w:shd w:val="clear" w:color="auto" w:fill="CCEEFF"/>
          </w:tcPr>
          <w:p>
            <w:pPr>
              <w:spacing w:after="0"/>
              <w:rPr>
                <w:sz w:val="21"/>
                <w:szCs w:val="21"/>
                <w:color w:val="auto"/>
              </w:rPr>
            </w:pPr>
          </w:p>
        </w:tc>
        <w:tc>
          <w:tcPr>
            <w:tcW w:w="5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15.3</w:t>
            </w:r>
          </w:p>
        </w:tc>
        <w:tc>
          <w:tcPr>
            <w:tcW w:w="1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13.5</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(10.9)</w:t>
            </w:r>
          </w:p>
        </w:tc>
        <w:tc>
          <w:tcPr>
            <w:tcW w:w="100" w:type="dxa"/>
            <w:vAlign w:val="bottom"/>
            <w:tcBorders>
              <w:bottom w:val="single" w:sz="8" w:color="CCEEFF"/>
            </w:tcBorders>
            <w:shd w:val="clear" w:color="auto" w:fill="CCEEFF"/>
          </w:tcPr>
          <w:p>
            <w:pPr>
              <w:spacing w:after="0"/>
              <w:rPr>
                <w:sz w:val="21"/>
                <w:szCs w:val="21"/>
                <w:color w:val="auto"/>
              </w:rPr>
            </w:pPr>
          </w:p>
        </w:tc>
        <w:tc>
          <w:tcPr>
            <w:tcW w:w="62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(6.6)</w:t>
            </w:r>
          </w:p>
        </w:tc>
      </w:tr>
      <w:tr>
        <w:trPr>
          <w:trHeight w:val="237"/>
        </w:trPr>
        <w:tc>
          <w:tcPr>
            <w:tcW w:w="4680" w:type="dxa"/>
            <w:vAlign w:val="bottom"/>
          </w:tcPr>
          <w:p>
            <w:pPr>
              <w:ind w:left="280"/>
              <w:spacing w:after="0"/>
              <w:rPr>
                <w:sz w:val="20"/>
                <w:szCs w:val="20"/>
                <w:color w:val="auto"/>
              </w:rPr>
            </w:pPr>
            <w:r>
              <w:rPr>
                <w:rFonts w:ascii="Arial" w:cs="Arial" w:eastAsia="Arial" w:hAnsi="Arial"/>
                <w:sz w:val="16"/>
                <w:szCs w:val="16"/>
                <w:color w:val="auto"/>
              </w:rPr>
              <w:t>Deferred revenue</w:t>
            </w:r>
          </w:p>
        </w:tc>
        <w:tc>
          <w:tcPr>
            <w:tcW w:w="1060" w:type="dxa"/>
            <w:vAlign w:val="bottom"/>
          </w:tcPr>
          <w:p>
            <w:pPr>
              <w:spacing w:after="0"/>
              <w:rPr>
                <w:sz w:val="20"/>
                <w:szCs w:val="20"/>
                <w:color w:val="auto"/>
              </w:rPr>
            </w:pPr>
          </w:p>
        </w:tc>
        <w:tc>
          <w:tcPr>
            <w:tcW w:w="560" w:type="dxa"/>
            <w:vAlign w:val="bottom"/>
          </w:tcPr>
          <w:p>
            <w:pPr>
              <w:jc w:val="right"/>
              <w:ind w:right="39"/>
              <w:spacing w:after="0"/>
              <w:rPr>
                <w:sz w:val="20"/>
                <w:szCs w:val="20"/>
                <w:color w:val="auto"/>
              </w:rPr>
            </w:pPr>
            <w:r>
              <w:rPr>
                <w:rFonts w:ascii="Arial" w:cs="Arial" w:eastAsia="Arial" w:hAnsi="Arial"/>
                <w:sz w:val="16"/>
                <w:szCs w:val="16"/>
                <w:color w:val="auto"/>
              </w:rPr>
              <w:t>19.7</w:t>
            </w:r>
          </w:p>
        </w:tc>
        <w:tc>
          <w:tcPr>
            <w:tcW w:w="12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40" w:type="dxa"/>
            <w:vAlign w:val="bottom"/>
          </w:tcPr>
          <w:p>
            <w:pPr>
              <w:jc w:val="right"/>
              <w:ind w:right="39"/>
              <w:spacing w:after="0"/>
              <w:rPr>
                <w:sz w:val="20"/>
                <w:szCs w:val="20"/>
                <w:color w:val="auto"/>
              </w:rPr>
            </w:pPr>
            <w:r>
              <w:rPr>
                <w:rFonts w:ascii="Arial" w:cs="Arial" w:eastAsia="Arial" w:hAnsi="Arial"/>
                <w:sz w:val="16"/>
                <w:szCs w:val="16"/>
                <w:color w:val="auto"/>
              </w:rPr>
              <w:t>13.3</w:t>
            </w: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20" w:type="dxa"/>
            <w:vAlign w:val="bottom"/>
          </w:tcPr>
          <w:p>
            <w:pPr>
              <w:jc w:val="right"/>
              <w:ind w:right="39"/>
              <w:spacing w:after="0"/>
              <w:rPr>
                <w:sz w:val="20"/>
                <w:szCs w:val="20"/>
                <w:color w:val="auto"/>
              </w:rPr>
            </w:pPr>
            <w:r>
              <w:rPr>
                <w:rFonts w:ascii="Arial" w:cs="Arial" w:eastAsia="Arial" w:hAnsi="Arial"/>
                <w:sz w:val="16"/>
                <w:szCs w:val="16"/>
                <w:color w:val="auto"/>
              </w:rPr>
              <w:t>46.4</w:t>
            </w: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32.2</w:t>
            </w:r>
          </w:p>
        </w:tc>
      </w:tr>
      <w:tr>
        <w:trPr>
          <w:trHeight w:val="33"/>
        </w:trPr>
        <w:tc>
          <w:tcPr>
            <w:tcW w:w="46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5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70"/>
        </w:trPr>
        <w:tc>
          <w:tcPr>
            <w:tcW w:w="46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Non-current liabilities</w:t>
            </w:r>
          </w:p>
        </w:tc>
        <w:tc>
          <w:tcPr>
            <w:tcW w:w="1060" w:type="dxa"/>
            <w:vAlign w:val="bottom"/>
            <w:tcBorders>
              <w:bottom w:val="single" w:sz="8" w:color="CCEEFF"/>
            </w:tcBorders>
            <w:shd w:val="clear" w:color="auto" w:fill="CCEEFF"/>
          </w:tcPr>
          <w:p>
            <w:pPr>
              <w:spacing w:after="0"/>
              <w:rPr>
                <w:sz w:val="23"/>
                <w:szCs w:val="23"/>
                <w:color w:val="auto"/>
              </w:rPr>
            </w:pPr>
          </w:p>
        </w:tc>
        <w:tc>
          <w:tcPr>
            <w:tcW w:w="5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3.2</w:t>
            </w:r>
          </w:p>
        </w:tc>
        <w:tc>
          <w:tcPr>
            <w:tcW w:w="12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spacing w:after="0"/>
              <w:rPr>
                <w:sz w:val="23"/>
                <w:szCs w:val="23"/>
                <w:color w:val="auto"/>
              </w:rPr>
            </w:pPr>
          </w:p>
        </w:tc>
        <w:tc>
          <w:tcPr>
            <w:tcW w:w="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(3.6)</w:t>
            </w:r>
          </w:p>
        </w:tc>
        <w:tc>
          <w:tcPr>
            <w:tcW w:w="12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3.4</w:t>
            </w:r>
          </w:p>
        </w:tc>
        <w:tc>
          <w:tcPr>
            <w:tcW w:w="100" w:type="dxa"/>
            <w:vAlign w:val="bottom"/>
            <w:tcBorders>
              <w:bottom w:val="single" w:sz="8" w:color="CCEEFF"/>
            </w:tcBorders>
            <w:shd w:val="clear" w:color="auto" w:fill="CCEEFF"/>
          </w:tcPr>
          <w:p>
            <w:pPr>
              <w:spacing w:after="0"/>
              <w:rPr>
                <w:sz w:val="23"/>
                <w:szCs w:val="23"/>
                <w:color w:val="auto"/>
              </w:rPr>
            </w:pPr>
          </w:p>
        </w:tc>
        <w:tc>
          <w:tcPr>
            <w:tcW w:w="62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(6.6)</w:t>
            </w:r>
          </w:p>
        </w:tc>
      </w:tr>
      <w:tr>
        <w:trPr>
          <w:trHeight w:val="217"/>
        </w:trPr>
        <w:tc>
          <w:tcPr>
            <w:tcW w:w="4680" w:type="dxa"/>
            <w:vAlign w:val="bottom"/>
          </w:tcPr>
          <w:p>
            <w:pPr>
              <w:ind w:left="40"/>
              <w:spacing w:after="0"/>
              <w:rPr>
                <w:sz w:val="20"/>
                <w:szCs w:val="20"/>
                <w:color w:val="auto"/>
              </w:rPr>
            </w:pPr>
            <w:r>
              <w:rPr>
                <w:rFonts w:ascii="Arial" w:cs="Arial" w:eastAsia="Arial" w:hAnsi="Arial"/>
                <w:sz w:val="16"/>
                <w:szCs w:val="16"/>
                <w:b w:val="1"/>
                <w:bCs w:val="1"/>
                <w:color w:val="auto"/>
              </w:rPr>
              <w:t>Net cash provided by operating activities</w:t>
            </w:r>
          </w:p>
        </w:tc>
        <w:tc>
          <w:tcPr>
            <w:tcW w:w="1060" w:type="dxa"/>
            <w:vAlign w:val="bottom"/>
            <w:tcBorders>
              <w:top w:val="single" w:sz="8" w:color="auto"/>
            </w:tcBorders>
          </w:tcPr>
          <w:p>
            <w:pPr>
              <w:spacing w:after="0"/>
              <w:rPr>
                <w:sz w:val="18"/>
                <w:szCs w:val="18"/>
                <w:color w:val="auto"/>
              </w:rPr>
            </w:pPr>
          </w:p>
        </w:tc>
        <w:tc>
          <w:tcPr>
            <w:tcW w:w="56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111.9</w:t>
            </w:r>
          </w:p>
        </w:tc>
        <w:tc>
          <w:tcPr>
            <w:tcW w:w="120" w:type="dxa"/>
            <w:vAlign w:val="bottom"/>
          </w:tcPr>
          <w:p>
            <w:pPr>
              <w:spacing w:after="0"/>
              <w:rPr>
                <w:sz w:val="18"/>
                <w:szCs w:val="18"/>
                <w:color w:val="auto"/>
              </w:rPr>
            </w:pPr>
          </w:p>
        </w:tc>
        <w:tc>
          <w:tcPr>
            <w:tcW w:w="1080" w:type="dxa"/>
            <w:vAlign w:val="bottom"/>
            <w:tcBorders>
              <w:top w:val="single" w:sz="8" w:color="auto"/>
            </w:tcBorders>
          </w:tcPr>
          <w:p>
            <w:pPr>
              <w:spacing w:after="0"/>
              <w:rPr>
                <w:sz w:val="18"/>
                <w:szCs w:val="18"/>
                <w:color w:val="auto"/>
              </w:rPr>
            </w:pPr>
          </w:p>
        </w:tc>
        <w:tc>
          <w:tcPr>
            <w:tcW w:w="54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86.1</w:t>
            </w:r>
          </w:p>
        </w:tc>
        <w:tc>
          <w:tcPr>
            <w:tcW w:w="120" w:type="dxa"/>
            <w:vAlign w:val="bottom"/>
          </w:tcPr>
          <w:p>
            <w:pPr>
              <w:spacing w:after="0"/>
              <w:rPr>
                <w:sz w:val="18"/>
                <w:szCs w:val="18"/>
                <w:color w:val="auto"/>
              </w:rPr>
            </w:pPr>
          </w:p>
        </w:tc>
        <w:tc>
          <w:tcPr>
            <w:tcW w:w="36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173.7</w:t>
            </w:r>
          </w:p>
        </w:tc>
        <w:tc>
          <w:tcPr>
            <w:tcW w:w="100" w:type="dxa"/>
            <w:vAlign w:val="bottom"/>
          </w:tcPr>
          <w:p>
            <w:pPr>
              <w:spacing w:after="0"/>
              <w:rPr>
                <w:sz w:val="18"/>
                <w:szCs w:val="18"/>
                <w:color w:val="auto"/>
              </w:rPr>
            </w:pPr>
          </w:p>
        </w:tc>
        <w:tc>
          <w:tcPr>
            <w:tcW w:w="62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147.7</w:t>
            </w:r>
          </w:p>
        </w:tc>
      </w:tr>
      <w:tr>
        <w:trPr>
          <w:trHeight w:val="33"/>
        </w:trPr>
        <w:tc>
          <w:tcPr>
            <w:tcW w:w="4680" w:type="dxa"/>
            <w:vAlign w:val="bottom"/>
            <w:tcBorders>
              <w:bottom w:val="single" w:sz="8" w:color="CCEEFF"/>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03"/>
        </w:trPr>
        <w:tc>
          <w:tcPr>
            <w:tcW w:w="4680" w:type="dxa"/>
            <w:vAlign w:val="bottom"/>
            <w:shd w:val="clear" w:color="auto" w:fill="CCEEFF"/>
          </w:tcPr>
          <w:p>
            <w:pPr>
              <w:ind w:left="40"/>
              <w:spacing w:after="0"/>
              <w:rPr>
                <w:sz w:val="20"/>
                <w:szCs w:val="20"/>
                <w:color w:val="auto"/>
              </w:rPr>
            </w:pPr>
            <w:r>
              <w:rPr>
                <w:rFonts w:ascii="Arial" w:cs="Arial" w:eastAsia="Arial" w:hAnsi="Arial"/>
                <w:sz w:val="16"/>
                <w:szCs w:val="16"/>
                <w:b w:val="1"/>
                <w:bCs w:val="1"/>
                <w:color w:val="auto"/>
              </w:rPr>
              <w:t>Cash flow from investing activities</w:t>
            </w:r>
          </w:p>
        </w:tc>
        <w:tc>
          <w:tcPr>
            <w:tcW w:w="106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1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r>
      <w:tr>
        <w:trPr>
          <w:trHeight w:val="46"/>
        </w:trPr>
        <w:tc>
          <w:tcPr>
            <w:tcW w:w="4680" w:type="dxa"/>
            <w:vAlign w:val="bottom"/>
            <w:shd w:val="clear" w:color="auto" w:fill="CCEEFF"/>
          </w:tcPr>
          <w:p>
            <w:pPr>
              <w:spacing w:after="0"/>
              <w:rPr>
                <w:sz w:val="4"/>
                <w:szCs w:val="4"/>
                <w:color w:val="auto"/>
              </w:rPr>
            </w:pPr>
          </w:p>
        </w:tc>
        <w:tc>
          <w:tcPr>
            <w:tcW w:w="1060" w:type="dxa"/>
            <w:vAlign w:val="bottom"/>
            <w:shd w:val="clear" w:color="auto" w:fill="CCEEFF"/>
          </w:tcPr>
          <w:p>
            <w:pPr>
              <w:spacing w:after="0"/>
              <w:rPr>
                <w:sz w:val="4"/>
                <w:szCs w:val="4"/>
                <w:color w:val="auto"/>
              </w:rPr>
            </w:pPr>
          </w:p>
        </w:tc>
        <w:tc>
          <w:tcPr>
            <w:tcW w:w="560" w:type="dxa"/>
            <w:vAlign w:val="bottom"/>
            <w:shd w:val="clear" w:color="auto" w:fill="CCEEFF"/>
          </w:tcPr>
          <w:p>
            <w:pPr>
              <w:spacing w:after="0"/>
              <w:rPr>
                <w:sz w:val="4"/>
                <w:szCs w:val="4"/>
                <w:color w:val="auto"/>
              </w:rPr>
            </w:pPr>
          </w:p>
        </w:tc>
        <w:tc>
          <w:tcPr>
            <w:tcW w:w="120" w:type="dxa"/>
            <w:vAlign w:val="bottom"/>
            <w:shd w:val="clear" w:color="auto" w:fill="CCEEFF"/>
          </w:tcPr>
          <w:p>
            <w:pPr>
              <w:spacing w:after="0"/>
              <w:rPr>
                <w:sz w:val="4"/>
                <w:szCs w:val="4"/>
                <w:color w:val="auto"/>
              </w:rPr>
            </w:pPr>
          </w:p>
        </w:tc>
        <w:tc>
          <w:tcPr>
            <w:tcW w:w="1080" w:type="dxa"/>
            <w:vAlign w:val="bottom"/>
            <w:shd w:val="clear" w:color="auto" w:fill="CCEEFF"/>
          </w:tcPr>
          <w:p>
            <w:pPr>
              <w:spacing w:after="0"/>
              <w:rPr>
                <w:sz w:val="4"/>
                <w:szCs w:val="4"/>
                <w:color w:val="auto"/>
              </w:rPr>
            </w:pPr>
          </w:p>
        </w:tc>
        <w:tc>
          <w:tcPr>
            <w:tcW w:w="540" w:type="dxa"/>
            <w:vAlign w:val="bottom"/>
            <w:shd w:val="clear" w:color="auto" w:fill="CCEEFF"/>
          </w:tcPr>
          <w:p>
            <w:pPr>
              <w:spacing w:after="0"/>
              <w:rPr>
                <w:sz w:val="4"/>
                <w:szCs w:val="4"/>
                <w:color w:val="auto"/>
              </w:rPr>
            </w:pPr>
          </w:p>
        </w:tc>
        <w:tc>
          <w:tcPr>
            <w:tcW w:w="120" w:type="dxa"/>
            <w:vAlign w:val="bottom"/>
            <w:shd w:val="clear" w:color="auto" w:fill="CCEEFF"/>
          </w:tcPr>
          <w:p>
            <w:pPr>
              <w:spacing w:after="0"/>
              <w:rPr>
                <w:sz w:val="4"/>
                <w:szCs w:val="4"/>
                <w:color w:val="auto"/>
              </w:rPr>
            </w:pPr>
          </w:p>
        </w:tc>
        <w:tc>
          <w:tcPr>
            <w:tcW w:w="360" w:type="dxa"/>
            <w:vAlign w:val="bottom"/>
            <w:shd w:val="clear" w:color="auto" w:fill="CCEEFF"/>
          </w:tcPr>
          <w:p>
            <w:pPr>
              <w:spacing w:after="0"/>
              <w:rPr>
                <w:sz w:val="4"/>
                <w:szCs w:val="4"/>
                <w:color w:val="auto"/>
              </w:rPr>
            </w:pPr>
          </w:p>
        </w:tc>
        <w:tc>
          <w:tcPr>
            <w:tcW w:w="1220" w:type="dxa"/>
            <w:vAlign w:val="bottom"/>
            <w:shd w:val="clear" w:color="auto" w:fill="CCEEFF"/>
          </w:tcPr>
          <w:p>
            <w:pPr>
              <w:spacing w:after="0"/>
              <w:rPr>
                <w:sz w:val="4"/>
                <w:szCs w:val="4"/>
                <w:color w:val="auto"/>
              </w:rPr>
            </w:pPr>
          </w:p>
        </w:tc>
        <w:tc>
          <w:tcPr>
            <w:tcW w:w="100" w:type="dxa"/>
            <w:vAlign w:val="bottom"/>
            <w:shd w:val="clear" w:color="auto" w:fill="CCEEFF"/>
          </w:tcPr>
          <w:p>
            <w:pPr>
              <w:spacing w:after="0"/>
              <w:rPr>
                <w:sz w:val="4"/>
                <w:szCs w:val="4"/>
                <w:color w:val="auto"/>
              </w:rPr>
            </w:pPr>
          </w:p>
        </w:tc>
        <w:tc>
          <w:tcPr>
            <w:tcW w:w="620" w:type="dxa"/>
            <w:vAlign w:val="bottom"/>
            <w:shd w:val="clear" w:color="auto" w:fill="CCEEFF"/>
          </w:tcPr>
          <w:p>
            <w:pPr>
              <w:spacing w:after="0"/>
              <w:rPr>
                <w:sz w:val="4"/>
                <w:szCs w:val="4"/>
                <w:color w:val="auto"/>
              </w:rPr>
            </w:pPr>
          </w:p>
        </w:tc>
        <w:tc>
          <w:tcPr>
            <w:tcW w:w="960" w:type="dxa"/>
            <w:vAlign w:val="bottom"/>
            <w:shd w:val="clear" w:color="auto" w:fill="CCEEFF"/>
          </w:tcPr>
          <w:p>
            <w:pPr>
              <w:spacing w:after="0"/>
              <w:rPr>
                <w:sz w:val="4"/>
                <w:szCs w:val="4"/>
                <w:color w:val="auto"/>
              </w:rPr>
            </w:pPr>
          </w:p>
        </w:tc>
      </w:tr>
    </w:tbl>
    <w:p>
      <w:pPr>
        <w:spacing w:after="0" w:line="17" w:lineRule="exact"/>
        <w:rPr>
          <w:sz w:val="20"/>
          <w:szCs w:val="20"/>
          <w:color w:val="auto"/>
        </w:rPr>
      </w:pPr>
    </w:p>
    <w:p>
      <w:pPr>
        <w:sectPr>
          <w:pgSz w:w="11900" w:h="16838" w:orient="portrait"/>
          <w:cols w:equalWidth="0" w:num="1">
            <w:col w:w="11420"/>
          </w:cols>
          <w:pgMar w:left="240" w:top="584" w:right="239" w:bottom="1440" w:gutter="0" w:footer="0" w:header="0"/>
        </w:sectPr>
      </w:pPr>
    </w:p>
    <w:p>
      <w:pPr>
        <w:ind w:left="280"/>
        <w:spacing w:after="0"/>
        <w:rPr>
          <w:sz w:val="20"/>
          <w:szCs w:val="20"/>
          <w:color w:val="auto"/>
        </w:rPr>
      </w:pPr>
      <w:r>
        <w:rPr>
          <w:rFonts w:ascii="Arial" w:cs="Arial" w:eastAsia="Arial" w:hAnsi="Arial"/>
          <w:sz w:val="16"/>
          <w:szCs w:val="16"/>
          <w:color w:val="auto"/>
        </w:rPr>
        <w:t>Capital expenditures</w:t>
      </w:r>
    </w:p>
    <w:p>
      <w:pPr>
        <w:spacing w:after="0" w:line="86" w:lineRule="exact"/>
        <w:rPr>
          <w:sz w:val="20"/>
          <w:szCs w:val="20"/>
          <w:color w:val="auto"/>
        </w:rPr>
      </w:pPr>
    </w:p>
    <w:p>
      <w:pPr>
        <w:ind w:left="280"/>
        <w:spacing w:after="0"/>
        <w:rPr>
          <w:sz w:val="20"/>
          <w:szCs w:val="20"/>
          <w:color w:val="auto"/>
        </w:rPr>
      </w:pPr>
      <w:r>
        <w:rPr>
          <w:rFonts w:ascii="Arial" w:cs="Arial" w:eastAsia="Arial" w:hAnsi="Arial"/>
          <w:sz w:val="16"/>
          <w:szCs w:val="16"/>
          <w:color w:val="auto"/>
        </w:rPr>
        <w:t>Purchase of intangible assets</w:t>
      </w:r>
    </w:p>
    <w:p>
      <w:pPr>
        <w:spacing w:after="0" w:line="86" w:lineRule="exact"/>
        <w:rPr>
          <w:sz w:val="20"/>
          <w:szCs w:val="20"/>
          <w:color w:val="auto"/>
        </w:rPr>
      </w:pPr>
    </w:p>
    <w:p>
      <w:pPr>
        <w:ind w:left="280"/>
        <w:spacing w:after="0"/>
        <w:rPr>
          <w:sz w:val="20"/>
          <w:szCs w:val="20"/>
          <w:color w:val="auto"/>
        </w:rPr>
      </w:pPr>
      <w:r>
        <w:rPr>
          <w:rFonts w:ascii="Arial" w:cs="Arial" w:eastAsia="Arial" w:hAnsi="Arial"/>
          <w:sz w:val="16"/>
          <w:szCs w:val="16"/>
          <w:color w:val="auto"/>
        </w:rPr>
        <w:t>Cash received from equipment rebates</w:t>
      </w:r>
    </w:p>
    <w:p>
      <w:pPr>
        <w:spacing w:after="0" w:line="86" w:lineRule="exact"/>
        <w:rPr>
          <w:sz w:val="20"/>
          <w:szCs w:val="20"/>
          <w:color w:val="auto"/>
        </w:rPr>
      </w:pPr>
    </w:p>
    <w:p>
      <w:pPr>
        <w:ind w:left="280"/>
        <w:spacing w:after="0"/>
        <w:rPr>
          <w:sz w:val="20"/>
          <w:szCs w:val="20"/>
          <w:color w:val="auto"/>
        </w:rPr>
      </w:pPr>
      <w:r>
        <w:rPr>
          <w:rFonts w:ascii="Arial" w:cs="Arial" w:eastAsia="Arial" w:hAnsi="Arial"/>
          <w:sz w:val="16"/>
          <w:szCs w:val="16"/>
          <w:color w:val="auto"/>
        </w:rPr>
        <w:t>Purchases of short-term investments</w:t>
      </w:r>
    </w:p>
    <w:p>
      <w:pPr>
        <w:spacing w:after="0" w:line="86" w:lineRule="exact"/>
        <w:rPr>
          <w:sz w:val="20"/>
          <w:szCs w:val="20"/>
          <w:color w:val="auto"/>
        </w:rPr>
      </w:pPr>
    </w:p>
    <w:p>
      <w:pPr>
        <w:ind w:left="280"/>
        <w:spacing w:after="0"/>
        <w:rPr>
          <w:sz w:val="20"/>
          <w:szCs w:val="20"/>
          <w:color w:val="auto"/>
        </w:rPr>
      </w:pPr>
      <w:r>
        <w:rPr>
          <w:rFonts w:ascii="Arial" w:cs="Arial" w:eastAsia="Arial" w:hAnsi="Arial"/>
          <w:sz w:val="16"/>
          <w:szCs w:val="16"/>
          <w:color w:val="auto"/>
        </w:rPr>
        <w:t>Proceeds from maturities of short-term investments</w:t>
      </w:r>
    </w:p>
    <w:p>
      <w:pPr>
        <w:spacing w:after="0" w:line="86" w:lineRule="exact"/>
        <w:rPr>
          <w:sz w:val="20"/>
          <w:szCs w:val="20"/>
          <w:color w:val="auto"/>
        </w:rPr>
      </w:pPr>
    </w:p>
    <w:p>
      <w:pPr>
        <w:ind w:left="280"/>
        <w:spacing w:after="0"/>
        <w:rPr>
          <w:sz w:val="20"/>
          <w:szCs w:val="20"/>
          <w:color w:val="auto"/>
        </w:rPr>
      </w:pPr>
      <w:r>
        <w:rPr>
          <w:rFonts w:ascii="Arial" w:cs="Arial" w:eastAsia="Arial" w:hAnsi="Arial"/>
          <w:sz w:val="16"/>
          <w:szCs w:val="16"/>
          <w:color w:val="auto"/>
        </w:rPr>
        <w:t>Proceeds from sales of short-term investments</w:t>
      </w:r>
    </w:p>
    <w:p>
      <w:pPr>
        <w:spacing w:after="0" w:line="82" w:lineRule="exact"/>
        <w:rPr>
          <w:sz w:val="20"/>
          <w:szCs w:val="20"/>
          <w:color w:val="auto"/>
        </w:rPr>
      </w:pPr>
    </w:p>
    <w:p>
      <w:pPr>
        <w:ind w:left="40"/>
        <w:spacing w:after="0"/>
        <w:rPr>
          <w:sz w:val="20"/>
          <w:szCs w:val="20"/>
          <w:color w:val="auto"/>
        </w:rPr>
      </w:pPr>
      <w:r>
        <w:rPr>
          <w:rFonts w:ascii="Arial" w:cs="Arial" w:eastAsia="Arial" w:hAnsi="Arial"/>
          <w:sz w:val="16"/>
          <w:szCs w:val="16"/>
          <w:b w:val="1"/>
          <w:bCs w:val="1"/>
          <w:color w:val="auto"/>
        </w:rPr>
        <w:t>Net cash used in investing activities</w:t>
      </w:r>
    </w:p>
    <w:p>
      <w:pPr>
        <w:spacing w:after="0" w:line="86" w:lineRule="exact"/>
        <w:rPr>
          <w:sz w:val="20"/>
          <w:szCs w:val="20"/>
          <w:color w:val="auto"/>
        </w:rPr>
      </w:pPr>
    </w:p>
    <w:p>
      <w:pPr>
        <w:ind w:left="40"/>
        <w:spacing w:after="0"/>
        <w:rPr>
          <w:sz w:val="20"/>
          <w:szCs w:val="20"/>
          <w:color w:val="auto"/>
        </w:rPr>
      </w:pPr>
      <w:r>
        <w:rPr>
          <w:rFonts w:ascii="Arial" w:cs="Arial" w:eastAsia="Arial" w:hAnsi="Arial"/>
          <w:sz w:val="16"/>
          <w:szCs w:val="16"/>
          <w:b w:val="1"/>
          <w:bCs w:val="1"/>
          <w:color w:val="auto"/>
        </w:rPr>
        <w:t>Cash flow from financing activities</w:t>
      </w:r>
    </w:p>
    <w:p>
      <w:pPr>
        <w:spacing w:after="0" w:line="90" w:lineRule="exact"/>
        <w:rPr>
          <w:sz w:val="20"/>
          <w:szCs w:val="20"/>
          <w:color w:val="auto"/>
        </w:rPr>
      </w:pPr>
    </w:p>
    <w:p>
      <w:pPr>
        <w:ind w:left="280"/>
        <w:spacing w:after="0" w:line="292" w:lineRule="auto"/>
        <w:rPr>
          <w:sz w:val="20"/>
          <w:szCs w:val="20"/>
          <w:color w:val="auto"/>
        </w:rPr>
      </w:pPr>
      <w:r>
        <w:rPr>
          <w:rFonts w:ascii="Arial" w:cs="Arial" w:eastAsia="Arial" w:hAnsi="Arial"/>
          <w:sz w:val="16"/>
          <w:szCs w:val="16"/>
          <w:color w:val="auto"/>
        </w:rPr>
        <w:t>Proceeds from initial public offering and private placement, net of underwriters' discounts and commissions</w:t>
      </w:r>
    </w:p>
    <w:p>
      <w:pPr>
        <w:spacing w:after="0" w:line="11" w:lineRule="exact"/>
        <w:rPr>
          <w:sz w:val="20"/>
          <w:szCs w:val="20"/>
          <w:color w:val="auto"/>
        </w:rPr>
      </w:pPr>
    </w:p>
    <w:p>
      <w:pPr>
        <w:ind w:left="280"/>
        <w:spacing w:after="0"/>
        <w:rPr>
          <w:sz w:val="20"/>
          <w:szCs w:val="20"/>
          <w:color w:val="auto"/>
        </w:rPr>
      </w:pPr>
      <w:r>
        <w:rPr>
          <w:rFonts w:ascii="Arial" w:cs="Arial" w:eastAsia="Arial" w:hAnsi="Arial"/>
          <w:sz w:val="16"/>
          <w:szCs w:val="16"/>
          <w:color w:val="auto"/>
        </w:rPr>
        <w:t>Payments of deferred offering costs</w:t>
      </w:r>
    </w:p>
    <w:p>
      <w:pPr>
        <w:spacing w:after="0" w:line="86" w:lineRule="exact"/>
        <w:rPr>
          <w:sz w:val="20"/>
          <w:szCs w:val="20"/>
          <w:color w:val="auto"/>
        </w:rPr>
      </w:pPr>
    </w:p>
    <w:p>
      <w:pPr>
        <w:ind w:left="280" w:right="160"/>
        <w:spacing w:after="0" w:line="292" w:lineRule="auto"/>
        <w:rPr>
          <w:sz w:val="20"/>
          <w:szCs w:val="20"/>
          <w:color w:val="auto"/>
        </w:rPr>
      </w:pPr>
      <w:r>
        <w:rPr>
          <w:rFonts w:ascii="Arial" w:cs="Arial" w:eastAsia="Arial" w:hAnsi="Arial"/>
          <w:sz w:val="16"/>
          <w:szCs w:val="16"/>
          <w:color w:val="auto"/>
        </w:rPr>
        <w:t>Shares repurchased for tax withholdings on release of restricted stock</w:t>
      </w:r>
    </w:p>
    <w:p>
      <w:pPr>
        <w:spacing w:after="0" w:line="11" w:lineRule="exact"/>
        <w:rPr>
          <w:sz w:val="20"/>
          <w:szCs w:val="20"/>
          <w:color w:val="auto"/>
        </w:rPr>
      </w:pPr>
    </w:p>
    <w:p>
      <w:pPr>
        <w:ind w:left="280" w:right="940"/>
        <w:spacing w:after="0" w:line="340" w:lineRule="auto"/>
        <w:rPr>
          <w:sz w:val="20"/>
          <w:szCs w:val="20"/>
          <w:color w:val="auto"/>
        </w:rPr>
      </w:pPr>
      <w:r>
        <w:rPr>
          <w:rFonts w:ascii="Arial" w:cs="Arial" w:eastAsia="Arial" w:hAnsi="Arial"/>
          <w:sz w:val="16"/>
          <w:szCs w:val="16"/>
          <w:color w:val="auto"/>
        </w:rPr>
        <w:t>Principal payments against capital lease obligations Other</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06"/>
        </w:trPr>
        <w:tc>
          <w:tcPr>
            <w:tcW w:w="1620" w:type="dxa"/>
            <w:vAlign w:val="bottom"/>
          </w:tcPr>
          <w:p>
            <w:pPr>
              <w:jc w:val="right"/>
              <w:spacing w:after="0"/>
              <w:rPr>
                <w:sz w:val="20"/>
                <w:szCs w:val="20"/>
                <w:color w:val="auto"/>
              </w:rPr>
            </w:pPr>
            <w:r>
              <w:rPr>
                <w:rFonts w:ascii="Arial" w:cs="Arial" w:eastAsia="Arial" w:hAnsi="Arial"/>
                <w:sz w:val="16"/>
                <w:szCs w:val="16"/>
                <w:color w:val="auto"/>
              </w:rPr>
              <w:t>(9.7)</w:t>
            </w:r>
          </w:p>
        </w:tc>
        <w:tc>
          <w:tcPr>
            <w:tcW w:w="120" w:type="dxa"/>
            <w:vAlign w:val="bottom"/>
          </w:tcPr>
          <w:p>
            <w:pPr>
              <w:spacing w:after="0"/>
              <w:rPr>
                <w:sz w:val="17"/>
                <w:szCs w:val="17"/>
                <w:color w:val="auto"/>
              </w:rPr>
            </w:pPr>
          </w:p>
        </w:tc>
        <w:tc>
          <w:tcPr>
            <w:tcW w:w="1620" w:type="dxa"/>
            <w:vAlign w:val="bottom"/>
          </w:tcPr>
          <w:p>
            <w:pPr>
              <w:jc w:val="right"/>
              <w:spacing w:after="0"/>
              <w:rPr>
                <w:sz w:val="20"/>
                <w:szCs w:val="20"/>
                <w:color w:val="auto"/>
              </w:rPr>
            </w:pPr>
            <w:r>
              <w:rPr>
                <w:rFonts w:ascii="Arial" w:cs="Arial" w:eastAsia="Arial" w:hAnsi="Arial"/>
                <w:sz w:val="16"/>
                <w:szCs w:val="16"/>
                <w:color w:val="auto"/>
              </w:rPr>
              <w:t>(3.7)</w:t>
            </w:r>
          </w:p>
        </w:tc>
        <w:tc>
          <w:tcPr>
            <w:tcW w:w="120" w:type="dxa"/>
            <w:vAlign w:val="bottom"/>
          </w:tcPr>
          <w:p>
            <w:pPr>
              <w:spacing w:after="0"/>
              <w:rPr>
                <w:sz w:val="17"/>
                <w:szCs w:val="17"/>
                <w:color w:val="auto"/>
              </w:rPr>
            </w:pPr>
          </w:p>
        </w:tc>
        <w:tc>
          <w:tcPr>
            <w:tcW w:w="1580" w:type="dxa"/>
            <w:vAlign w:val="bottom"/>
          </w:tcPr>
          <w:p>
            <w:pPr>
              <w:jc w:val="right"/>
              <w:spacing w:after="0"/>
              <w:rPr>
                <w:sz w:val="20"/>
                <w:szCs w:val="20"/>
                <w:color w:val="auto"/>
              </w:rPr>
            </w:pPr>
            <w:r>
              <w:rPr>
                <w:rFonts w:ascii="Arial" w:cs="Arial" w:eastAsia="Arial" w:hAnsi="Arial"/>
                <w:sz w:val="16"/>
                <w:szCs w:val="16"/>
                <w:color w:val="auto"/>
              </w:rPr>
              <w:t>(19.6)</w:t>
            </w:r>
          </w:p>
        </w:tc>
        <w:tc>
          <w:tcPr>
            <w:tcW w:w="100" w:type="dxa"/>
            <w:vAlign w:val="bottom"/>
          </w:tcPr>
          <w:p>
            <w:pPr>
              <w:spacing w:after="0"/>
              <w:rPr>
                <w:sz w:val="17"/>
                <w:szCs w:val="17"/>
                <w:color w:val="auto"/>
              </w:rPr>
            </w:pPr>
          </w:p>
        </w:tc>
        <w:tc>
          <w:tcPr>
            <w:tcW w:w="1580" w:type="dxa"/>
            <w:vAlign w:val="bottom"/>
          </w:tcPr>
          <w:p>
            <w:pPr>
              <w:jc w:val="right"/>
              <w:spacing w:after="0"/>
              <w:rPr>
                <w:sz w:val="20"/>
                <w:szCs w:val="20"/>
                <w:color w:val="auto"/>
              </w:rPr>
            </w:pPr>
            <w:r>
              <w:rPr>
                <w:rFonts w:ascii="Arial" w:cs="Arial" w:eastAsia="Arial" w:hAnsi="Arial"/>
                <w:sz w:val="16"/>
                <w:szCs w:val="16"/>
                <w:color w:val="auto"/>
              </w:rPr>
              <w:t>(8.8)</w:t>
            </w:r>
          </w:p>
        </w:tc>
      </w:tr>
      <w:tr>
        <w:trPr>
          <w:trHeight w:val="270"/>
        </w:trPr>
        <w:tc>
          <w:tcPr>
            <w:tcW w:w="174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620" w:type="dxa"/>
            <w:vAlign w:val="bottom"/>
          </w:tcPr>
          <w:p>
            <w:pPr>
              <w:jc w:val="right"/>
              <w:spacing w:after="0"/>
              <w:rPr>
                <w:sz w:val="20"/>
                <w:szCs w:val="20"/>
                <w:color w:val="auto"/>
              </w:rPr>
            </w:pPr>
            <w:r>
              <w:rPr>
                <w:rFonts w:ascii="Arial" w:cs="Arial" w:eastAsia="Arial" w:hAnsi="Arial"/>
                <w:sz w:val="16"/>
                <w:szCs w:val="16"/>
                <w:color w:val="auto"/>
              </w:rPr>
              <w:t>(0.5)</w:t>
            </w:r>
          </w:p>
        </w:tc>
        <w:tc>
          <w:tcPr>
            <w:tcW w:w="120" w:type="dxa"/>
            <w:vAlign w:val="bottom"/>
          </w:tcPr>
          <w:p>
            <w:pPr>
              <w:spacing w:after="0"/>
              <w:rPr>
                <w:sz w:val="23"/>
                <w:szCs w:val="23"/>
                <w:color w:val="auto"/>
              </w:rPr>
            </w:pPr>
          </w:p>
        </w:tc>
        <w:tc>
          <w:tcPr>
            <w:tcW w:w="1580" w:type="dxa"/>
            <w:vAlign w:val="bottom"/>
          </w:tcPr>
          <w:p>
            <w:pPr>
              <w:jc w:val="right"/>
              <w:spacing w:after="0"/>
              <w:rPr>
                <w:sz w:val="20"/>
                <w:szCs w:val="20"/>
                <w:color w:val="auto"/>
              </w:rPr>
            </w:pPr>
            <w:r>
              <w:rPr>
                <w:rFonts w:ascii="Arial" w:cs="Arial" w:eastAsia="Arial" w:hAnsi="Arial"/>
                <w:sz w:val="16"/>
                <w:szCs w:val="16"/>
                <w:color w:val="auto"/>
              </w:rPr>
              <w:t>(2.5)</w:t>
            </w:r>
          </w:p>
        </w:tc>
        <w:tc>
          <w:tcPr>
            <w:tcW w:w="100" w:type="dxa"/>
            <w:vAlign w:val="bottom"/>
          </w:tcPr>
          <w:p>
            <w:pPr>
              <w:spacing w:after="0"/>
              <w:rPr>
                <w:sz w:val="23"/>
                <w:szCs w:val="23"/>
                <w:color w:val="auto"/>
              </w:rPr>
            </w:pPr>
          </w:p>
        </w:tc>
        <w:tc>
          <w:tcPr>
            <w:tcW w:w="1580" w:type="dxa"/>
            <w:vAlign w:val="bottom"/>
          </w:tcPr>
          <w:p>
            <w:pPr>
              <w:jc w:val="right"/>
              <w:spacing w:after="0"/>
              <w:rPr>
                <w:sz w:val="20"/>
                <w:szCs w:val="20"/>
                <w:color w:val="auto"/>
              </w:rPr>
            </w:pPr>
            <w:r>
              <w:rPr>
                <w:rFonts w:ascii="Arial" w:cs="Arial" w:eastAsia="Arial" w:hAnsi="Arial"/>
                <w:sz w:val="16"/>
                <w:szCs w:val="16"/>
                <w:color w:val="auto"/>
              </w:rPr>
              <w:t>(0.8)</w:t>
            </w:r>
          </w:p>
        </w:tc>
      </w:tr>
      <w:tr>
        <w:trPr>
          <w:trHeight w:val="270"/>
        </w:trPr>
        <w:tc>
          <w:tcPr>
            <w:tcW w:w="1620" w:type="dxa"/>
            <w:vAlign w:val="bottom"/>
          </w:tcPr>
          <w:p>
            <w:pPr>
              <w:jc w:val="right"/>
              <w:ind w:right="39"/>
              <w:spacing w:after="0"/>
              <w:rPr>
                <w:sz w:val="20"/>
                <w:szCs w:val="20"/>
                <w:color w:val="auto"/>
              </w:rPr>
            </w:pPr>
            <w:r>
              <w:rPr>
                <w:rFonts w:ascii="Arial" w:cs="Arial" w:eastAsia="Arial" w:hAnsi="Arial"/>
                <w:sz w:val="16"/>
                <w:szCs w:val="16"/>
                <w:color w:val="auto"/>
              </w:rPr>
              <w:t>0.8</w:t>
            </w:r>
          </w:p>
        </w:tc>
        <w:tc>
          <w:tcPr>
            <w:tcW w:w="120" w:type="dxa"/>
            <w:vAlign w:val="bottom"/>
          </w:tcPr>
          <w:p>
            <w:pPr>
              <w:spacing w:after="0"/>
              <w:rPr>
                <w:sz w:val="23"/>
                <w:szCs w:val="23"/>
                <w:color w:val="auto"/>
              </w:rPr>
            </w:pPr>
          </w:p>
        </w:tc>
        <w:tc>
          <w:tcPr>
            <w:tcW w:w="1620" w:type="dxa"/>
            <w:vAlign w:val="bottom"/>
          </w:tcPr>
          <w:p>
            <w:pPr>
              <w:jc w:val="right"/>
              <w:ind w:right="39"/>
              <w:spacing w:after="0"/>
              <w:rPr>
                <w:sz w:val="20"/>
                <w:szCs w:val="20"/>
                <w:color w:val="auto"/>
              </w:rPr>
            </w:pPr>
            <w:r>
              <w:rPr>
                <w:rFonts w:ascii="Arial" w:cs="Arial" w:eastAsia="Arial" w:hAnsi="Arial"/>
                <w:sz w:val="16"/>
                <w:szCs w:val="16"/>
                <w:color w:val="auto"/>
              </w:rPr>
              <w:t>0.6</w:t>
            </w:r>
          </w:p>
        </w:tc>
        <w:tc>
          <w:tcPr>
            <w:tcW w:w="120" w:type="dxa"/>
            <w:vAlign w:val="bottom"/>
          </w:tcPr>
          <w:p>
            <w:pPr>
              <w:spacing w:after="0"/>
              <w:rPr>
                <w:sz w:val="23"/>
                <w:szCs w:val="23"/>
                <w:color w:val="auto"/>
              </w:rPr>
            </w:pPr>
          </w:p>
        </w:tc>
        <w:tc>
          <w:tcPr>
            <w:tcW w:w="1580" w:type="dxa"/>
            <w:vAlign w:val="bottom"/>
          </w:tcPr>
          <w:p>
            <w:pPr>
              <w:jc w:val="right"/>
              <w:ind w:right="39"/>
              <w:spacing w:after="0"/>
              <w:rPr>
                <w:sz w:val="20"/>
                <w:szCs w:val="20"/>
                <w:color w:val="auto"/>
              </w:rPr>
            </w:pPr>
            <w:r>
              <w:rPr>
                <w:rFonts w:ascii="Arial" w:cs="Arial" w:eastAsia="Arial" w:hAnsi="Arial"/>
                <w:sz w:val="16"/>
                <w:szCs w:val="16"/>
                <w:color w:val="auto"/>
              </w:rPr>
              <w:t>0.9</w:t>
            </w:r>
          </w:p>
        </w:tc>
        <w:tc>
          <w:tcPr>
            <w:tcW w:w="100" w:type="dxa"/>
            <w:vAlign w:val="bottom"/>
          </w:tcPr>
          <w:p>
            <w:pPr>
              <w:spacing w:after="0"/>
              <w:rPr>
                <w:sz w:val="23"/>
                <w:szCs w:val="23"/>
                <w:color w:val="auto"/>
              </w:rPr>
            </w:pPr>
          </w:p>
        </w:tc>
        <w:tc>
          <w:tcPr>
            <w:tcW w:w="1580" w:type="dxa"/>
            <w:vAlign w:val="bottom"/>
          </w:tcPr>
          <w:p>
            <w:pPr>
              <w:jc w:val="right"/>
              <w:ind w:right="19"/>
              <w:spacing w:after="0"/>
              <w:rPr>
                <w:sz w:val="20"/>
                <w:szCs w:val="20"/>
                <w:color w:val="auto"/>
              </w:rPr>
            </w:pPr>
            <w:r>
              <w:rPr>
                <w:rFonts w:ascii="Arial" w:cs="Arial" w:eastAsia="Arial" w:hAnsi="Arial"/>
                <w:sz w:val="16"/>
                <w:szCs w:val="16"/>
                <w:color w:val="auto"/>
              </w:rPr>
              <w:t>1.9</w:t>
            </w:r>
          </w:p>
        </w:tc>
      </w:tr>
      <w:tr>
        <w:trPr>
          <w:trHeight w:val="270"/>
        </w:trPr>
        <w:tc>
          <w:tcPr>
            <w:tcW w:w="1620" w:type="dxa"/>
            <w:vAlign w:val="bottom"/>
          </w:tcPr>
          <w:p>
            <w:pPr>
              <w:jc w:val="right"/>
              <w:spacing w:after="0"/>
              <w:rPr>
                <w:sz w:val="20"/>
                <w:szCs w:val="20"/>
                <w:color w:val="auto"/>
              </w:rPr>
            </w:pPr>
            <w:r>
              <w:rPr>
                <w:rFonts w:ascii="Arial" w:cs="Arial" w:eastAsia="Arial" w:hAnsi="Arial"/>
                <w:sz w:val="16"/>
                <w:szCs w:val="16"/>
                <w:color w:val="auto"/>
              </w:rPr>
              <w:t>(315.1)</w:t>
            </w:r>
          </w:p>
        </w:tc>
        <w:tc>
          <w:tcPr>
            <w:tcW w:w="120" w:type="dxa"/>
            <w:vAlign w:val="bottom"/>
          </w:tcPr>
          <w:p>
            <w:pPr>
              <w:spacing w:after="0"/>
              <w:rPr>
                <w:sz w:val="23"/>
                <w:szCs w:val="23"/>
                <w:color w:val="auto"/>
              </w:rPr>
            </w:pPr>
          </w:p>
        </w:tc>
        <w:tc>
          <w:tcPr>
            <w:tcW w:w="174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580" w:type="dxa"/>
            <w:vAlign w:val="bottom"/>
          </w:tcPr>
          <w:p>
            <w:pPr>
              <w:jc w:val="right"/>
              <w:spacing w:after="0"/>
              <w:rPr>
                <w:sz w:val="20"/>
                <w:szCs w:val="20"/>
                <w:color w:val="auto"/>
              </w:rPr>
            </w:pPr>
            <w:r>
              <w:rPr>
                <w:rFonts w:ascii="Arial" w:cs="Arial" w:eastAsia="Arial" w:hAnsi="Arial"/>
                <w:sz w:val="16"/>
                <w:szCs w:val="16"/>
                <w:color w:val="auto"/>
              </w:rPr>
              <w:t>(495.9)</w:t>
            </w:r>
          </w:p>
        </w:tc>
        <w:tc>
          <w:tcPr>
            <w:tcW w:w="100" w:type="dxa"/>
            <w:vAlign w:val="bottom"/>
          </w:tcPr>
          <w:p>
            <w:pPr>
              <w:spacing w:after="0"/>
              <w:rPr>
                <w:sz w:val="23"/>
                <w:szCs w:val="23"/>
                <w:color w:val="auto"/>
              </w:rPr>
            </w:pPr>
          </w:p>
        </w:tc>
        <w:tc>
          <w:tcPr>
            <w:tcW w:w="1580" w:type="dxa"/>
            <w:vAlign w:val="bottom"/>
          </w:tcPr>
          <w:p>
            <w:pPr>
              <w:jc w:val="right"/>
              <w:ind w:right="19"/>
              <w:spacing w:after="0"/>
              <w:rPr>
                <w:sz w:val="20"/>
                <w:szCs w:val="20"/>
                <w:color w:val="auto"/>
              </w:rPr>
            </w:pPr>
            <w:r>
              <w:rPr>
                <w:rFonts w:ascii="Arial" w:cs="Arial" w:eastAsia="Arial" w:hAnsi="Arial"/>
                <w:sz w:val="16"/>
                <w:szCs w:val="16"/>
                <w:color w:val="auto"/>
              </w:rPr>
              <w:t>—</w:t>
            </w:r>
          </w:p>
        </w:tc>
      </w:tr>
      <w:tr>
        <w:trPr>
          <w:trHeight w:val="270"/>
        </w:trPr>
        <w:tc>
          <w:tcPr>
            <w:tcW w:w="1620" w:type="dxa"/>
            <w:vAlign w:val="bottom"/>
          </w:tcPr>
          <w:p>
            <w:pPr>
              <w:jc w:val="right"/>
              <w:ind w:right="39"/>
              <w:spacing w:after="0"/>
              <w:rPr>
                <w:sz w:val="20"/>
                <w:szCs w:val="20"/>
                <w:color w:val="auto"/>
              </w:rPr>
            </w:pPr>
            <w:r>
              <w:rPr>
                <w:rFonts w:ascii="Arial" w:cs="Arial" w:eastAsia="Arial" w:hAnsi="Arial"/>
                <w:sz w:val="16"/>
                <w:szCs w:val="16"/>
                <w:color w:val="auto"/>
              </w:rPr>
              <w:t>16.4</w:t>
            </w:r>
          </w:p>
        </w:tc>
        <w:tc>
          <w:tcPr>
            <w:tcW w:w="120" w:type="dxa"/>
            <w:vAlign w:val="bottom"/>
          </w:tcPr>
          <w:p>
            <w:pPr>
              <w:spacing w:after="0"/>
              <w:rPr>
                <w:sz w:val="23"/>
                <w:szCs w:val="23"/>
                <w:color w:val="auto"/>
              </w:rPr>
            </w:pPr>
          </w:p>
        </w:tc>
        <w:tc>
          <w:tcPr>
            <w:tcW w:w="174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580" w:type="dxa"/>
            <w:vAlign w:val="bottom"/>
          </w:tcPr>
          <w:p>
            <w:pPr>
              <w:jc w:val="right"/>
              <w:ind w:right="39"/>
              <w:spacing w:after="0"/>
              <w:rPr>
                <w:sz w:val="20"/>
                <w:szCs w:val="20"/>
                <w:color w:val="auto"/>
              </w:rPr>
            </w:pPr>
            <w:r>
              <w:rPr>
                <w:rFonts w:ascii="Arial" w:cs="Arial" w:eastAsia="Arial" w:hAnsi="Arial"/>
                <w:sz w:val="16"/>
                <w:szCs w:val="16"/>
                <w:color w:val="auto"/>
              </w:rPr>
              <w:t>16.4</w:t>
            </w:r>
          </w:p>
        </w:tc>
        <w:tc>
          <w:tcPr>
            <w:tcW w:w="100" w:type="dxa"/>
            <w:vAlign w:val="bottom"/>
          </w:tcPr>
          <w:p>
            <w:pPr>
              <w:spacing w:after="0"/>
              <w:rPr>
                <w:sz w:val="23"/>
                <w:szCs w:val="23"/>
                <w:color w:val="auto"/>
              </w:rPr>
            </w:pPr>
          </w:p>
        </w:tc>
        <w:tc>
          <w:tcPr>
            <w:tcW w:w="1580" w:type="dxa"/>
            <w:vAlign w:val="bottom"/>
          </w:tcPr>
          <w:p>
            <w:pPr>
              <w:jc w:val="right"/>
              <w:ind w:right="19"/>
              <w:spacing w:after="0"/>
              <w:rPr>
                <w:sz w:val="20"/>
                <w:szCs w:val="20"/>
                <w:color w:val="auto"/>
              </w:rPr>
            </w:pPr>
            <w:r>
              <w:rPr>
                <w:rFonts w:ascii="Arial" w:cs="Arial" w:eastAsia="Arial" w:hAnsi="Arial"/>
                <w:sz w:val="16"/>
                <w:szCs w:val="16"/>
                <w:color w:val="auto"/>
              </w:rPr>
              <w:t>—</w:t>
            </w:r>
          </w:p>
        </w:tc>
      </w:tr>
      <w:tr>
        <w:trPr>
          <w:trHeight w:val="270"/>
        </w:trPr>
        <w:tc>
          <w:tcPr>
            <w:tcW w:w="1620" w:type="dxa"/>
            <w:vAlign w:val="bottom"/>
          </w:tcPr>
          <w:p>
            <w:pPr>
              <w:jc w:val="right"/>
              <w:ind w:right="39"/>
              <w:spacing w:after="0"/>
              <w:rPr>
                <w:sz w:val="20"/>
                <w:szCs w:val="20"/>
                <w:color w:val="auto"/>
              </w:rPr>
            </w:pPr>
            <w:r>
              <w:rPr>
                <w:rFonts w:ascii="Arial" w:cs="Arial" w:eastAsia="Arial" w:hAnsi="Arial"/>
                <w:sz w:val="16"/>
                <w:szCs w:val="16"/>
                <w:color w:val="auto"/>
              </w:rPr>
              <w:t>3.1</w:t>
            </w:r>
          </w:p>
        </w:tc>
        <w:tc>
          <w:tcPr>
            <w:tcW w:w="120" w:type="dxa"/>
            <w:vAlign w:val="bottom"/>
          </w:tcPr>
          <w:p>
            <w:pPr>
              <w:spacing w:after="0"/>
              <w:rPr>
                <w:sz w:val="23"/>
                <w:szCs w:val="23"/>
                <w:color w:val="auto"/>
              </w:rPr>
            </w:pPr>
          </w:p>
        </w:tc>
        <w:tc>
          <w:tcPr>
            <w:tcW w:w="174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580" w:type="dxa"/>
            <w:vAlign w:val="bottom"/>
          </w:tcPr>
          <w:p>
            <w:pPr>
              <w:jc w:val="right"/>
              <w:ind w:right="39"/>
              <w:spacing w:after="0"/>
              <w:rPr>
                <w:sz w:val="20"/>
                <w:szCs w:val="20"/>
                <w:color w:val="auto"/>
              </w:rPr>
            </w:pPr>
            <w:r>
              <w:rPr>
                <w:rFonts w:ascii="Arial" w:cs="Arial" w:eastAsia="Arial" w:hAnsi="Arial"/>
                <w:sz w:val="16"/>
                <w:szCs w:val="16"/>
                <w:color w:val="auto"/>
              </w:rPr>
              <w:t>3.1</w:t>
            </w:r>
          </w:p>
        </w:tc>
        <w:tc>
          <w:tcPr>
            <w:tcW w:w="100" w:type="dxa"/>
            <w:vAlign w:val="bottom"/>
          </w:tcPr>
          <w:p>
            <w:pPr>
              <w:spacing w:after="0"/>
              <w:rPr>
                <w:sz w:val="23"/>
                <w:szCs w:val="23"/>
                <w:color w:val="auto"/>
              </w:rPr>
            </w:pPr>
          </w:p>
        </w:tc>
        <w:tc>
          <w:tcPr>
            <w:tcW w:w="1580" w:type="dxa"/>
            <w:vAlign w:val="bottom"/>
          </w:tcPr>
          <w:p>
            <w:pPr>
              <w:jc w:val="right"/>
              <w:ind w:right="19"/>
              <w:spacing w:after="0"/>
              <w:rPr>
                <w:sz w:val="20"/>
                <w:szCs w:val="20"/>
                <w:color w:val="auto"/>
              </w:rPr>
            </w:pPr>
            <w:r>
              <w:rPr>
                <w:rFonts w:ascii="Arial" w:cs="Arial" w:eastAsia="Arial" w:hAnsi="Arial"/>
                <w:sz w:val="16"/>
                <w:szCs w:val="16"/>
                <w:color w:val="auto"/>
              </w:rPr>
              <w:t>—</w:t>
            </w:r>
          </w:p>
        </w:tc>
      </w:tr>
      <w:tr>
        <w:trPr>
          <w:trHeight w:val="33"/>
        </w:trPr>
        <w:tc>
          <w:tcPr>
            <w:tcW w:w="16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r>
      <w:tr>
        <w:trPr>
          <w:trHeight w:val="217"/>
        </w:trPr>
        <w:tc>
          <w:tcPr>
            <w:tcW w:w="1620" w:type="dxa"/>
            <w:vAlign w:val="bottom"/>
          </w:tcPr>
          <w:p>
            <w:pPr>
              <w:jc w:val="right"/>
              <w:spacing w:after="0"/>
              <w:rPr>
                <w:sz w:val="20"/>
                <w:szCs w:val="20"/>
                <w:color w:val="auto"/>
              </w:rPr>
            </w:pPr>
            <w:r>
              <w:rPr>
                <w:rFonts w:ascii="Arial" w:cs="Arial" w:eastAsia="Arial" w:hAnsi="Arial"/>
                <w:sz w:val="16"/>
                <w:szCs w:val="16"/>
                <w:color w:val="auto"/>
              </w:rPr>
              <w:t>(304.5)</w:t>
            </w:r>
          </w:p>
        </w:tc>
        <w:tc>
          <w:tcPr>
            <w:tcW w:w="120" w:type="dxa"/>
            <w:vAlign w:val="bottom"/>
          </w:tcPr>
          <w:p>
            <w:pPr>
              <w:spacing w:after="0"/>
              <w:rPr>
                <w:sz w:val="18"/>
                <w:szCs w:val="18"/>
                <w:color w:val="auto"/>
              </w:rPr>
            </w:pPr>
          </w:p>
        </w:tc>
        <w:tc>
          <w:tcPr>
            <w:tcW w:w="1620" w:type="dxa"/>
            <w:vAlign w:val="bottom"/>
          </w:tcPr>
          <w:p>
            <w:pPr>
              <w:jc w:val="right"/>
              <w:spacing w:after="0"/>
              <w:rPr>
                <w:sz w:val="20"/>
                <w:szCs w:val="20"/>
                <w:color w:val="auto"/>
              </w:rPr>
            </w:pPr>
            <w:r>
              <w:rPr>
                <w:rFonts w:ascii="Arial" w:cs="Arial" w:eastAsia="Arial" w:hAnsi="Arial"/>
                <w:sz w:val="16"/>
                <w:szCs w:val="16"/>
                <w:color w:val="auto"/>
              </w:rPr>
              <w:t>(3.6)</w:t>
            </w:r>
          </w:p>
        </w:tc>
        <w:tc>
          <w:tcPr>
            <w:tcW w:w="120" w:type="dxa"/>
            <w:vAlign w:val="bottom"/>
          </w:tcPr>
          <w:p>
            <w:pPr>
              <w:spacing w:after="0"/>
              <w:rPr>
                <w:sz w:val="18"/>
                <w:szCs w:val="18"/>
                <w:color w:val="auto"/>
              </w:rPr>
            </w:pPr>
          </w:p>
        </w:tc>
        <w:tc>
          <w:tcPr>
            <w:tcW w:w="1580" w:type="dxa"/>
            <w:vAlign w:val="bottom"/>
          </w:tcPr>
          <w:p>
            <w:pPr>
              <w:jc w:val="right"/>
              <w:spacing w:after="0"/>
              <w:rPr>
                <w:sz w:val="20"/>
                <w:szCs w:val="20"/>
                <w:color w:val="auto"/>
              </w:rPr>
            </w:pPr>
            <w:r>
              <w:rPr>
                <w:rFonts w:ascii="Arial" w:cs="Arial" w:eastAsia="Arial" w:hAnsi="Arial"/>
                <w:sz w:val="16"/>
                <w:szCs w:val="16"/>
                <w:color w:val="auto"/>
              </w:rPr>
              <w:t>(497.6)</w:t>
            </w:r>
          </w:p>
        </w:tc>
        <w:tc>
          <w:tcPr>
            <w:tcW w:w="100" w:type="dxa"/>
            <w:vAlign w:val="bottom"/>
          </w:tcPr>
          <w:p>
            <w:pPr>
              <w:spacing w:after="0"/>
              <w:rPr>
                <w:sz w:val="18"/>
                <w:szCs w:val="18"/>
                <w:color w:val="auto"/>
              </w:rPr>
            </w:pPr>
          </w:p>
        </w:tc>
        <w:tc>
          <w:tcPr>
            <w:tcW w:w="1580" w:type="dxa"/>
            <w:vAlign w:val="bottom"/>
          </w:tcPr>
          <w:p>
            <w:pPr>
              <w:jc w:val="right"/>
              <w:spacing w:after="0"/>
              <w:rPr>
                <w:sz w:val="20"/>
                <w:szCs w:val="20"/>
                <w:color w:val="auto"/>
              </w:rPr>
            </w:pPr>
            <w:r>
              <w:rPr>
                <w:rFonts w:ascii="Arial" w:cs="Arial" w:eastAsia="Arial" w:hAnsi="Arial"/>
                <w:sz w:val="16"/>
                <w:szCs w:val="16"/>
                <w:color w:val="auto"/>
              </w:rPr>
              <w:t>(7.7)</w:t>
            </w:r>
          </w:p>
        </w:tc>
      </w:tr>
      <w:tr>
        <w:trPr>
          <w:trHeight w:val="33"/>
        </w:trPr>
        <w:tc>
          <w:tcPr>
            <w:tcW w:w="16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r>
      <w:tr>
        <w:trPr>
          <w:trHeight w:val="675"/>
        </w:trPr>
        <w:tc>
          <w:tcPr>
            <w:tcW w:w="1620" w:type="dxa"/>
            <w:vAlign w:val="bottom"/>
          </w:tcPr>
          <w:p>
            <w:pPr>
              <w:jc w:val="right"/>
              <w:ind w:right="39"/>
              <w:spacing w:after="0"/>
              <w:rPr>
                <w:sz w:val="20"/>
                <w:szCs w:val="20"/>
                <w:color w:val="auto"/>
              </w:rPr>
            </w:pPr>
            <w:r>
              <w:rPr>
                <w:rFonts w:ascii="Arial" w:cs="Arial" w:eastAsia="Arial" w:hAnsi="Arial"/>
                <w:sz w:val="16"/>
                <w:szCs w:val="16"/>
                <w:color w:val="auto"/>
              </w:rPr>
              <w:t>108.4</w:t>
            </w:r>
          </w:p>
        </w:tc>
        <w:tc>
          <w:tcPr>
            <w:tcW w:w="120" w:type="dxa"/>
            <w:vAlign w:val="bottom"/>
          </w:tcPr>
          <w:p>
            <w:pPr>
              <w:spacing w:after="0"/>
              <w:rPr>
                <w:sz w:val="24"/>
                <w:szCs w:val="24"/>
                <w:color w:val="auto"/>
              </w:rPr>
            </w:pPr>
          </w:p>
        </w:tc>
        <w:tc>
          <w:tcPr>
            <w:tcW w:w="174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580" w:type="dxa"/>
            <w:vAlign w:val="bottom"/>
          </w:tcPr>
          <w:p>
            <w:pPr>
              <w:jc w:val="right"/>
              <w:ind w:right="39"/>
              <w:spacing w:after="0"/>
              <w:rPr>
                <w:sz w:val="20"/>
                <w:szCs w:val="20"/>
                <w:color w:val="auto"/>
              </w:rPr>
            </w:pPr>
            <w:r>
              <w:rPr>
                <w:rFonts w:ascii="Arial" w:cs="Arial" w:eastAsia="Arial" w:hAnsi="Arial"/>
                <w:sz w:val="16"/>
                <w:szCs w:val="16"/>
                <w:color w:val="auto"/>
              </w:rPr>
              <w:t>746.6</w:t>
            </w:r>
          </w:p>
        </w:tc>
        <w:tc>
          <w:tcPr>
            <w:tcW w:w="100" w:type="dxa"/>
            <w:vAlign w:val="bottom"/>
          </w:tcPr>
          <w:p>
            <w:pPr>
              <w:spacing w:after="0"/>
              <w:rPr>
                <w:sz w:val="24"/>
                <w:szCs w:val="24"/>
                <w:color w:val="auto"/>
              </w:rPr>
            </w:pPr>
          </w:p>
        </w:tc>
        <w:tc>
          <w:tcPr>
            <w:tcW w:w="1580" w:type="dxa"/>
            <w:vAlign w:val="bottom"/>
          </w:tcPr>
          <w:p>
            <w:pPr>
              <w:jc w:val="right"/>
              <w:ind w:right="19"/>
              <w:spacing w:after="0"/>
              <w:rPr>
                <w:sz w:val="20"/>
                <w:szCs w:val="20"/>
                <w:color w:val="auto"/>
              </w:rPr>
            </w:pPr>
            <w:r>
              <w:rPr>
                <w:rFonts w:ascii="Arial" w:cs="Arial" w:eastAsia="Arial" w:hAnsi="Arial"/>
                <w:sz w:val="16"/>
                <w:szCs w:val="16"/>
                <w:color w:val="auto"/>
              </w:rPr>
              <w:t>—</w:t>
            </w:r>
          </w:p>
        </w:tc>
      </w:tr>
      <w:tr>
        <w:trPr>
          <w:trHeight w:val="270"/>
        </w:trPr>
        <w:tc>
          <w:tcPr>
            <w:tcW w:w="1620" w:type="dxa"/>
            <w:vAlign w:val="bottom"/>
          </w:tcPr>
          <w:p>
            <w:pPr>
              <w:jc w:val="right"/>
              <w:spacing w:after="0"/>
              <w:rPr>
                <w:sz w:val="20"/>
                <w:szCs w:val="20"/>
                <w:color w:val="auto"/>
              </w:rPr>
            </w:pPr>
            <w:r>
              <w:rPr>
                <w:rFonts w:ascii="Arial" w:cs="Arial" w:eastAsia="Arial" w:hAnsi="Arial"/>
                <w:sz w:val="16"/>
                <w:szCs w:val="16"/>
                <w:color w:val="auto"/>
              </w:rPr>
              <w:t>(2.5)</w:t>
            </w:r>
          </w:p>
        </w:tc>
        <w:tc>
          <w:tcPr>
            <w:tcW w:w="120" w:type="dxa"/>
            <w:vAlign w:val="bottom"/>
          </w:tcPr>
          <w:p>
            <w:pPr>
              <w:spacing w:after="0"/>
              <w:rPr>
                <w:sz w:val="23"/>
                <w:szCs w:val="23"/>
                <w:color w:val="auto"/>
              </w:rPr>
            </w:pPr>
          </w:p>
        </w:tc>
        <w:tc>
          <w:tcPr>
            <w:tcW w:w="174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580" w:type="dxa"/>
            <w:vAlign w:val="bottom"/>
          </w:tcPr>
          <w:p>
            <w:pPr>
              <w:jc w:val="right"/>
              <w:spacing w:after="0"/>
              <w:rPr>
                <w:sz w:val="20"/>
                <w:szCs w:val="20"/>
                <w:color w:val="auto"/>
              </w:rPr>
            </w:pPr>
            <w:r>
              <w:rPr>
                <w:rFonts w:ascii="Arial" w:cs="Arial" w:eastAsia="Arial" w:hAnsi="Arial"/>
                <w:sz w:val="16"/>
                <w:szCs w:val="16"/>
                <w:color w:val="auto"/>
              </w:rPr>
              <w:t>(3.4)</w:t>
            </w:r>
          </w:p>
        </w:tc>
        <w:tc>
          <w:tcPr>
            <w:tcW w:w="100" w:type="dxa"/>
            <w:vAlign w:val="bottom"/>
          </w:tcPr>
          <w:p>
            <w:pPr>
              <w:spacing w:after="0"/>
              <w:rPr>
                <w:sz w:val="23"/>
                <w:szCs w:val="23"/>
                <w:color w:val="auto"/>
              </w:rPr>
            </w:pPr>
          </w:p>
        </w:tc>
        <w:tc>
          <w:tcPr>
            <w:tcW w:w="1580" w:type="dxa"/>
            <w:vAlign w:val="bottom"/>
          </w:tcPr>
          <w:p>
            <w:pPr>
              <w:jc w:val="right"/>
              <w:ind w:right="19"/>
              <w:spacing w:after="0"/>
              <w:rPr>
                <w:sz w:val="20"/>
                <w:szCs w:val="20"/>
                <w:color w:val="auto"/>
              </w:rPr>
            </w:pPr>
            <w:r>
              <w:rPr>
                <w:rFonts w:ascii="Arial" w:cs="Arial" w:eastAsia="Arial" w:hAnsi="Arial"/>
                <w:sz w:val="16"/>
                <w:szCs w:val="16"/>
                <w:color w:val="auto"/>
              </w:rPr>
              <w:t>—</w:t>
            </w:r>
          </w:p>
        </w:tc>
      </w:tr>
      <w:tr>
        <w:trPr>
          <w:trHeight w:val="459"/>
        </w:trPr>
        <w:tc>
          <w:tcPr>
            <w:tcW w:w="1620" w:type="dxa"/>
            <w:vAlign w:val="bottom"/>
          </w:tcPr>
          <w:p>
            <w:pPr>
              <w:jc w:val="right"/>
              <w:spacing w:after="0"/>
              <w:rPr>
                <w:sz w:val="20"/>
                <w:szCs w:val="20"/>
                <w:color w:val="auto"/>
              </w:rPr>
            </w:pPr>
            <w:r>
              <w:rPr>
                <w:rFonts w:ascii="Arial" w:cs="Arial" w:eastAsia="Arial" w:hAnsi="Arial"/>
                <w:sz w:val="16"/>
                <w:szCs w:val="16"/>
                <w:color w:val="auto"/>
              </w:rPr>
              <w:t>(41.2)</w:t>
            </w:r>
          </w:p>
        </w:tc>
        <w:tc>
          <w:tcPr>
            <w:tcW w:w="120" w:type="dxa"/>
            <w:vAlign w:val="bottom"/>
          </w:tcPr>
          <w:p>
            <w:pPr>
              <w:spacing w:after="0"/>
              <w:rPr>
                <w:sz w:val="24"/>
                <w:szCs w:val="24"/>
                <w:color w:val="auto"/>
              </w:rPr>
            </w:pPr>
          </w:p>
        </w:tc>
        <w:tc>
          <w:tcPr>
            <w:tcW w:w="174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580" w:type="dxa"/>
            <w:vAlign w:val="bottom"/>
          </w:tcPr>
          <w:p>
            <w:pPr>
              <w:jc w:val="right"/>
              <w:spacing w:after="0"/>
              <w:rPr>
                <w:sz w:val="20"/>
                <w:szCs w:val="20"/>
                <w:color w:val="auto"/>
              </w:rPr>
            </w:pPr>
            <w:r>
              <w:rPr>
                <w:rFonts w:ascii="Arial" w:cs="Arial" w:eastAsia="Arial" w:hAnsi="Arial"/>
                <w:sz w:val="16"/>
                <w:szCs w:val="16"/>
                <w:color w:val="auto"/>
              </w:rPr>
              <w:t>(282.4)</w:t>
            </w:r>
          </w:p>
        </w:tc>
        <w:tc>
          <w:tcPr>
            <w:tcW w:w="100" w:type="dxa"/>
            <w:vAlign w:val="bottom"/>
          </w:tcPr>
          <w:p>
            <w:pPr>
              <w:spacing w:after="0"/>
              <w:rPr>
                <w:sz w:val="24"/>
                <w:szCs w:val="24"/>
                <w:color w:val="auto"/>
              </w:rPr>
            </w:pPr>
          </w:p>
        </w:tc>
        <w:tc>
          <w:tcPr>
            <w:tcW w:w="1580" w:type="dxa"/>
            <w:vAlign w:val="bottom"/>
          </w:tcPr>
          <w:p>
            <w:pPr>
              <w:jc w:val="right"/>
              <w:spacing w:after="0"/>
              <w:rPr>
                <w:sz w:val="20"/>
                <w:szCs w:val="20"/>
                <w:color w:val="auto"/>
              </w:rPr>
            </w:pPr>
            <w:r>
              <w:rPr>
                <w:rFonts w:ascii="Arial" w:cs="Arial" w:eastAsia="Arial" w:hAnsi="Arial"/>
                <w:sz w:val="16"/>
                <w:szCs w:val="16"/>
                <w:color w:val="auto"/>
              </w:rPr>
              <w:t>(24.0)</w:t>
            </w:r>
          </w:p>
        </w:tc>
      </w:tr>
      <w:tr>
        <w:trPr>
          <w:trHeight w:val="270"/>
        </w:trPr>
        <w:tc>
          <w:tcPr>
            <w:tcW w:w="1620" w:type="dxa"/>
            <w:vAlign w:val="bottom"/>
          </w:tcPr>
          <w:p>
            <w:pPr>
              <w:jc w:val="right"/>
              <w:spacing w:after="0"/>
              <w:rPr>
                <w:sz w:val="20"/>
                <w:szCs w:val="20"/>
                <w:color w:val="auto"/>
              </w:rPr>
            </w:pPr>
            <w:r>
              <w:rPr>
                <w:rFonts w:ascii="Arial" w:cs="Arial" w:eastAsia="Arial" w:hAnsi="Arial"/>
                <w:sz w:val="16"/>
                <w:szCs w:val="16"/>
                <w:color w:val="auto"/>
              </w:rPr>
              <w:t>(28.5)</w:t>
            </w:r>
          </w:p>
        </w:tc>
        <w:tc>
          <w:tcPr>
            <w:tcW w:w="120" w:type="dxa"/>
            <w:vAlign w:val="bottom"/>
          </w:tcPr>
          <w:p>
            <w:pPr>
              <w:spacing w:after="0"/>
              <w:rPr>
                <w:sz w:val="23"/>
                <w:szCs w:val="23"/>
                <w:color w:val="auto"/>
              </w:rPr>
            </w:pPr>
          </w:p>
        </w:tc>
        <w:tc>
          <w:tcPr>
            <w:tcW w:w="1620" w:type="dxa"/>
            <w:vAlign w:val="bottom"/>
          </w:tcPr>
          <w:p>
            <w:pPr>
              <w:jc w:val="right"/>
              <w:spacing w:after="0"/>
              <w:rPr>
                <w:sz w:val="20"/>
                <w:szCs w:val="20"/>
                <w:color w:val="auto"/>
              </w:rPr>
            </w:pPr>
            <w:r>
              <w:rPr>
                <w:rFonts w:ascii="Arial" w:cs="Arial" w:eastAsia="Arial" w:hAnsi="Arial"/>
                <w:sz w:val="16"/>
                <w:szCs w:val="16"/>
                <w:color w:val="auto"/>
              </w:rPr>
              <w:t>(34.7)</w:t>
            </w:r>
          </w:p>
        </w:tc>
        <w:tc>
          <w:tcPr>
            <w:tcW w:w="120" w:type="dxa"/>
            <w:vAlign w:val="bottom"/>
          </w:tcPr>
          <w:p>
            <w:pPr>
              <w:spacing w:after="0"/>
              <w:rPr>
                <w:sz w:val="23"/>
                <w:szCs w:val="23"/>
                <w:color w:val="auto"/>
              </w:rPr>
            </w:pPr>
          </w:p>
        </w:tc>
        <w:tc>
          <w:tcPr>
            <w:tcW w:w="1580" w:type="dxa"/>
            <w:vAlign w:val="bottom"/>
          </w:tcPr>
          <w:p>
            <w:pPr>
              <w:jc w:val="right"/>
              <w:spacing w:after="0"/>
              <w:rPr>
                <w:sz w:val="20"/>
                <w:szCs w:val="20"/>
                <w:color w:val="auto"/>
              </w:rPr>
            </w:pPr>
            <w:r>
              <w:rPr>
                <w:rFonts w:ascii="Arial" w:cs="Arial" w:eastAsia="Arial" w:hAnsi="Arial"/>
                <w:sz w:val="16"/>
                <w:szCs w:val="16"/>
                <w:color w:val="auto"/>
              </w:rPr>
              <w:t>(58.3)</w:t>
            </w:r>
          </w:p>
        </w:tc>
        <w:tc>
          <w:tcPr>
            <w:tcW w:w="100" w:type="dxa"/>
            <w:vAlign w:val="bottom"/>
          </w:tcPr>
          <w:p>
            <w:pPr>
              <w:spacing w:after="0"/>
              <w:rPr>
                <w:sz w:val="23"/>
                <w:szCs w:val="23"/>
                <w:color w:val="auto"/>
              </w:rPr>
            </w:pPr>
          </w:p>
        </w:tc>
        <w:tc>
          <w:tcPr>
            <w:tcW w:w="1580" w:type="dxa"/>
            <w:vAlign w:val="bottom"/>
          </w:tcPr>
          <w:p>
            <w:pPr>
              <w:jc w:val="right"/>
              <w:spacing w:after="0"/>
              <w:rPr>
                <w:sz w:val="20"/>
                <w:szCs w:val="20"/>
                <w:color w:val="auto"/>
              </w:rPr>
            </w:pPr>
            <w:r>
              <w:rPr>
                <w:rFonts w:ascii="Arial" w:cs="Arial" w:eastAsia="Arial" w:hAnsi="Arial"/>
                <w:sz w:val="16"/>
                <w:szCs w:val="16"/>
                <w:color w:val="auto"/>
              </w:rPr>
              <w:t>(69.3)</w:t>
            </w:r>
          </w:p>
        </w:tc>
      </w:tr>
      <w:tr>
        <w:trPr>
          <w:trHeight w:val="270"/>
        </w:trPr>
        <w:tc>
          <w:tcPr>
            <w:tcW w:w="1620" w:type="dxa"/>
            <w:vAlign w:val="bottom"/>
          </w:tcPr>
          <w:p>
            <w:pPr>
              <w:jc w:val="right"/>
              <w:spacing w:after="0"/>
              <w:rPr>
                <w:sz w:val="20"/>
                <w:szCs w:val="20"/>
                <w:color w:val="auto"/>
              </w:rPr>
            </w:pPr>
            <w:r>
              <w:rPr>
                <w:rFonts w:ascii="Arial" w:cs="Arial" w:eastAsia="Arial" w:hAnsi="Arial"/>
                <w:sz w:val="16"/>
                <w:szCs w:val="16"/>
                <w:color w:val="auto"/>
              </w:rPr>
              <w:t>(1.8)</w:t>
            </w:r>
          </w:p>
        </w:tc>
        <w:tc>
          <w:tcPr>
            <w:tcW w:w="120" w:type="dxa"/>
            <w:vAlign w:val="bottom"/>
          </w:tcPr>
          <w:p>
            <w:pPr>
              <w:spacing w:after="0"/>
              <w:rPr>
                <w:sz w:val="23"/>
                <w:szCs w:val="23"/>
                <w:color w:val="auto"/>
              </w:rPr>
            </w:pPr>
          </w:p>
        </w:tc>
        <w:tc>
          <w:tcPr>
            <w:tcW w:w="1620" w:type="dxa"/>
            <w:vAlign w:val="bottom"/>
          </w:tcPr>
          <w:p>
            <w:pPr>
              <w:jc w:val="right"/>
              <w:spacing w:after="0"/>
              <w:rPr>
                <w:sz w:val="20"/>
                <w:szCs w:val="20"/>
                <w:color w:val="auto"/>
              </w:rPr>
            </w:pPr>
            <w:r>
              <w:rPr>
                <w:rFonts w:ascii="Arial" w:cs="Arial" w:eastAsia="Arial" w:hAnsi="Arial"/>
                <w:sz w:val="16"/>
                <w:szCs w:val="16"/>
                <w:color w:val="auto"/>
              </w:rPr>
              <w:t>(3.9)</w:t>
            </w:r>
          </w:p>
        </w:tc>
        <w:tc>
          <w:tcPr>
            <w:tcW w:w="120" w:type="dxa"/>
            <w:vAlign w:val="bottom"/>
          </w:tcPr>
          <w:p>
            <w:pPr>
              <w:spacing w:after="0"/>
              <w:rPr>
                <w:sz w:val="23"/>
                <w:szCs w:val="23"/>
                <w:color w:val="auto"/>
              </w:rPr>
            </w:pPr>
          </w:p>
        </w:tc>
        <w:tc>
          <w:tcPr>
            <w:tcW w:w="1580" w:type="dxa"/>
            <w:vAlign w:val="bottom"/>
          </w:tcPr>
          <w:p>
            <w:pPr>
              <w:jc w:val="right"/>
              <w:spacing w:after="0"/>
              <w:rPr>
                <w:sz w:val="20"/>
                <w:szCs w:val="20"/>
                <w:color w:val="auto"/>
              </w:rPr>
            </w:pPr>
            <w:r>
              <w:rPr>
                <w:rFonts w:ascii="Arial" w:cs="Arial" w:eastAsia="Arial" w:hAnsi="Arial"/>
                <w:sz w:val="16"/>
                <w:szCs w:val="16"/>
                <w:color w:val="auto"/>
              </w:rPr>
              <w:t>(3.1)</w:t>
            </w:r>
          </w:p>
        </w:tc>
        <w:tc>
          <w:tcPr>
            <w:tcW w:w="100" w:type="dxa"/>
            <w:vAlign w:val="bottom"/>
          </w:tcPr>
          <w:p>
            <w:pPr>
              <w:spacing w:after="0"/>
              <w:rPr>
                <w:sz w:val="23"/>
                <w:szCs w:val="23"/>
                <w:color w:val="auto"/>
              </w:rPr>
            </w:pPr>
          </w:p>
        </w:tc>
        <w:tc>
          <w:tcPr>
            <w:tcW w:w="1580" w:type="dxa"/>
            <w:vAlign w:val="bottom"/>
          </w:tcPr>
          <w:p>
            <w:pPr>
              <w:jc w:val="right"/>
              <w:spacing w:after="0"/>
              <w:rPr>
                <w:sz w:val="20"/>
                <w:szCs w:val="20"/>
                <w:color w:val="auto"/>
              </w:rPr>
            </w:pPr>
            <w:r>
              <w:rPr>
                <w:rFonts w:ascii="Arial" w:cs="Arial" w:eastAsia="Arial" w:hAnsi="Arial"/>
                <w:sz w:val="16"/>
                <w:szCs w:val="16"/>
                <w:color w:val="auto"/>
              </w:rPr>
              <w:t>(5.1)</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-2966085</wp:posOffset>
            </wp:positionH>
            <wp:positionV relativeFrom="paragraph">
              <wp:posOffset>-2273935</wp:posOffset>
            </wp:positionV>
            <wp:extent cx="7246620" cy="1714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-2966085</wp:posOffset>
            </wp:positionH>
            <wp:positionV relativeFrom="paragraph">
              <wp:posOffset>-1931670</wp:posOffset>
            </wp:positionV>
            <wp:extent cx="7246620" cy="1714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-2966085</wp:posOffset>
            </wp:positionH>
            <wp:positionV relativeFrom="paragraph">
              <wp:posOffset>-1588770</wp:posOffset>
            </wp:positionV>
            <wp:extent cx="7246620" cy="1714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-2966085</wp:posOffset>
            </wp:positionH>
            <wp:positionV relativeFrom="paragraph">
              <wp:posOffset>-1246505</wp:posOffset>
            </wp:positionV>
            <wp:extent cx="7246620" cy="1714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-2966085</wp:posOffset>
            </wp:positionH>
            <wp:positionV relativeFrom="paragraph">
              <wp:posOffset>-783590</wp:posOffset>
            </wp:positionV>
            <wp:extent cx="7246620" cy="1714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-2966085</wp:posOffset>
            </wp:positionH>
            <wp:positionV relativeFrom="paragraph">
              <wp:posOffset>-321310</wp:posOffset>
            </wp:positionV>
            <wp:extent cx="7246620" cy="1714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32" w:lineRule="exact"/>
        <w:rPr>
          <w:sz w:val="20"/>
          <w:szCs w:val="20"/>
          <w:color w:val="auto"/>
        </w:rPr>
      </w:pPr>
    </w:p>
    <w:p>
      <w:pPr>
        <w:sectPr>
          <w:pgSz w:w="11900" w:h="16838" w:orient="portrait"/>
          <w:cols w:equalWidth="0" w:num="2">
            <w:col w:w="4560" w:space="120"/>
            <w:col w:w="6740"/>
          </w:cols>
          <w:pgMar w:left="240" w:top="584" w:right="239" w:bottom="1440" w:gutter="0" w:footer="0" w:header="0"/>
          <w:type w:val="continuous"/>
        </w:sectPr>
      </w:pPr>
    </w:p>
    <w:tbl>
      <w:tblPr>
        <w:tblLayout w:type="fixed"/>
        <w:tblInd w:w="0" w:type="dxa"/>
        <w:tblCellMar>
          <w:top w:w="0" w:type="dxa"/>
          <w:left w:w="0" w:type="dxa"/>
          <w:bottom w:w="0" w:type="dxa"/>
          <w:right w:w="0" w:type="dxa"/>
        </w:tblCellMar>
      </w:tblPr>
      <w:tr>
        <w:trPr>
          <w:trHeight w:val="251"/>
        </w:trPr>
        <w:tc>
          <w:tcPr>
            <w:tcW w:w="468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Net cash provided by (used in) financing activities</w:t>
            </w:r>
          </w:p>
        </w:tc>
        <w:tc>
          <w:tcPr>
            <w:tcW w:w="600" w:type="dxa"/>
            <w:vAlign w:val="bottom"/>
            <w:tcBorders>
              <w:top w:val="single" w:sz="8" w:color="auto"/>
              <w:bottom w:val="single" w:sz="8" w:color="CCEEFF"/>
            </w:tcBorders>
            <w:shd w:val="clear" w:color="auto" w:fill="CCEEFF"/>
          </w:tcPr>
          <w:p>
            <w:pPr>
              <w:spacing w:after="0"/>
              <w:rPr>
                <w:sz w:val="21"/>
                <w:szCs w:val="21"/>
                <w:color w:val="auto"/>
              </w:rPr>
            </w:pPr>
          </w:p>
        </w:tc>
        <w:tc>
          <w:tcPr>
            <w:tcW w:w="1020" w:type="dxa"/>
            <w:vAlign w:val="bottom"/>
            <w:tcBorders>
              <w:top w:val="single" w:sz="8" w:color="auto"/>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34.4</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620" w:type="dxa"/>
            <w:vAlign w:val="bottom"/>
            <w:tcBorders>
              <w:top w:val="single" w:sz="8" w:color="auto"/>
              <w:bottom w:val="single" w:sz="8" w:color="CCEEFF"/>
            </w:tcBorders>
            <w:shd w:val="clear" w:color="auto" w:fill="CCEEFF"/>
          </w:tcPr>
          <w:p>
            <w:pPr>
              <w:spacing w:after="0"/>
              <w:rPr>
                <w:sz w:val="21"/>
                <w:szCs w:val="21"/>
                <w:color w:val="auto"/>
              </w:rPr>
            </w:pPr>
          </w:p>
        </w:tc>
        <w:tc>
          <w:tcPr>
            <w:tcW w:w="10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(38.6)</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600" w:type="dxa"/>
            <w:vAlign w:val="bottom"/>
            <w:tcBorders>
              <w:top w:val="single" w:sz="8" w:color="auto"/>
              <w:bottom w:val="single" w:sz="8" w:color="CCEEFF"/>
            </w:tcBorders>
            <w:shd w:val="clear" w:color="auto" w:fill="CCEEFF"/>
          </w:tcPr>
          <w:p>
            <w:pPr>
              <w:spacing w:after="0"/>
              <w:rPr>
                <w:sz w:val="21"/>
                <w:szCs w:val="21"/>
                <w:color w:val="auto"/>
              </w:rPr>
            </w:pPr>
          </w:p>
        </w:tc>
        <w:tc>
          <w:tcPr>
            <w:tcW w:w="980" w:type="dxa"/>
            <w:vAlign w:val="bottom"/>
            <w:tcBorders>
              <w:top w:val="single" w:sz="8" w:color="auto"/>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399.4</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600" w:type="dxa"/>
            <w:vAlign w:val="bottom"/>
            <w:tcBorders>
              <w:top w:val="single" w:sz="8" w:color="auto"/>
              <w:bottom w:val="single" w:sz="8" w:color="CCEEFF"/>
            </w:tcBorders>
            <w:shd w:val="clear" w:color="auto" w:fill="CCEEFF"/>
          </w:tcPr>
          <w:p>
            <w:pPr>
              <w:spacing w:after="0"/>
              <w:rPr>
                <w:sz w:val="21"/>
                <w:szCs w:val="21"/>
                <w:color w:val="auto"/>
              </w:rPr>
            </w:pPr>
          </w:p>
        </w:tc>
        <w:tc>
          <w:tcPr>
            <w:tcW w:w="98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(98.4)</w:t>
            </w:r>
          </w:p>
        </w:tc>
      </w:tr>
      <w:tr>
        <w:trPr>
          <w:trHeight w:val="217"/>
        </w:trPr>
        <w:tc>
          <w:tcPr>
            <w:tcW w:w="4680" w:type="dxa"/>
            <w:vAlign w:val="bottom"/>
          </w:tcPr>
          <w:p>
            <w:pPr>
              <w:ind w:left="40"/>
              <w:spacing w:after="0"/>
              <w:rPr>
                <w:sz w:val="20"/>
                <w:szCs w:val="20"/>
                <w:color w:val="auto"/>
              </w:rPr>
            </w:pPr>
            <w:r>
              <w:rPr>
                <w:rFonts w:ascii="Arial" w:cs="Arial" w:eastAsia="Arial" w:hAnsi="Arial"/>
                <w:sz w:val="16"/>
                <w:szCs w:val="16"/>
                <w:color w:val="auto"/>
              </w:rPr>
              <w:t>Effect of exchange rate changes on cash and cash equivalents</w:t>
            </w:r>
          </w:p>
        </w:tc>
        <w:tc>
          <w:tcPr>
            <w:tcW w:w="60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(3.0)</w:t>
            </w:r>
          </w:p>
        </w:tc>
        <w:tc>
          <w:tcPr>
            <w:tcW w:w="120" w:type="dxa"/>
            <w:vAlign w:val="bottom"/>
          </w:tcPr>
          <w:p>
            <w:pPr>
              <w:spacing w:after="0"/>
              <w:rPr>
                <w:sz w:val="18"/>
                <w:szCs w:val="18"/>
                <w:color w:val="auto"/>
              </w:rPr>
            </w:pPr>
          </w:p>
        </w:tc>
        <w:tc>
          <w:tcPr>
            <w:tcW w:w="62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0.6</w:t>
            </w:r>
          </w:p>
        </w:tc>
        <w:tc>
          <w:tcPr>
            <w:tcW w:w="120" w:type="dxa"/>
            <w:vAlign w:val="bottom"/>
          </w:tcPr>
          <w:p>
            <w:pPr>
              <w:spacing w:after="0"/>
              <w:rPr>
                <w:sz w:val="18"/>
                <w:szCs w:val="18"/>
                <w:color w:val="auto"/>
              </w:rPr>
            </w:pPr>
          </w:p>
        </w:tc>
        <w:tc>
          <w:tcPr>
            <w:tcW w:w="60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(1.4)</w:t>
            </w:r>
          </w:p>
        </w:tc>
        <w:tc>
          <w:tcPr>
            <w:tcW w:w="100" w:type="dxa"/>
            <w:vAlign w:val="bottom"/>
          </w:tcPr>
          <w:p>
            <w:pPr>
              <w:spacing w:after="0"/>
              <w:rPr>
                <w:sz w:val="18"/>
                <w:szCs w:val="18"/>
                <w:color w:val="auto"/>
              </w:rPr>
            </w:pPr>
          </w:p>
        </w:tc>
        <w:tc>
          <w:tcPr>
            <w:tcW w:w="60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1.4</w:t>
            </w:r>
          </w:p>
        </w:tc>
      </w:tr>
      <w:tr>
        <w:trPr>
          <w:trHeight w:val="33"/>
        </w:trPr>
        <w:tc>
          <w:tcPr>
            <w:tcW w:w="4680" w:type="dxa"/>
            <w:vAlign w:val="bottom"/>
            <w:tcBorders>
              <w:bottom w:val="single" w:sz="8" w:color="CCEEFF"/>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30"/>
        </w:trPr>
        <w:tc>
          <w:tcPr>
            <w:tcW w:w="46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Change in cash and cash equivalents</w:t>
            </w:r>
          </w:p>
        </w:tc>
        <w:tc>
          <w:tcPr>
            <w:tcW w:w="600" w:type="dxa"/>
            <w:vAlign w:val="bottom"/>
            <w:tcBorders>
              <w:bottom w:val="single" w:sz="8" w:color="CCEEFF"/>
            </w:tcBorders>
            <w:shd w:val="clear" w:color="auto" w:fill="CCEEFF"/>
          </w:tcPr>
          <w:p>
            <w:pPr>
              <w:spacing w:after="0"/>
              <w:rPr>
                <w:sz w:val="19"/>
                <w:szCs w:val="19"/>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(161.2)</w:t>
            </w:r>
          </w:p>
        </w:tc>
        <w:tc>
          <w:tcPr>
            <w:tcW w:w="120" w:type="dxa"/>
            <w:vAlign w:val="bottom"/>
            <w:tcBorders>
              <w:bottom w:val="single" w:sz="8" w:color="CCEEFF"/>
            </w:tcBorders>
            <w:shd w:val="clear" w:color="auto" w:fill="CCEEFF"/>
          </w:tcPr>
          <w:p>
            <w:pPr>
              <w:spacing w:after="0"/>
              <w:rPr>
                <w:sz w:val="19"/>
                <w:szCs w:val="19"/>
                <w:color w:val="auto"/>
              </w:rPr>
            </w:pPr>
          </w:p>
        </w:tc>
        <w:tc>
          <w:tcPr>
            <w:tcW w:w="620" w:type="dxa"/>
            <w:vAlign w:val="bottom"/>
            <w:tcBorders>
              <w:bottom w:val="single" w:sz="8" w:color="CCEEFF"/>
            </w:tcBorders>
            <w:shd w:val="clear" w:color="auto" w:fill="CCEEFF"/>
          </w:tcPr>
          <w:p>
            <w:pPr>
              <w:spacing w:after="0"/>
              <w:rPr>
                <w:sz w:val="19"/>
                <w:szCs w:val="19"/>
                <w:color w:val="auto"/>
              </w:rPr>
            </w:pPr>
          </w:p>
        </w:tc>
        <w:tc>
          <w:tcPr>
            <w:tcW w:w="10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44.5</w:t>
            </w:r>
          </w:p>
        </w:tc>
        <w:tc>
          <w:tcPr>
            <w:tcW w:w="120" w:type="dxa"/>
            <w:vAlign w:val="bottom"/>
            <w:tcBorders>
              <w:bottom w:val="single" w:sz="8" w:color="CCEEFF"/>
            </w:tcBorders>
            <w:shd w:val="clear" w:color="auto" w:fill="CCEEFF"/>
          </w:tcPr>
          <w:p>
            <w:pPr>
              <w:spacing w:after="0"/>
              <w:rPr>
                <w:sz w:val="19"/>
                <w:szCs w:val="19"/>
                <w:color w:val="auto"/>
              </w:rPr>
            </w:pPr>
          </w:p>
        </w:tc>
        <w:tc>
          <w:tcPr>
            <w:tcW w:w="600" w:type="dxa"/>
            <w:vAlign w:val="bottom"/>
            <w:tcBorders>
              <w:bottom w:val="single" w:sz="8" w:color="CCEEFF"/>
            </w:tcBorders>
            <w:shd w:val="clear" w:color="auto" w:fill="CCEEFF"/>
          </w:tcPr>
          <w:p>
            <w:pPr>
              <w:spacing w:after="0"/>
              <w:rPr>
                <w:sz w:val="19"/>
                <w:szCs w:val="19"/>
                <w:color w:val="auto"/>
              </w:rPr>
            </w:pPr>
          </w:p>
        </w:tc>
        <w:tc>
          <w:tcPr>
            <w:tcW w:w="9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74.1</w:t>
            </w:r>
          </w:p>
        </w:tc>
        <w:tc>
          <w:tcPr>
            <w:tcW w:w="100" w:type="dxa"/>
            <w:vAlign w:val="bottom"/>
            <w:tcBorders>
              <w:bottom w:val="single" w:sz="8" w:color="CCEEFF"/>
            </w:tcBorders>
            <w:shd w:val="clear" w:color="auto" w:fill="CCEEFF"/>
          </w:tcPr>
          <w:p>
            <w:pPr>
              <w:spacing w:after="0"/>
              <w:rPr>
                <w:sz w:val="19"/>
                <w:szCs w:val="19"/>
                <w:color w:val="auto"/>
              </w:rPr>
            </w:pPr>
          </w:p>
        </w:tc>
        <w:tc>
          <w:tcPr>
            <w:tcW w:w="600" w:type="dxa"/>
            <w:vAlign w:val="bottom"/>
            <w:tcBorders>
              <w:bottom w:val="single" w:sz="8" w:color="CCEEFF"/>
            </w:tcBorders>
            <w:shd w:val="clear" w:color="auto" w:fill="CCEEFF"/>
          </w:tcPr>
          <w:p>
            <w:pPr>
              <w:spacing w:after="0"/>
              <w:rPr>
                <w:sz w:val="19"/>
                <w:szCs w:val="19"/>
                <w:color w:val="auto"/>
              </w:rPr>
            </w:pP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43.0</w:t>
            </w:r>
          </w:p>
        </w:tc>
      </w:tr>
      <w:tr>
        <w:trPr>
          <w:trHeight w:val="237"/>
        </w:trPr>
        <w:tc>
          <w:tcPr>
            <w:tcW w:w="4680" w:type="dxa"/>
            <w:vAlign w:val="bottom"/>
          </w:tcPr>
          <w:p>
            <w:pPr>
              <w:ind w:left="40"/>
              <w:spacing w:after="0"/>
              <w:rPr>
                <w:sz w:val="20"/>
                <w:szCs w:val="20"/>
                <w:color w:val="auto"/>
              </w:rPr>
            </w:pPr>
            <w:r>
              <w:rPr>
                <w:rFonts w:ascii="Arial" w:cs="Arial" w:eastAsia="Arial" w:hAnsi="Arial"/>
                <w:sz w:val="16"/>
                <w:szCs w:val="16"/>
                <w:color w:val="auto"/>
              </w:rPr>
              <w:t>Cash and cash equivalents—beginning of period</w:t>
            </w:r>
          </w:p>
        </w:tc>
        <w:tc>
          <w:tcPr>
            <w:tcW w:w="600" w:type="dxa"/>
            <w:vAlign w:val="bottom"/>
          </w:tcPr>
          <w:p>
            <w:pPr>
              <w:spacing w:after="0"/>
              <w:rPr>
                <w:sz w:val="20"/>
                <w:szCs w:val="20"/>
                <w:color w:val="auto"/>
              </w:rPr>
            </w:pPr>
          </w:p>
        </w:tc>
        <w:tc>
          <w:tcPr>
            <w:tcW w:w="1020" w:type="dxa"/>
            <w:vAlign w:val="bottom"/>
          </w:tcPr>
          <w:p>
            <w:pPr>
              <w:jc w:val="right"/>
              <w:ind w:right="39"/>
              <w:spacing w:after="0"/>
              <w:rPr>
                <w:sz w:val="20"/>
                <w:szCs w:val="20"/>
                <w:color w:val="auto"/>
              </w:rPr>
            </w:pPr>
            <w:r>
              <w:rPr>
                <w:rFonts w:ascii="Arial" w:cs="Arial" w:eastAsia="Arial" w:hAnsi="Arial"/>
                <w:sz w:val="16"/>
                <w:szCs w:val="16"/>
                <w:color w:val="auto"/>
              </w:rPr>
              <w:t>665.3</w:t>
            </w:r>
          </w:p>
        </w:tc>
        <w:tc>
          <w:tcPr>
            <w:tcW w:w="1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1000" w:type="dxa"/>
            <w:vAlign w:val="bottom"/>
          </w:tcPr>
          <w:p>
            <w:pPr>
              <w:jc w:val="right"/>
              <w:ind w:right="39"/>
              <w:spacing w:after="0"/>
              <w:rPr>
                <w:sz w:val="20"/>
                <w:szCs w:val="20"/>
                <w:color w:val="auto"/>
              </w:rPr>
            </w:pPr>
            <w:r>
              <w:rPr>
                <w:rFonts w:ascii="Arial" w:cs="Arial" w:eastAsia="Arial" w:hAnsi="Arial"/>
                <w:sz w:val="16"/>
                <w:szCs w:val="16"/>
                <w:color w:val="auto"/>
              </w:rPr>
              <w:t>351.2</w:t>
            </w:r>
          </w:p>
        </w:tc>
        <w:tc>
          <w:tcPr>
            <w:tcW w:w="12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430.0</w:t>
            </w:r>
          </w:p>
        </w:tc>
        <w:tc>
          <w:tcPr>
            <w:tcW w:w="1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352.7</w:t>
            </w:r>
          </w:p>
        </w:tc>
      </w:tr>
      <w:tr>
        <w:trPr>
          <w:trHeight w:val="33"/>
        </w:trPr>
        <w:tc>
          <w:tcPr>
            <w:tcW w:w="4680" w:type="dxa"/>
            <w:vAlign w:val="bottom"/>
            <w:tcBorders>
              <w:bottom w:val="single" w:sz="8" w:color="CCEEFF"/>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55"/>
        </w:trPr>
        <w:tc>
          <w:tcPr>
            <w:tcW w:w="46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Cash and cash equivalents—end of period</w:t>
            </w:r>
          </w:p>
        </w:tc>
        <w:tc>
          <w:tcPr>
            <w:tcW w:w="600" w:type="dxa"/>
            <w:vAlign w:val="bottom"/>
            <w:tcBorders>
              <w:bottom w:val="single" w:sz="8" w:color="CCEEFF"/>
            </w:tcBorders>
            <w:shd w:val="clear" w:color="auto" w:fill="CCEEFF"/>
          </w:tcPr>
          <w:p>
            <w:pPr>
              <w:jc w:val="right"/>
              <w:ind w:right="399"/>
              <w:spacing w:after="0"/>
              <w:rPr>
                <w:sz w:val="20"/>
                <w:szCs w:val="20"/>
                <w:color w:val="auto"/>
              </w:rPr>
            </w:pPr>
            <w:r>
              <w:rPr>
                <w:rFonts w:ascii="Arial" w:cs="Arial" w:eastAsia="Arial" w:hAnsi="Arial"/>
                <w:sz w:val="16"/>
                <w:szCs w:val="16"/>
                <w:color w:val="auto"/>
              </w:rPr>
              <w:t>$</w:t>
            </w:r>
          </w:p>
        </w:tc>
        <w:tc>
          <w:tcPr>
            <w:tcW w:w="10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504.1</w:t>
            </w:r>
          </w:p>
        </w:tc>
        <w:tc>
          <w:tcPr>
            <w:tcW w:w="120" w:type="dxa"/>
            <w:vAlign w:val="bottom"/>
            <w:tcBorders>
              <w:bottom w:val="single" w:sz="8" w:color="CCEEFF"/>
            </w:tcBorders>
            <w:shd w:val="clear" w:color="auto" w:fill="CCEEFF"/>
          </w:tcPr>
          <w:p>
            <w:pPr>
              <w:spacing w:after="0"/>
              <w:rPr>
                <w:sz w:val="21"/>
                <w:szCs w:val="21"/>
                <w:color w:val="auto"/>
              </w:rPr>
            </w:pPr>
          </w:p>
        </w:tc>
        <w:tc>
          <w:tcPr>
            <w:tcW w:w="620" w:type="dxa"/>
            <w:vAlign w:val="bottom"/>
            <w:tcBorders>
              <w:bottom w:val="single" w:sz="8" w:color="CCEEFF"/>
            </w:tcBorders>
            <w:shd w:val="clear" w:color="auto" w:fill="CCEEFF"/>
          </w:tcPr>
          <w:p>
            <w:pPr>
              <w:jc w:val="right"/>
              <w:ind w:right="419"/>
              <w:spacing w:after="0"/>
              <w:rPr>
                <w:sz w:val="20"/>
                <w:szCs w:val="20"/>
                <w:color w:val="auto"/>
              </w:rPr>
            </w:pPr>
            <w:r>
              <w:rPr>
                <w:rFonts w:ascii="Arial" w:cs="Arial" w:eastAsia="Arial" w:hAnsi="Arial"/>
                <w:sz w:val="16"/>
                <w:szCs w:val="16"/>
                <w:color w:val="auto"/>
              </w:rPr>
              <w:t>$</w:t>
            </w:r>
          </w:p>
        </w:tc>
        <w:tc>
          <w:tcPr>
            <w:tcW w:w="10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395.7</w:t>
            </w:r>
          </w:p>
        </w:tc>
        <w:tc>
          <w:tcPr>
            <w:tcW w:w="12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jc w:val="right"/>
              <w:ind w:right="419"/>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504.1</w:t>
            </w:r>
          </w:p>
        </w:tc>
        <w:tc>
          <w:tcPr>
            <w:tcW w:w="10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jc w:val="right"/>
              <w:ind w:right="419"/>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395.7</w:t>
            </w:r>
          </w:p>
        </w:tc>
      </w:tr>
      <w:tr>
        <w:trPr>
          <w:trHeight w:val="20"/>
        </w:trPr>
        <w:tc>
          <w:tcPr>
            <w:tcW w:w="4680" w:type="dxa"/>
            <w:vAlign w:val="bottom"/>
            <w:tcBorders>
              <w:top w:val="single" w:sz="8" w:color="CCEEFF"/>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r>
      <w:tr>
        <w:trPr>
          <w:trHeight w:val="210"/>
        </w:trPr>
        <w:tc>
          <w:tcPr>
            <w:tcW w:w="46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980" w:type="dxa"/>
            <w:vAlign w:val="bottom"/>
          </w:tcPr>
          <w:p>
            <w:pPr>
              <w:spacing w:after="0"/>
              <w:rPr>
                <w:sz w:val="18"/>
                <w:szCs w:val="18"/>
                <w:color w:val="auto"/>
              </w:rPr>
            </w:pPr>
          </w:p>
        </w:tc>
      </w:tr>
      <w:tr>
        <w:trPr>
          <w:trHeight w:val="250"/>
        </w:trPr>
        <w:tc>
          <w:tcPr>
            <w:tcW w:w="46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Supplemental cash flow data:</w:t>
            </w:r>
          </w:p>
        </w:tc>
        <w:tc>
          <w:tcPr>
            <w:tcW w:w="6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6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r>
      <w:tr>
        <w:trPr>
          <w:trHeight w:val="223"/>
        </w:trPr>
        <w:tc>
          <w:tcPr>
            <w:tcW w:w="4680" w:type="dxa"/>
            <w:vAlign w:val="bottom"/>
          </w:tcPr>
          <w:p>
            <w:pPr>
              <w:ind w:left="280"/>
              <w:spacing w:after="0"/>
              <w:rPr>
                <w:sz w:val="20"/>
                <w:szCs w:val="20"/>
                <w:color w:val="auto"/>
              </w:rPr>
            </w:pPr>
            <w:r>
              <w:rPr>
                <w:rFonts w:ascii="Arial" w:cs="Arial" w:eastAsia="Arial" w:hAnsi="Arial"/>
                <w:sz w:val="16"/>
                <w:szCs w:val="16"/>
                <w:color w:val="auto"/>
              </w:rPr>
              <w:t>Property and equipment acquired under capital leases</w:t>
            </w:r>
          </w:p>
        </w:tc>
        <w:tc>
          <w:tcPr>
            <w:tcW w:w="600" w:type="dxa"/>
            <w:vAlign w:val="bottom"/>
          </w:tcPr>
          <w:p>
            <w:pPr>
              <w:jc w:val="right"/>
              <w:ind w:right="399"/>
              <w:spacing w:after="0"/>
              <w:rPr>
                <w:sz w:val="20"/>
                <w:szCs w:val="20"/>
                <w:color w:val="auto"/>
              </w:rPr>
            </w:pPr>
            <w:r>
              <w:rPr>
                <w:rFonts w:ascii="Arial" w:cs="Arial" w:eastAsia="Arial" w:hAnsi="Arial"/>
                <w:sz w:val="16"/>
                <w:szCs w:val="16"/>
                <w:color w:val="auto"/>
              </w:rPr>
              <w:t>$</w:t>
            </w:r>
          </w:p>
        </w:tc>
        <w:tc>
          <w:tcPr>
            <w:tcW w:w="1020" w:type="dxa"/>
            <w:vAlign w:val="bottom"/>
          </w:tcPr>
          <w:p>
            <w:pPr>
              <w:jc w:val="right"/>
              <w:ind w:right="39"/>
              <w:spacing w:after="0"/>
              <w:rPr>
                <w:sz w:val="20"/>
                <w:szCs w:val="20"/>
                <w:color w:val="auto"/>
              </w:rPr>
            </w:pPr>
            <w:r>
              <w:rPr>
                <w:rFonts w:ascii="Arial" w:cs="Arial" w:eastAsia="Arial" w:hAnsi="Arial"/>
                <w:sz w:val="16"/>
                <w:szCs w:val="16"/>
                <w:color w:val="auto"/>
              </w:rPr>
              <w:t>18.7</w:t>
            </w:r>
          </w:p>
        </w:tc>
        <w:tc>
          <w:tcPr>
            <w:tcW w:w="120" w:type="dxa"/>
            <w:vAlign w:val="bottom"/>
          </w:tcPr>
          <w:p>
            <w:pPr>
              <w:spacing w:after="0"/>
              <w:rPr>
                <w:sz w:val="19"/>
                <w:szCs w:val="19"/>
                <w:color w:val="auto"/>
              </w:rPr>
            </w:pPr>
          </w:p>
        </w:tc>
        <w:tc>
          <w:tcPr>
            <w:tcW w:w="620" w:type="dxa"/>
            <w:vAlign w:val="bottom"/>
          </w:tcPr>
          <w:p>
            <w:pPr>
              <w:jc w:val="right"/>
              <w:ind w:right="419"/>
              <w:spacing w:after="0"/>
              <w:rPr>
                <w:sz w:val="20"/>
                <w:szCs w:val="20"/>
                <w:color w:val="auto"/>
              </w:rPr>
            </w:pPr>
            <w:r>
              <w:rPr>
                <w:rFonts w:ascii="Arial" w:cs="Arial" w:eastAsia="Arial" w:hAnsi="Arial"/>
                <w:sz w:val="16"/>
                <w:szCs w:val="16"/>
                <w:color w:val="auto"/>
              </w:rPr>
              <w:t>$</w:t>
            </w:r>
          </w:p>
        </w:tc>
        <w:tc>
          <w:tcPr>
            <w:tcW w:w="1000" w:type="dxa"/>
            <w:vAlign w:val="bottom"/>
          </w:tcPr>
          <w:p>
            <w:pPr>
              <w:jc w:val="right"/>
              <w:ind w:right="39"/>
              <w:spacing w:after="0"/>
              <w:rPr>
                <w:sz w:val="20"/>
                <w:szCs w:val="20"/>
                <w:color w:val="auto"/>
              </w:rPr>
            </w:pPr>
            <w:r>
              <w:rPr>
                <w:rFonts w:ascii="Arial" w:cs="Arial" w:eastAsia="Arial" w:hAnsi="Arial"/>
                <w:sz w:val="16"/>
                <w:szCs w:val="16"/>
                <w:color w:val="auto"/>
              </w:rPr>
              <w:t>0.9</w:t>
            </w:r>
          </w:p>
        </w:tc>
        <w:tc>
          <w:tcPr>
            <w:tcW w:w="120" w:type="dxa"/>
            <w:vAlign w:val="bottom"/>
          </w:tcPr>
          <w:p>
            <w:pPr>
              <w:spacing w:after="0"/>
              <w:rPr>
                <w:sz w:val="19"/>
                <w:szCs w:val="19"/>
                <w:color w:val="auto"/>
              </w:rPr>
            </w:pPr>
          </w:p>
        </w:tc>
        <w:tc>
          <w:tcPr>
            <w:tcW w:w="600" w:type="dxa"/>
            <w:vAlign w:val="bottom"/>
          </w:tcPr>
          <w:p>
            <w:pPr>
              <w:jc w:val="right"/>
              <w:ind w:right="419"/>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44.2</w:t>
            </w:r>
          </w:p>
        </w:tc>
        <w:tc>
          <w:tcPr>
            <w:tcW w:w="100" w:type="dxa"/>
            <w:vAlign w:val="bottom"/>
          </w:tcPr>
          <w:p>
            <w:pPr>
              <w:spacing w:after="0"/>
              <w:rPr>
                <w:sz w:val="19"/>
                <w:szCs w:val="19"/>
                <w:color w:val="auto"/>
              </w:rPr>
            </w:pPr>
          </w:p>
        </w:tc>
        <w:tc>
          <w:tcPr>
            <w:tcW w:w="600" w:type="dxa"/>
            <w:vAlign w:val="bottom"/>
          </w:tcPr>
          <w:p>
            <w:pPr>
              <w:jc w:val="right"/>
              <w:ind w:right="419"/>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15.4</w:t>
            </w:r>
          </w:p>
        </w:tc>
      </w:tr>
      <w:tr>
        <w:trPr>
          <w:trHeight w:val="33"/>
        </w:trPr>
        <w:tc>
          <w:tcPr>
            <w:tcW w:w="4680" w:type="dxa"/>
            <w:vAlign w:val="bottom"/>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0"/>
        </w:trPr>
        <w:tc>
          <w:tcPr>
            <w:tcW w:w="468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r>
    </w:tbl>
    <w:p>
      <w:pPr>
        <w:sectPr>
          <w:pgSz w:w="11900" w:h="16838" w:orient="portrait"/>
          <w:cols w:equalWidth="0" w:num="1">
            <w:col w:w="11420"/>
          </w:cols>
          <w:pgMar w:left="240" w:top="584" w:right="239" w:bottom="1440" w:gutter="0" w:footer="0" w:header="0"/>
          <w:type w:val="continuous"/>
        </w:sectPr>
      </w:pPr>
    </w:p>
    <w:bookmarkStart w:id="10" w:name="page11"/>
    <w:bookmarkEnd w:id="10"/>
    <w:p>
      <w:pPr>
        <w:jc w:val="center"/>
        <w:spacing w:after="0"/>
        <w:rPr>
          <w:sz w:val="20"/>
          <w:szCs w:val="20"/>
          <w:color w:val="auto"/>
        </w:rPr>
      </w:pPr>
      <w:r>
        <w:rPr>
          <w:rFonts w:ascii="Arial" w:cs="Arial" w:eastAsia="Arial" w:hAnsi="Arial"/>
          <w:sz w:val="20"/>
          <w:szCs w:val="20"/>
          <w:b w:val="1"/>
          <w:bCs w:val="1"/>
          <w:color w:val="auto"/>
        </w:rPr>
        <w:t>Dropbox, Inc.</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Three months ended June 30, 2018</w:t>
      </w:r>
    </w:p>
    <w:p>
      <w:pPr>
        <w:jc w:val="center"/>
        <w:spacing w:after="0"/>
        <w:rPr>
          <w:sz w:val="20"/>
          <w:szCs w:val="20"/>
          <w:color w:val="auto"/>
        </w:rPr>
      </w:pPr>
      <w:r>
        <w:rPr>
          <w:rFonts w:ascii="Arial" w:cs="Arial" w:eastAsia="Arial" w:hAnsi="Arial"/>
          <w:sz w:val="20"/>
          <w:szCs w:val="20"/>
          <w:b w:val="1"/>
          <w:bCs w:val="1"/>
          <w:color w:val="auto"/>
        </w:rPr>
        <w:t>Reconciliation of GAAP to Non-GAAP results</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(In millions, except for percentages, which may not foot due to rounding)</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(Unaudited)</w:t>
      </w:r>
    </w:p>
    <w:p>
      <w:pPr>
        <w:spacing w:after="0" w:line="368"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18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94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8"/>
              </w:rPr>
              <w:t>Donation of common</w:t>
            </w:r>
          </w:p>
        </w:tc>
        <w:tc>
          <w:tcPr>
            <w:tcW w:w="320" w:type="dxa"/>
            <w:vAlign w:val="bottom"/>
          </w:tcPr>
          <w:p>
            <w:pPr>
              <w:spacing w:after="0"/>
              <w:rPr>
                <w:sz w:val="18"/>
                <w:szCs w:val="18"/>
                <w:color w:val="auto"/>
              </w:rPr>
            </w:pPr>
          </w:p>
        </w:tc>
        <w:tc>
          <w:tcPr>
            <w:tcW w:w="1620" w:type="dxa"/>
            <w:vAlign w:val="bottom"/>
          </w:tcPr>
          <w:p>
            <w:pPr>
              <w:spacing w:after="0"/>
              <w:rPr>
                <w:sz w:val="18"/>
                <w:szCs w:val="18"/>
                <w:color w:val="auto"/>
              </w:rPr>
            </w:pPr>
          </w:p>
        </w:tc>
      </w:tr>
      <w:tr>
        <w:trPr>
          <w:trHeight w:val="216"/>
        </w:trPr>
        <w:tc>
          <w:tcPr>
            <w:tcW w:w="318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840" w:type="dxa"/>
            <w:vAlign w:val="bottom"/>
            <w:gridSpan w:val="2"/>
          </w:tcPr>
          <w:p>
            <w:pPr>
              <w:jc w:val="center"/>
              <w:ind w:right="400"/>
              <w:spacing w:after="0"/>
              <w:rPr>
                <w:sz w:val="20"/>
                <w:szCs w:val="20"/>
                <w:color w:val="auto"/>
              </w:rPr>
            </w:pPr>
            <w:r>
              <w:rPr>
                <w:rFonts w:ascii="Arial" w:cs="Arial" w:eastAsia="Arial" w:hAnsi="Arial"/>
                <w:sz w:val="18"/>
                <w:szCs w:val="18"/>
                <w:b w:val="1"/>
                <w:bCs w:val="1"/>
                <w:color w:val="auto"/>
                <w:w w:val="85"/>
              </w:rPr>
              <w:t>Stock-based</w:t>
            </w:r>
          </w:p>
        </w:tc>
        <w:tc>
          <w:tcPr>
            <w:tcW w:w="140" w:type="dxa"/>
            <w:vAlign w:val="bottom"/>
          </w:tcPr>
          <w:p>
            <w:pPr>
              <w:spacing w:after="0"/>
              <w:rPr>
                <w:sz w:val="18"/>
                <w:szCs w:val="18"/>
                <w:color w:val="auto"/>
              </w:rPr>
            </w:pPr>
          </w:p>
        </w:tc>
        <w:tc>
          <w:tcPr>
            <w:tcW w:w="194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8"/>
              </w:rPr>
              <w:t>stock to the Dropbox</w:t>
            </w:r>
          </w:p>
        </w:tc>
        <w:tc>
          <w:tcPr>
            <w:tcW w:w="320" w:type="dxa"/>
            <w:vAlign w:val="bottom"/>
          </w:tcPr>
          <w:p>
            <w:pPr>
              <w:spacing w:after="0"/>
              <w:rPr>
                <w:sz w:val="18"/>
                <w:szCs w:val="18"/>
                <w:color w:val="auto"/>
              </w:rPr>
            </w:pPr>
          </w:p>
        </w:tc>
        <w:tc>
          <w:tcPr>
            <w:tcW w:w="1620" w:type="dxa"/>
            <w:vAlign w:val="bottom"/>
          </w:tcPr>
          <w:p>
            <w:pPr>
              <w:spacing w:after="0"/>
              <w:rPr>
                <w:sz w:val="18"/>
                <w:szCs w:val="18"/>
                <w:color w:val="auto"/>
              </w:rPr>
            </w:pPr>
          </w:p>
        </w:tc>
      </w:tr>
      <w:tr>
        <w:trPr>
          <w:trHeight w:val="234"/>
        </w:trPr>
        <w:tc>
          <w:tcPr>
            <w:tcW w:w="318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8"/>
                <w:szCs w:val="18"/>
                <w:b w:val="1"/>
                <w:bCs w:val="1"/>
                <w:color w:val="auto"/>
              </w:rPr>
              <w:t>GAAP</w:t>
            </w:r>
          </w:p>
        </w:tc>
        <w:tc>
          <w:tcPr>
            <w:tcW w:w="7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840" w:type="dxa"/>
            <w:vAlign w:val="bottom"/>
            <w:gridSpan w:val="2"/>
          </w:tcPr>
          <w:p>
            <w:pPr>
              <w:jc w:val="center"/>
              <w:ind w:right="400"/>
              <w:spacing w:after="0"/>
              <w:rPr>
                <w:sz w:val="20"/>
                <w:szCs w:val="20"/>
                <w:color w:val="auto"/>
              </w:rPr>
            </w:pPr>
            <w:r>
              <w:rPr>
                <w:rFonts w:ascii="Arial" w:cs="Arial" w:eastAsia="Arial" w:hAnsi="Arial"/>
                <w:sz w:val="18"/>
                <w:szCs w:val="18"/>
                <w:b w:val="1"/>
                <w:bCs w:val="1"/>
                <w:color w:val="auto"/>
                <w:w w:val="85"/>
              </w:rPr>
              <w:t>compensation</w:t>
            </w:r>
          </w:p>
        </w:tc>
        <w:tc>
          <w:tcPr>
            <w:tcW w:w="140" w:type="dxa"/>
            <w:vAlign w:val="bottom"/>
          </w:tcPr>
          <w:p>
            <w:pPr>
              <w:spacing w:after="0"/>
              <w:rPr>
                <w:sz w:val="20"/>
                <w:szCs w:val="20"/>
                <w:color w:val="auto"/>
              </w:rPr>
            </w:pPr>
          </w:p>
        </w:tc>
        <w:tc>
          <w:tcPr>
            <w:tcW w:w="194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9"/>
              </w:rPr>
              <w:t>Foundation</w:t>
            </w:r>
          </w:p>
        </w:tc>
        <w:tc>
          <w:tcPr>
            <w:tcW w:w="320" w:type="dxa"/>
            <w:vAlign w:val="bottom"/>
          </w:tcPr>
          <w:p>
            <w:pPr>
              <w:spacing w:after="0"/>
              <w:rPr>
                <w:sz w:val="20"/>
                <w:szCs w:val="20"/>
                <w:color w:val="auto"/>
              </w:rPr>
            </w:pPr>
          </w:p>
        </w:tc>
        <w:tc>
          <w:tcPr>
            <w:tcW w:w="1620" w:type="dxa"/>
            <w:vAlign w:val="bottom"/>
          </w:tcPr>
          <w:p>
            <w:pPr>
              <w:jc w:val="right"/>
              <w:ind w:right="430"/>
              <w:spacing w:after="0"/>
              <w:rPr>
                <w:sz w:val="20"/>
                <w:szCs w:val="20"/>
                <w:color w:val="auto"/>
              </w:rPr>
            </w:pPr>
            <w:r>
              <w:rPr>
                <w:rFonts w:ascii="Arial" w:cs="Arial" w:eastAsia="Arial" w:hAnsi="Arial"/>
                <w:sz w:val="18"/>
                <w:szCs w:val="18"/>
                <w:b w:val="1"/>
                <w:bCs w:val="1"/>
                <w:color w:val="auto"/>
              </w:rPr>
              <w:t>Non-GAAP</w:t>
            </w:r>
          </w:p>
        </w:tc>
      </w:tr>
      <w:tr>
        <w:trPr>
          <w:trHeight w:val="27"/>
        </w:trPr>
        <w:tc>
          <w:tcPr>
            <w:tcW w:w="3180" w:type="dxa"/>
            <w:vAlign w:val="bottom"/>
            <w:tcBorders>
              <w:bottom w:val="single" w:sz="8" w:color="CCEEFF"/>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8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r>
      <w:tr>
        <w:trPr>
          <w:trHeight w:val="243"/>
        </w:trPr>
        <w:tc>
          <w:tcPr>
            <w:tcW w:w="31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shd w:val="clear" w:color="auto" w:fill="CCEEFF"/>
              </w:rPr>
              <w:t>Cost of revenue</w:t>
            </w:r>
          </w:p>
        </w:tc>
        <w:tc>
          <w:tcPr>
            <w:tcW w:w="1280" w:type="dxa"/>
            <w:vAlign w:val="bottom"/>
            <w:tcBorders>
              <w:bottom w:val="single" w:sz="8" w:color="CCEEFF"/>
            </w:tcBorders>
            <w:shd w:val="clear" w:color="auto" w:fill="CCEEFF"/>
          </w:tcPr>
          <w:p>
            <w:pPr>
              <w:jc w:val="right"/>
              <w:ind w:right="1070"/>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89.5</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74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(2.9)</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940" w:type="dxa"/>
            <w:vAlign w:val="bottom"/>
            <w:tcBorders>
              <w:bottom w:val="single" w:sz="8" w:color="CCEEFF"/>
            </w:tcBorders>
            <w:gridSpan w:val="2"/>
            <w:shd w:val="clear" w:color="auto" w:fill="CCEEFF"/>
          </w:tcPr>
          <w:p>
            <w:pPr>
              <w:ind w:left="1460"/>
              <w:spacing w:after="0"/>
              <w:rPr>
                <w:sz w:val="20"/>
                <w:szCs w:val="20"/>
                <w:color w:val="auto"/>
              </w:rPr>
            </w:pPr>
            <w:r>
              <w:rPr>
                <w:rFonts w:ascii="Arial" w:cs="Arial" w:eastAsia="Arial" w:hAnsi="Arial"/>
                <w:sz w:val="18"/>
                <w:szCs w:val="18"/>
                <w:color w:val="auto"/>
              </w:rPr>
              <w:t>—</w:t>
            </w: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62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86.6</w:t>
            </w:r>
          </w:p>
        </w:tc>
      </w:tr>
      <w:tr>
        <w:trPr>
          <w:trHeight w:val="243"/>
        </w:trPr>
        <w:tc>
          <w:tcPr>
            <w:tcW w:w="3180" w:type="dxa"/>
            <w:vAlign w:val="bottom"/>
          </w:tcPr>
          <w:p>
            <w:pPr>
              <w:ind w:left="40"/>
              <w:spacing w:after="0"/>
              <w:rPr>
                <w:sz w:val="20"/>
                <w:szCs w:val="20"/>
                <w:color w:val="auto"/>
              </w:rPr>
            </w:pPr>
            <w:r>
              <w:rPr>
                <w:rFonts w:ascii="Arial" w:cs="Arial" w:eastAsia="Arial" w:hAnsi="Arial"/>
                <w:sz w:val="18"/>
                <w:szCs w:val="18"/>
                <w:i w:val="1"/>
                <w:iCs w:val="1"/>
                <w:color w:val="auto"/>
              </w:rPr>
              <w:t>Cost of revenue margin</w:t>
            </w:r>
          </w:p>
        </w:tc>
        <w:tc>
          <w:tcPr>
            <w:tcW w:w="1280" w:type="dxa"/>
            <w:vAlign w:val="bottom"/>
          </w:tcPr>
          <w:p>
            <w:pPr>
              <w:spacing w:after="0"/>
              <w:rPr>
                <w:sz w:val="21"/>
                <w:szCs w:val="21"/>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26.4 %</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740" w:type="dxa"/>
            <w:vAlign w:val="bottom"/>
          </w:tcPr>
          <w:p>
            <w:pPr>
              <w:jc w:val="right"/>
              <w:spacing w:after="0"/>
              <w:rPr>
                <w:sz w:val="20"/>
                <w:szCs w:val="20"/>
                <w:color w:val="auto"/>
              </w:rPr>
            </w:pPr>
            <w:r>
              <w:rPr>
                <w:rFonts w:ascii="Arial" w:cs="Arial" w:eastAsia="Arial" w:hAnsi="Arial"/>
                <w:sz w:val="18"/>
                <w:szCs w:val="18"/>
                <w:color w:val="auto"/>
              </w:rPr>
              <w:t>(0.9)%</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940" w:type="dxa"/>
            <w:vAlign w:val="bottom"/>
            <w:gridSpan w:val="2"/>
          </w:tcPr>
          <w:p>
            <w:pPr>
              <w:ind w:left="146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1"/>
                <w:szCs w:val="21"/>
                <w:color w:val="auto"/>
              </w:rPr>
            </w:pPr>
          </w:p>
        </w:tc>
        <w:tc>
          <w:tcPr>
            <w:tcW w:w="1620" w:type="dxa"/>
            <w:vAlign w:val="bottom"/>
          </w:tcPr>
          <w:p>
            <w:pPr>
              <w:jc w:val="right"/>
              <w:spacing w:after="0"/>
              <w:rPr>
                <w:sz w:val="20"/>
                <w:szCs w:val="20"/>
                <w:color w:val="auto"/>
              </w:rPr>
            </w:pPr>
            <w:r>
              <w:rPr>
                <w:rFonts w:ascii="Arial" w:cs="Arial" w:eastAsia="Arial" w:hAnsi="Arial"/>
                <w:sz w:val="18"/>
                <w:szCs w:val="18"/>
                <w:color w:val="auto"/>
              </w:rPr>
              <w:t>25.5%</w:t>
            </w:r>
          </w:p>
        </w:tc>
      </w:tr>
      <w:tr>
        <w:trPr>
          <w:trHeight w:val="27"/>
        </w:trPr>
        <w:tc>
          <w:tcPr>
            <w:tcW w:w="3180" w:type="dxa"/>
            <w:vAlign w:val="bottom"/>
          </w:tcPr>
          <w:p>
            <w:pPr>
              <w:spacing w:after="0"/>
              <w:rPr>
                <w:sz w:val="2"/>
                <w:szCs w:val="2"/>
                <w:color w:val="auto"/>
              </w:rPr>
            </w:pPr>
          </w:p>
        </w:tc>
        <w:tc>
          <w:tcPr>
            <w:tcW w:w="128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620" w:type="dxa"/>
            <w:vAlign w:val="bottom"/>
          </w:tcPr>
          <w:p>
            <w:pPr>
              <w:spacing w:after="0"/>
              <w:rPr>
                <w:sz w:val="2"/>
                <w:szCs w:val="2"/>
                <w:color w:val="auto"/>
              </w:rPr>
            </w:pPr>
          </w:p>
        </w:tc>
      </w:tr>
      <w:tr>
        <w:trPr>
          <w:trHeight w:val="250"/>
        </w:trPr>
        <w:tc>
          <w:tcPr>
            <w:tcW w:w="31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Gross profit</w:t>
            </w:r>
          </w:p>
        </w:tc>
        <w:tc>
          <w:tcPr>
            <w:tcW w:w="128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7"/>
              </w:rPr>
              <w:t>249.7</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rPr>
              <w:t>2.9</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940" w:type="dxa"/>
            <w:vAlign w:val="bottom"/>
            <w:tcBorders>
              <w:bottom w:val="single" w:sz="8" w:color="CCEEFF"/>
            </w:tcBorders>
            <w:gridSpan w:val="2"/>
            <w:shd w:val="clear" w:color="auto" w:fill="CCEEFF"/>
          </w:tcPr>
          <w:p>
            <w:pPr>
              <w:ind w:left="1460"/>
              <w:spacing w:after="0"/>
              <w:rPr>
                <w:sz w:val="20"/>
                <w:szCs w:val="20"/>
                <w:color w:val="auto"/>
              </w:rPr>
            </w:pPr>
            <w:r>
              <w:rPr>
                <w:rFonts w:ascii="Arial" w:cs="Arial" w:eastAsia="Arial" w:hAnsi="Arial"/>
                <w:sz w:val="18"/>
                <w:szCs w:val="18"/>
                <w:color w:val="auto"/>
              </w:rPr>
              <w:t>—</w:t>
            </w:r>
          </w:p>
        </w:tc>
        <w:tc>
          <w:tcPr>
            <w:tcW w:w="320" w:type="dxa"/>
            <w:vAlign w:val="bottom"/>
            <w:tcBorders>
              <w:bottom w:val="single" w:sz="8" w:color="CCEEFF"/>
            </w:tcBorders>
            <w:shd w:val="clear" w:color="auto" w:fill="CCEEFF"/>
          </w:tcPr>
          <w:p>
            <w:pPr>
              <w:spacing w:after="0"/>
              <w:rPr>
                <w:sz w:val="21"/>
                <w:szCs w:val="21"/>
                <w:color w:val="auto"/>
              </w:rPr>
            </w:pPr>
          </w:p>
        </w:tc>
        <w:tc>
          <w:tcPr>
            <w:tcW w:w="162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252.6</w:t>
            </w:r>
          </w:p>
        </w:tc>
      </w:tr>
      <w:tr>
        <w:trPr>
          <w:trHeight w:val="243"/>
        </w:trPr>
        <w:tc>
          <w:tcPr>
            <w:tcW w:w="3180" w:type="dxa"/>
            <w:vAlign w:val="bottom"/>
          </w:tcPr>
          <w:p>
            <w:pPr>
              <w:ind w:left="40"/>
              <w:spacing w:after="0"/>
              <w:rPr>
                <w:sz w:val="20"/>
                <w:szCs w:val="20"/>
                <w:color w:val="auto"/>
              </w:rPr>
            </w:pPr>
            <w:r>
              <w:rPr>
                <w:rFonts w:ascii="Arial" w:cs="Arial" w:eastAsia="Arial" w:hAnsi="Arial"/>
                <w:sz w:val="18"/>
                <w:szCs w:val="18"/>
                <w:i w:val="1"/>
                <w:iCs w:val="1"/>
                <w:color w:val="auto"/>
              </w:rPr>
              <w:t>Gross margin</w:t>
            </w:r>
          </w:p>
        </w:tc>
        <w:tc>
          <w:tcPr>
            <w:tcW w:w="1280" w:type="dxa"/>
            <w:vAlign w:val="bottom"/>
          </w:tcPr>
          <w:p>
            <w:pPr>
              <w:spacing w:after="0"/>
              <w:rPr>
                <w:sz w:val="21"/>
                <w:szCs w:val="21"/>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73.6 %</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740" w:type="dxa"/>
            <w:vAlign w:val="bottom"/>
          </w:tcPr>
          <w:p>
            <w:pPr>
              <w:jc w:val="right"/>
              <w:spacing w:after="0"/>
              <w:rPr>
                <w:sz w:val="20"/>
                <w:szCs w:val="20"/>
                <w:color w:val="auto"/>
              </w:rPr>
            </w:pPr>
            <w:r>
              <w:rPr>
                <w:rFonts w:ascii="Arial" w:cs="Arial" w:eastAsia="Arial" w:hAnsi="Arial"/>
                <w:sz w:val="18"/>
                <w:szCs w:val="18"/>
                <w:color w:val="auto"/>
              </w:rPr>
              <w:t>0.9 %</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940" w:type="dxa"/>
            <w:vAlign w:val="bottom"/>
            <w:gridSpan w:val="2"/>
          </w:tcPr>
          <w:p>
            <w:pPr>
              <w:ind w:left="146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1"/>
                <w:szCs w:val="21"/>
                <w:color w:val="auto"/>
              </w:rPr>
            </w:pPr>
          </w:p>
        </w:tc>
        <w:tc>
          <w:tcPr>
            <w:tcW w:w="1620" w:type="dxa"/>
            <w:vAlign w:val="bottom"/>
          </w:tcPr>
          <w:p>
            <w:pPr>
              <w:jc w:val="right"/>
              <w:spacing w:after="0"/>
              <w:rPr>
                <w:sz w:val="20"/>
                <w:szCs w:val="20"/>
                <w:color w:val="auto"/>
              </w:rPr>
            </w:pPr>
            <w:r>
              <w:rPr>
                <w:rFonts w:ascii="Arial" w:cs="Arial" w:eastAsia="Arial" w:hAnsi="Arial"/>
                <w:sz w:val="18"/>
                <w:szCs w:val="18"/>
                <w:color w:val="auto"/>
              </w:rPr>
              <w:t>74.5%</w:t>
            </w:r>
          </w:p>
        </w:tc>
      </w:tr>
      <w:tr>
        <w:trPr>
          <w:trHeight w:val="27"/>
        </w:trPr>
        <w:tc>
          <w:tcPr>
            <w:tcW w:w="3180" w:type="dxa"/>
            <w:vAlign w:val="bottom"/>
          </w:tcPr>
          <w:p>
            <w:pPr>
              <w:spacing w:after="0"/>
              <w:rPr>
                <w:sz w:val="2"/>
                <w:szCs w:val="2"/>
                <w:color w:val="auto"/>
              </w:rPr>
            </w:pPr>
          </w:p>
        </w:tc>
        <w:tc>
          <w:tcPr>
            <w:tcW w:w="128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620" w:type="dxa"/>
            <w:vAlign w:val="bottom"/>
          </w:tcPr>
          <w:p>
            <w:pPr>
              <w:spacing w:after="0"/>
              <w:rPr>
                <w:sz w:val="2"/>
                <w:szCs w:val="2"/>
                <w:color w:val="auto"/>
              </w:rPr>
            </w:pPr>
          </w:p>
        </w:tc>
      </w:tr>
      <w:tr>
        <w:trPr>
          <w:trHeight w:val="250"/>
        </w:trPr>
        <w:tc>
          <w:tcPr>
            <w:tcW w:w="31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Research and development</w:t>
            </w:r>
          </w:p>
        </w:tc>
        <w:tc>
          <w:tcPr>
            <w:tcW w:w="128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7"/>
              </w:rPr>
              <w:t>119.7</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(27.9)</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940" w:type="dxa"/>
            <w:vAlign w:val="bottom"/>
            <w:tcBorders>
              <w:bottom w:val="single" w:sz="8" w:color="CCEEFF"/>
            </w:tcBorders>
            <w:gridSpan w:val="2"/>
            <w:shd w:val="clear" w:color="auto" w:fill="CCEEFF"/>
          </w:tcPr>
          <w:p>
            <w:pPr>
              <w:ind w:left="1460"/>
              <w:spacing w:after="0"/>
              <w:rPr>
                <w:sz w:val="20"/>
                <w:szCs w:val="20"/>
                <w:color w:val="auto"/>
              </w:rPr>
            </w:pPr>
            <w:r>
              <w:rPr>
                <w:rFonts w:ascii="Arial" w:cs="Arial" w:eastAsia="Arial" w:hAnsi="Arial"/>
                <w:sz w:val="18"/>
                <w:szCs w:val="18"/>
                <w:color w:val="auto"/>
              </w:rPr>
              <w:t>—</w:t>
            </w:r>
          </w:p>
        </w:tc>
        <w:tc>
          <w:tcPr>
            <w:tcW w:w="320" w:type="dxa"/>
            <w:vAlign w:val="bottom"/>
            <w:tcBorders>
              <w:bottom w:val="single" w:sz="8" w:color="CCEEFF"/>
            </w:tcBorders>
            <w:shd w:val="clear" w:color="auto" w:fill="CCEEFF"/>
          </w:tcPr>
          <w:p>
            <w:pPr>
              <w:spacing w:after="0"/>
              <w:rPr>
                <w:sz w:val="21"/>
                <w:szCs w:val="21"/>
                <w:color w:val="auto"/>
              </w:rPr>
            </w:pPr>
          </w:p>
        </w:tc>
        <w:tc>
          <w:tcPr>
            <w:tcW w:w="162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91.8</w:t>
            </w:r>
          </w:p>
        </w:tc>
      </w:tr>
      <w:tr>
        <w:trPr>
          <w:trHeight w:val="243"/>
        </w:trPr>
        <w:tc>
          <w:tcPr>
            <w:tcW w:w="3180" w:type="dxa"/>
            <w:vAlign w:val="bottom"/>
          </w:tcPr>
          <w:p>
            <w:pPr>
              <w:ind w:left="40"/>
              <w:spacing w:after="0"/>
              <w:rPr>
                <w:sz w:val="20"/>
                <w:szCs w:val="20"/>
                <w:color w:val="auto"/>
              </w:rPr>
            </w:pPr>
            <w:r>
              <w:rPr>
                <w:rFonts w:ascii="Arial" w:cs="Arial" w:eastAsia="Arial" w:hAnsi="Arial"/>
                <w:sz w:val="18"/>
                <w:szCs w:val="18"/>
                <w:i w:val="1"/>
                <w:iCs w:val="1"/>
                <w:color w:val="auto"/>
              </w:rPr>
              <w:t>Research and development margin</w:t>
            </w:r>
          </w:p>
        </w:tc>
        <w:tc>
          <w:tcPr>
            <w:tcW w:w="1280" w:type="dxa"/>
            <w:vAlign w:val="bottom"/>
          </w:tcPr>
          <w:p>
            <w:pPr>
              <w:spacing w:after="0"/>
              <w:rPr>
                <w:sz w:val="21"/>
                <w:szCs w:val="21"/>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35.3 %</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740" w:type="dxa"/>
            <w:vAlign w:val="bottom"/>
          </w:tcPr>
          <w:p>
            <w:pPr>
              <w:jc w:val="right"/>
              <w:spacing w:after="0"/>
              <w:rPr>
                <w:sz w:val="20"/>
                <w:szCs w:val="20"/>
                <w:color w:val="auto"/>
              </w:rPr>
            </w:pPr>
            <w:r>
              <w:rPr>
                <w:rFonts w:ascii="Arial" w:cs="Arial" w:eastAsia="Arial" w:hAnsi="Arial"/>
                <w:sz w:val="18"/>
                <w:szCs w:val="18"/>
                <w:color w:val="auto"/>
              </w:rPr>
              <w:t>(8.2)%</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940" w:type="dxa"/>
            <w:vAlign w:val="bottom"/>
            <w:gridSpan w:val="2"/>
          </w:tcPr>
          <w:p>
            <w:pPr>
              <w:ind w:left="146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1"/>
                <w:szCs w:val="21"/>
                <w:color w:val="auto"/>
              </w:rPr>
            </w:pPr>
          </w:p>
        </w:tc>
        <w:tc>
          <w:tcPr>
            <w:tcW w:w="1620" w:type="dxa"/>
            <w:vAlign w:val="bottom"/>
          </w:tcPr>
          <w:p>
            <w:pPr>
              <w:jc w:val="right"/>
              <w:spacing w:after="0"/>
              <w:rPr>
                <w:sz w:val="20"/>
                <w:szCs w:val="20"/>
                <w:color w:val="auto"/>
              </w:rPr>
            </w:pPr>
            <w:r>
              <w:rPr>
                <w:rFonts w:ascii="Arial" w:cs="Arial" w:eastAsia="Arial" w:hAnsi="Arial"/>
                <w:sz w:val="18"/>
                <w:szCs w:val="18"/>
                <w:color w:val="auto"/>
              </w:rPr>
              <w:t>27.1%</w:t>
            </w:r>
          </w:p>
        </w:tc>
      </w:tr>
      <w:tr>
        <w:trPr>
          <w:trHeight w:val="27"/>
        </w:trPr>
        <w:tc>
          <w:tcPr>
            <w:tcW w:w="3180" w:type="dxa"/>
            <w:vAlign w:val="bottom"/>
          </w:tcPr>
          <w:p>
            <w:pPr>
              <w:spacing w:after="0"/>
              <w:rPr>
                <w:sz w:val="2"/>
                <w:szCs w:val="2"/>
                <w:color w:val="auto"/>
              </w:rPr>
            </w:pPr>
          </w:p>
        </w:tc>
        <w:tc>
          <w:tcPr>
            <w:tcW w:w="128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620" w:type="dxa"/>
            <w:vAlign w:val="bottom"/>
          </w:tcPr>
          <w:p>
            <w:pPr>
              <w:spacing w:after="0"/>
              <w:rPr>
                <w:sz w:val="2"/>
                <w:szCs w:val="2"/>
                <w:color w:val="auto"/>
              </w:rPr>
            </w:pPr>
          </w:p>
        </w:tc>
      </w:tr>
      <w:tr>
        <w:trPr>
          <w:trHeight w:val="250"/>
        </w:trPr>
        <w:tc>
          <w:tcPr>
            <w:tcW w:w="31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Sales and marketing</w:t>
            </w:r>
          </w:p>
        </w:tc>
        <w:tc>
          <w:tcPr>
            <w:tcW w:w="128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87.4</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(7.9)</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940" w:type="dxa"/>
            <w:vAlign w:val="bottom"/>
            <w:tcBorders>
              <w:bottom w:val="single" w:sz="8" w:color="CCEEFF"/>
            </w:tcBorders>
            <w:gridSpan w:val="2"/>
            <w:shd w:val="clear" w:color="auto" w:fill="CCEEFF"/>
          </w:tcPr>
          <w:p>
            <w:pPr>
              <w:ind w:left="1460"/>
              <w:spacing w:after="0"/>
              <w:rPr>
                <w:sz w:val="20"/>
                <w:szCs w:val="20"/>
                <w:color w:val="auto"/>
              </w:rPr>
            </w:pPr>
            <w:r>
              <w:rPr>
                <w:rFonts w:ascii="Arial" w:cs="Arial" w:eastAsia="Arial" w:hAnsi="Arial"/>
                <w:sz w:val="18"/>
                <w:szCs w:val="18"/>
                <w:color w:val="auto"/>
              </w:rPr>
              <w:t>—</w:t>
            </w:r>
          </w:p>
        </w:tc>
        <w:tc>
          <w:tcPr>
            <w:tcW w:w="320" w:type="dxa"/>
            <w:vAlign w:val="bottom"/>
            <w:tcBorders>
              <w:bottom w:val="single" w:sz="8" w:color="CCEEFF"/>
            </w:tcBorders>
            <w:shd w:val="clear" w:color="auto" w:fill="CCEEFF"/>
          </w:tcPr>
          <w:p>
            <w:pPr>
              <w:spacing w:after="0"/>
              <w:rPr>
                <w:sz w:val="21"/>
                <w:szCs w:val="21"/>
                <w:color w:val="auto"/>
              </w:rPr>
            </w:pPr>
          </w:p>
        </w:tc>
        <w:tc>
          <w:tcPr>
            <w:tcW w:w="162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79.5</w:t>
            </w:r>
          </w:p>
        </w:tc>
      </w:tr>
      <w:tr>
        <w:trPr>
          <w:trHeight w:val="243"/>
        </w:trPr>
        <w:tc>
          <w:tcPr>
            <w:tcW w:w="3180" w:type="dxa"/>
            <w:vAlign w:val="bottom"/>
          </w:tcPr>
          <w:p>
            <w:pPr>
              <w:ind w:left="40"/>
              <w:spacing w:after="0"/>
              <w:rPr>
                <w:sz w:val="20"/>
                <w:szCs w:val="20"/>
                <w:color w:val="auto"/>
              </w:rPr>
            </w:pPr>
            <w:r>
              <w:rPr>
                <w:rFonts w:ascii="Arial" w:cs="Arial" w:eastAsia="Arial" w:hAnsi="Arial"/>
                <w:sz w:val="18"/>
                <w:szCs w:val="18"/>
                <w:i w:val="1"/>
                <w:iCs w:val="1"/>
                <w:color w:val="auto"/>
              </w:rPr>
              <w:t>Sales and marketing margin</w:t>
            </w:r>
          </w:p>
        </w:tc>
        <w:tc>
          <w:tcPr>
            <w:tcW w:w="1280" w:type="dxa"/>
            <w:vAlign w:val="bottom"/>
          </w:tcPr>
          <w:p>
            <w:pPr>
              <w:spacing w:after="0"/>
              <w:rPr>
                <w:sz w:val="21"/>
                <w:szCs w:val="21"/>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25.8 %</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740" w:type="dxa"/>
            <w:vAlign w:val="bottom"/>
          </w:tcPr>
          <w:p>
            <w:pPr>
              <w:jc w:val="right"/>
              <w:spacing w:after="0"/>
              <w:rPr>
                <w:sz w:val="20"/>
                <w:szCs w:val="20"/>
                <w:color w:val="auto"/>
              </w:rPr>
            </w:pPr>
            <w:r>
              <w:rPr>
                <w:rFonts w:ascii="Arial" w:cs="Arial" w:eastAsia="Arial" w:hAnsi="Arial"/>
                <w:sz w:val="18"/>
                <w:szCs w:val="18"/>
                <w:color w:val="auto"/>
              </w:rPr>
              <w:t>(2.3)%</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940" w:type="dxa"/>
            <w:vAlign w:val="bottom"/>
            <w:gridSpan w:val="2"/>
          </w:tcPr>
          <w:p>
            <w:pPr>
              <w:ind w:left="146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1"/>
                <w:szCs w:val="21"/>
                <w:color w:val="auto"/>
              </w:rPr>
            </w:pPr>
          </w:p>
        </w:tc>
        <w:tc>
          <w:tcPr>
            <w:tcW w:w="1620" w:type="dxa"/>
            <w:vAlign w:val="bottom"/>
          </w:tcPr>
          <w:p>
            <w:pPr>
              <w:jc w:val="right"/>
              <w:spacing w:after="0"/>
              <w:rPr>
                <w:sz w:val="20"/>
                <w:szCs w:val="20"/>
                <w:color w:val="auto"/>
              </w:rPr>
            </w:pPr>
            <w:r>
              <w:rPr>
                <w:rFonts w:ascii="Arial" w:cs="Arial" w:eastAsia="Arial" w:hAnsi="Arial"/>
                <w:sz w:val="18"/>
                <w:szCs w:val="18"/>
                <w:color w:val="auto"/>
              </w:rPr>
              <w:t>23.4%</w:t>
            </w:r>
          </w:p>
        </w:tc>
      </w:tr>
      <w:tr>
        <w:trPr>
          <w:trHeight w:val="27"/>
        </w:trPr>
        <w:tc>
          <w:tcPr>
            <w:tcW w:w="3180" w:type="dxa"/>
            <w:vAlign w:val="bottom"/>
          </w:tcPr>
          <w:p>
            <w:pPr>
              <w:spacing w:after="0"/>
              <w:rPr>
                <w:sz w:val="2"/>
                <w:szCs w:val="2"/>
                <w:color w:val="auto"/>
              </w:rPr>
            </w:pPr>
          </w:p>
        </w:tc>
        <w:tc>
          <w:tcPr>
            <w:tcW w:w="128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620" w:type="dxa"/>
            <w:vAlign w:val="bottom"/>
          </w:tcPr>
          <w:p>
            <w:pPr>
              <w:spacing w:after="0"/>
              <w:rPr>
                <w:sz w:val="2"/>
                <w:szCs w:val="2"/>
                <w:color w:val="auto"/>
              </w:rPr>
            </w:pPr>
          </w:p>
        </w:tc>
      </w:tr>
      <w:tr>
        <w:trPr>
          <w:trHeight w:val="250"/>
        </w:trPr>
        <w:tc>
          <w:tcPr>
            <w:tcW w:w="31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General and administrative</w:t>
            </w:r>
          </w:p>
        </w:tc>
        <w:tc>
          <w:tcPr>
            <w:tcW w:w="128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49.8</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(16.4)</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940" w:type="dxa"/>
            <w:vAlign w:val="bottom"/>
            <w:tcBorders>
              <w:bottom w:val="single" w:sz="8" w:color="CCEEFF"/>
            </w:tcBorders>
            <w:gridSpan w:val="2"/>
            <w:shd w:val="clear" w:color="auto" w:fill="CCEEFF"/>
          </w:tcPr>
          <w:p>
            <w:pPr>
              <w:ind w:left="1460"/>
              <w:spacing w:after="0"/>
              <w:rPr>
                <w:sz w:val="20"/>
                <w:szCs w:val="20"/>
                <w:color w:val="auto"/>
              </w:rPr>
            </w:pPr>
            <w:r>
              <w:rPr>
                <w:rFonts w:ascii="Arial" w:cs="Arial" w:eastAsia="Arial" w:hAnsi="Arial"/>
                <w:sz w:val="18"/>
                <w:szCs w:val="18"/>
                <w:color w:val="auto"/>
              </w:rPr>
              <w:t>—</w:t>
            </w:r>
          </w:p>
        </w:tc>
        <w:tc>
          <w:tcPr>
            <w:tcW w:w="320" w:type="dxa"/>
            <w:vAlign w:val="bottom"/>
            <w:tcBorders>
              <w:bottom w:val="single" w:sz="8" w:color="CCEEFF"/>
            </w:tcBorders>
            <w:shd w:val="clear" w:color="auto" w:fill="CCEEFF"/>
          </w:tcPr>
          <w:p>
            <w:pPr>
              <w:spacing w:after="0"/>
              <w:rPr>
                <w:sz w:val="21"/>
                <w:szCs w:val="21"/>
                <w:color w:val="auto"/>
              </w:rPr>
            </w:pPr>
          </w:p>
        </w:tc>
        <w:tc>
          <w:tcPr>
            <w:tcW w:w="162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33.4</w:t>
            </w:r>
          </w:p>
        </w:tc>
      </w:tr>
      <w:tr>
        <w:trPr>
          <w:trHeight w:val="243"/>
        </w:trPr>
        <w:tc>
          <w:tcPr>
            <w:tcW w:w="3180" w:type="dxa"/>
            <w:vAlign w:val="bottom"/>
          </w:tcPr>
          <w:p>
            <w:pPr>
              <w:ind w:left="40"/>
              <w:spacing w:after="0"/>
              <w:rPr>
                <w:sz w:val="20"/>
                <w:szCs w:val="20"/>
                <w:color w:val="auto"/>
              </w:rPr>
            </w:pPr>
            <w:r>
              <w:rPr>
                <w:rFonts w:ascii="Arial" w:cs="Arial" w:eastAsia="Arial" w:hAnsi="Arial"/>
                <w:sz w:val="18"/>
                <w:szCs w:val="18"/>
                <w:i w:val="1"/>
                <w:iCs w:val="1"/>
                <w:color w:val="auto"/>
              </w:rPr>
              <w:t>General and administrative margin</w:t>
            </w:r>
          </w:p>
        </w:tc>
        <w:tc>
          <w:tcPr>
            <w:tcW w:w="1280" w:type="dxa"/>
            <w:vAlign w:val="bottom"/>
          </w:tcPr>
          <w:p>
            <w:pPr>
              <w:spacing w:after="0"/>
              <w:rPr>
                <w:sz w:val="21"/>
                <w:szCs w:val="21"/>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14.7 %</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740" w:type="dxa"/>
            <w:vAlign w:val="bottom"/>
          </w:tcPr>
          <w:p>
            <w:pPr>
              <w:jc w:val="right"/>
              <w:spacing w:after="0"/>
              <w:rPr>
                <w:sz w:val="20"/>
                <w:szCs w:val="20"/>
                <w:color w:val="auto"/>
              </w:rPr>
            </w:pPr>
            <w:r>
              <w:rPr>
                <w:rFonts w:ascii="Arial" w:cs="Arial" w:eastAsia="Arial" w:hAnsi="Arial"/>
                <w:sz w:val="18"/>
                <w:szCs w:val="18"/>
                <w:color w:val="auto"/>
              </w:rPr>
              <w:t>(4.8)%</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940" w:type="dxa"/>
            <w:vAlign w:val="bottom"/>
            <w:gridSpan w:val="2"/>
          </w:tcPr>
          <w:p>
            <w:pPr>
              <w:ind w:left="146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1"/>
                <w:szCs w:val="21"/>
                <w:color w:val="auto"/>
              </w:rPr>
            </w:pPr>
          </w:p>
        </w:tc>
        <w:tc>
          <w:tcPr>
            <w:tcW w:w="1620" w:type="dxa"/>
            <w:vAlign w:val="bottom"/>
          </w:tcPr>
          <w:p>
            <w:pPr>
              <w:jc w:val="right"/>
              <w:spacing w:after="0"/>
              <w:rPr>
                <w:sz w:val="20"/>
                <w:szCs w:val="20"/>
                <w:color w:val="auto"/>
              </w:rPr>
            </w:pPr>
            <w:r>
              <w:rPr>
                <w:rFonts w:ascii="Arial" w:cs="Arial" w:eastAsia="Arial" w:hAnsi="Arial"/>
                <w:sz w:val="18"/>
                <w:szCs w:val="18"/>
                <w:color w:val="auto"/>
              </w:rPr>
              <w:t>9.8%</w:t>
            </w:r>
          </w:p>
        </w:tc>
      </w:tr>
      <w:tr>
        <w:trPr>
          <w:trHeight w:val="27"/>
        </w:trPr>
        <w:tc>
          <w:tcPr>
            <w:tcW w:w="3180" w:type="dxa"/>
            <w:vAlign w:val="bottom"/>
          </w:tcPr>
          <w:p>
            <w:pPr>
              <w:spacing w:after="0"/>
              <w:rPr>
                <w:sz w:val="2"/>
                <w:szCs w:val="2"/>
                <w:color w:val="auto"/>
              </w:rPr>
            </w:pPr>
          </w:p>
        </w:tc>
        <w:tc>
          <w:tcPr>
            <w:tcW w:w="128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620" w:type="dxa"/>
            <w:vAlign w:val="bottom"/>
          </w:tcPr>
          <w:p>
            <w:pPr>
              <w:spacing w:after="0"/>
              <w:rPr>
                <w:sz w:val="2"/>
                <w:szCs w:val="2"/>
                <w:color w:val="auto"/>
              </w:rPr>
            </w:pPr>
          </w:p>
        </w:tc>
      </w:tr>
      <w:tr>
        <w:trPr>
          <w:trHeight w:val="250"/>
        </w:trPr>
        <w:tc>
          <w:tcPr>
            <w:tcW w:w="31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(loss) from operations</w:t>
            </w:r>
          </w:p>
        </w:tc>
        <w:tc>
          <w:tcPr>
            <w:tcW w:w="1280" w:type="dxa"/>
            <w:vAlign w:val="bottom"/>
            <w:tcBorders>
              <w:bottom w:val="single" w:sz="8" w:color="CCEEFF"/>
            </w:tcBorders>
            <w:shd w:val="clear" w:color="auto" w:fill="CCEEFF"/>
          </w:tcPr>
          <w:p>
            <w:pPr>
              <w:jc w:val="right"/>
              <w:ind w:right="1070"/>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(7.2)</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74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rPr>
              <w:t>55.1</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940" w:type="dxa"/>
            <w:vAlign w:val="bottom"/>
            <w:tcBorders>
              <w:bottom w:val="single" w:sz="8" w:color="CCEEFF"/>
            </w:tcBorders>
            <w:gridSpan w:val="2"/>
            <w:shd w:val="clear" w:color="auto" w:fill="CCEEFF"/>
          </w:tcPr>
          <w:p>
            <w:pPr>
              <w:ind w:left="1460"/>
              <w:spacing w:after="0"/>
              <w:rPr>
                <w:sz w:val="20"/>
                <w:szCs w:val="20"/>
                <w:color w:val="auto"/>
              </w:rPr>
            </w:pPr>
            <w:r>
              <w:rPr>
                <w:rFonts w:ascii="Arial" w:cs="Arial" w:eastAsia="Arial" w:hAnsi="Arial"/>
                <w:sz w:val="18"/>
                <w:szCs w:val="18"/>
                <w:color w:val="auto"/>
              </w:rPr>
              <w:t>—</w:t>
            </w: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62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47.9</w:t>
            </w:r>
          </w:p>
        </w:tc>
      </w:tr>
      <w:tr>
        <w:trPr>
          <w:trHeight w:val="243"/>
        </w:trPr>
        <w:tc>
          <w:tcPr>
            <w:tcW w:w="3180" w:type="dxa"/>
            <w:vAlign w:val="bottom"/>
          </w:tcPr>
          <w:p>
            <w:pPr>
              <w:ind w:left="40"/>
              <w:spacing w:after="0"/>
              <w:rPr>
                <w:sz w:val="20"/>
                <w:szCs w:val="20"/>
                <w:color w:val="auto"/>
              </w:rPr>
            </w:pPr>
            <w:r>
              <w:rPr>
                <w:rFonts w:ascii="Arial" w:cs="Arial" w:eastAsia="Arial" w:hAnsi="Arial"/>
                <w:sz w:val="18"/>
                <w:szCs w:val="18"/>
                <w:i w:val="1"/>
                <w:iCs w:val="1"/>
                <w:color w:val="auto"/>
              </w:rPr>
              <w:t>Operating margin</w:t>
            </w:r>
          </w:p>
        </w:tc>
        <w:tc>
          <w:tcPr>
            <w:tcW w:w="1280" w:type="dxa"/>
            <w:vAlign w:val="bottom"/>
          </w:tcPr>
          <w:p>
            <w:pPr>
              <w:spacing w:after="0"/>
              <w:rPr>
                <w:sz w:val="21"/>
                <w:szCs w:val="21"/>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(2.1)%</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740" w:type="dxa"/>
            <w:vAlign w:val="bottom"/>
          </w:tcPr>
          <w:p>
            <w:pPr>
              <w:jc w:val="right"/>
              <w:spacing w:after="0"/>
              <w:rPr>
                <w:sz w:val="20"/>
                <w:szCs w:val="20"/>
                <w:color w:val="auto"/>
              </w:rPr>
            </w:pPr>
            <w:r>
              <w:rPr>
                <w:rFonts w:ascii="Arial" w:cs="Arial" w:eastAsia="Arial" w:hAnsi="Arial"/>
                <w:sz w:val="18"/>
                <w:szCs w:val="18"/>
                <w:color w:val="auto"/>
              </w:rPr>
              <w:t>16.2 %</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940" w:type="dxa"/>
            <w:vAlign w:val="bottom"/>
            <w:gridSpan w:val="2"/>
          </w:tcPr>
          <w:p>
            <w:pPr>
              <w:ind w:left="146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1"/>
                <w:szCs w:val="21"/>
                <w:color w:val="auto"/>
              </w:rPr>
            </w:pPr>
          </w:p>
        </w:tc>
        <w:tc>
          <w:tcPr>
            <w:tcW w:w="1620" w:type="dxa"/>
            <w:vAlign w:val="bottom"/>
          </w:tcPr>
          <w:p>
            <w:pPr>
              <w:jc w:val="right"/>
              <w:spacing w:after="0"/>
              <w:rPr>
                <w:sz w:val="20"/>
                <w:szCs w:val="20"/>
                <w:color w:val="auto"/>
              </w:rPr>
            </w:pPr>
            <w:r>
              <w:rPr>
                <w:rFonts w:ascii="Arial" w:cs="Arial" w:eastAsia="Arial" w:hAnsi="Arial"/>
                <w:sz w:val="18"/>
                <w:szCs w:val="18"/>
                <w:color w:val="auto"/>
              </w:rPr>
              <w:t>14.1%</w:t>
            </w:r>
          </w:p>
        </w:tc>
      </w:tr>
    </w:tbl>
    <w:p>
      <w:pPr>
        <w:spacing w:after="0" w:line="200" w:lineRule="exact"/>
        <w:rPr>
          <w:sz w:val="20"/>
          <w:szCs w:val="20"/>
          <w:color w:val="auto"/>
        </w:rPr>
      </w:pPr>
    </w:p>
    <w:p>
      <w:pPr>
        <w:spacing w:after="0" w:line="263"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Dropbox, Inc.</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Three months ended June 30, 2017</w:t>
      </w:r>
    </w:p>
    <w:p>
      <w:pPr>
        <w:jc w:val="center"/>
        <w:spacing w:after="0"/>
        <w:rPr>
          <w:sz w:val="20"/>
          <w:szCs w:val="20"/>
          <w:color w:val="auto"/>
        </w:rPr>
      </w:pPr>
      <w:r>
        <w:rPr>
          <w:rFonts w:ascii="Arial" w:cs="Arial" w:eastAsia="Arial" w:hAnsi="Arial"/>
          <w:sz w:val="20"/>
          <w:szCs w:val="20"/>
          <w:b w:val="1"/>
          <w:bCs w:val="1"/>
          <w:color w:val="auto"/>
        </w:rPr>
        <w:t>Reconciliation of GAAP to Non-GAAP results</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(In millions, except for percentages, which may not foot due to rounding)</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(Unaudited)</w:t>
      </w:r>
    </w:p>
    <w:p>
      <w:pPr>
        <w:spacing w:after="0" w:line="368"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16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96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88"/>
              </w:rPr>
              <w:t>Donation of common</w:t>
            </w:r>
          </w:p>
        </w:tc>
        <w:tc>
          <w:tcPr>
            <w:tcW w:w="300" w:type="dxa"/>
            <w:vAlign w:val="bottom"/>
          </w:tcPr>
          <w:p>
            <w:pPr>
              <w:spacing w:after="0"/>
              <w:rPr>
                <w:sz w:val="18"/>
                <w:szCs w:val="18"/>
                <w:color w:val="auto"/>
              </w:rPr>
            </w:pPr>
          </w:p>
        </w:tc>
        <w:tc>
          <w:tcPr>
            <w:tcW w:w="1620" w:type="dxa"/>
            <w:vAlign w:val="bottom"/>
          </w:tcPr>
          <w:p>
            <w:pPr>
              <w:spacing w:after="0"/>
              <w:rPr>
                <w:sz w:val="18"/>
                <w:szCs w:val="18"/>
                <w:color w:val="auto"/>
              </w:rPr>
            </w:pPr>
          </w:p>
        </w:tc>
      </w:tr>
      <w:tr>
        <w:trPr>
          <w:trHeight w:val="216"/>
        </w:trPr>
        <w:tc>
          <w:tcPr>
            <w:tcW w:w="316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840" w:type="dxa"/>
            <w:vAlign w:val="bottom"/>
            <w:gridSpan w:val="2"/>
          </w:tcPr>
          <w:p>
            <w:pPr>
              <w:jc w:val="center"/>
              <w:ind w:right="420"/>
              <w:spacing w:after="0"/>
              <w:rPr>
                <w:sz w:val="20"/>
                <w:szCs w:val="20"/>
                <w:color w:val="auto"/>
              </w:rPr>
            </w:pPr>
            <w:r>
              <w:rPr>
                <w:rFonts w:ascii="Arial" w:cs="Arial" w:eastAsia="Arial" w:hAnsi="Arial"/>
                <w:sz w:val="18"/>
                <w:szCs w:val="18"/>
                <w:b w:val="1"/>
                <w:bCs w:val="1"/>
                <w:color w:val="auto"/>
                <w:w w:val="87"/>
              </w:rPr>
              <w:t>Stock-based</w:t>
            </w:r>
          </w:p>
        </w:tc>
        <w:tc>
          <w:tcPr>
            <w:tcW w:w="160" w:type="dxa"/>
            <w:vAlign w:val="bottom"/>
          </w:tcPr>
          <w:p>
            <w:pPr>
              <w:spacing w:after="0"/>
              <w:rPr>
                <w:sz w:val="18"/>
                <w:szCs w:val="18"/>
                <w:color w:val="auto"/>
              </w:rPr>
            </w:pPr>
          </w:p>
        </w:tc>
        <w:tc>
          <w:tcPr>
            <w:tcW w:w="196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88"/>
              </w:rPr>
              <w:t>stock to the Dropbox</w:t>
            </w:r>
          </w:p>
        </w:tc>
        <w:tc>
          <w:tcPr>
            <w:tcW w:w="300" w:type="dxa"/>
            <w:vAlign w:val="bottom"/>
          </w:tcPr>
          <w:p>
            <w:pPr>
              <w:spacing w:after="0"/>
              <w:rPr>
                <w:sz w:val="18"/>
                <w:szCs w:val="18"/>
                <w:color w:val="auto"/>
              </w:rPr>
            </w:pPr>
          </w:p>
        </w:tc>
        <w:tc>
          <w:tcPr>
            <w:tcW w:w="1620" w:type="dxa"/>
            <w:vAlign w:val="bottom"/>
          </w:tcPr>
          <w:p>
            <w:pPr>
              <w:spacing w:after="0"/>
              <w:rPr>
                <w:sz w:val="18"/>
                <w:szCs w:val="18"/>
                <w:color w:val="auto"/>
              </w:rPr>
            </w:pPr>
          </w:p>
        </w:tc>
      </w:tr>
      <w:tr>
        <w:trPr>
          <w:trHeight w:val="234"/>
        </w:trPr>
        <w:tc>
          <w:tcPr>
            <w:tcW w:w="316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8"/>
                <w:szCs w:val="18"/>
                <w:b w:val="1"/>
                <w:bCs w:val="1"/>
                <w:color w:val="auto"/>
              </w:rPr>
              <w:t>GAAP</w:t>
            </w:r>
          </w:p>
        </w:tc>
        <w:tc>
          <w:tcPr>
            <w:tcW w:w="7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840" w:type="dxa"/>
            <w:vAlign w:val="bottom"/>
            <w:gridSpan w:val="2"/>
          </w:tcPr>
          <w:p>
            <w:pPr>
              <w:jc w:val="center"/>
              <w:ind w:right="420"/>
              <w:spacing w:after="0"/>
              <w:rPr>
                <w:sz w:val="20"/>
                <w:szCs w:val="20"/>
                <w:color w:val="auto"/>
              </w:rPr>
            </w:pPr>
            <w:r>
              <w:rPr>
                <w:rFonts w:ascii="Arial" w:cs="Arial" w:eastAsia="Arial" w:hAnsi="Arial"/>
                <w:sz w:val="18"/>
                <w:szCs w:val="18"/>
                <w:b w:val="1"/>
                <w:bCs w:val="1"/>
                <w:color w:val="auto"/>
                <w:w w:val="86"/>
              </w:rPr>
              <w:t>compensation</w:t>
            </w:r>
          </w:p>
        </w:tc>
        <w:tc>
          <w:tcPr>
            <w:tcW w:w="160" w:type="dxa"/>
            <w:vAlign w:val="bottom"/>
          </w:tcPr>
          <w:p>
            <w:pPr>
              <w:spacing w:after="0"/>
              <w:rPr>
                <w:sz w:val="20"/>
                <w:szCs w:val="20"/>
                <w:color w:val="auto"/>
              </w:rPr>
            </w:pPr>
          </w:p>
        </w:tc>
        <w:tc>
          <w:tcPr>
            <w:tcW w:w="196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89"/>
              </w:rPr>
              <w:t>Foundation</w:t>
            </w:r>
          </w:p>
        </w:tc>
        <w:tc>
          <w:tcPr>
            <w:tcW w:w="300" w:type="dxa"/>
            <w:vAlign w:val="bottom"/>
          </w:tcPr>
          <w:p>
            <w:pPr>
              <w:spacing w:after="0"/>
              <w:rPr>
                <w:sz w:val="20"/>
                <w:szCs w:val="20"/>
                <w:color w:val="auto"/>
              </w:rPr>
            </w:pPr>
          </w:p>
        </w:tc>
        <w:tc>
          <w:tcPr>
            <w:tcW w:w="1620" w:type="dxa"/>
            <w:vAlign w:val="bottom"/>
          </w:tcPr>
          <w:p>
            <w:pPr>
              <w:jc w:val="right"/>
              <w:ind w:right="430"/>
              <w:spacing w:after="0"/>
              <w:rPr>
                <w:sz w:val="20"/>
                <w:szCs w:val="20"/>
                <w:color w:val="auto"/>
              </w:rPr>
            </w:pPr>
            <w:r>
              <w:rPr>
                <w:rFonts w:ascii="Arial" w:cs="Arial" w:eastAsia="Arial" w:hAnsi="Arial"/>
                <w:sz w:val="18"/>
                <w:szCs w:val="18"/>
                <w:b w:val="1"/>
                <w:bCs w:val="1"/>
                <w:color w:val="auto"/>
              </w:rPr>
              <w:t>Non-GAAP</w:t>
            </w:r>
          </w:p>
        </w:tc>
      </w:tr>
      <w:tr>
        <w:trPr>
          <w:trHeight w:val="27"/>
        </w:trPr>
        <w:tc>
          <w:tcPr>
            <w:tcW w:w="3160" w:type="dxa"/>
            <w:vAlign w:val="bottom"/>
            <w:tcBorders>
              <w:bottom w:val="single" w:sz="8" w:color="CCEEFF"/>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7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8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r>
      <w:tr>
        <w:trPr>
          <w:trHeight w:val="243"/>
        </w:trPr>
        <w:tc>
          <w:tcPr>
            <w:tcW w:w="3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shd w:val="clear" w:color="auto" w:fill="CCEEFF"/>
              </w:rPr>
              <w:t>Cost of revenue</w:t>
            </w:r>
          </w:p>
        </w:tc>
        <w:tc>
          <w:tcPr>
            <w:tcW w:w="1280" w:type="dxa"/>
            <w:vAlign w:val="bottom"/>
            <w:tcBorders>
              <w:bottom w:val="single" w:sz="8" w:color="CCEEFF"/>
            </w:tcBorders>
            <w:shd w:val="clear" w:color="auto" w:fill="CCEEFF"/>
          </w:tcPr>
          <w:p>
            <w:pPr>
              <w:jc w:val="right"/>
              <w:ind w:right="1090"/>
              <w:spacing w:after="0"/>
              <w:rPr>
                <w:sz w:val="20"/>
                <w:szCs w:val="20"/>
                <w:color w:val="auto"/>
              </w:rPr>
            </w:pPr>
            <w:r>
              <w:rPr>
                <w:rFonts w:ascii="Arial" w:cs="Arial" w:eastAsia="Arial" w:hAnsi="Arial"/>
                <w:sz w:val="18"/>
                <w:szCs w:val="18"/>
                <w:color w:val="auto"/>
                <w:w w:val="79"/>
              </w:rPr>
              <w:t>$</w:t>
            </w:r>
          </w:p>
        </w:tc>
        <w:tc>
          <w:tcPr>
            <w:tcW w:w="7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92.2</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72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(3.3)</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960" w:type="dxa"/>
            <w:vAlign w:val="bottom"/>
            <w:tcBorders>
              <w:bottom w:val="single" w:sz="8" w:color="CCEEFF"/>
            </w:tcBorders>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62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88.9</w:t>
            </w:r>
          </w:p>
        </w:tc>
      </w:tr>
      <w:tr>
        <w:trPr>
          <w:trHeight w:val="243"/>
        </w:trPr>
        <w:tc>
          <w:tcPr>
            <w:tcW w:w="3160" w:type="dxa"/>
            <w:vAlign w:val="bottom"/>
          </w:tcPr>
          <w:p>
            <w:pPr>
              <w:ind w:left="40"/>
              <w:spacing w:after="0"/>
              <w:rPr>
                <w:sz w:val="20"/>
                <w:szCs w:val="20"/>
                <w:color w:val="auto"/>
              </w:rPr>
            </w:pPr>
            <w:r>
              <w:rPr>
                <w:rFonts w:ascii="Arial" w:cs="Arial" w:eastAsia="Arial" w:hAnsi="Arial"/>
                <w:sz w:val="18"/>
                <w:szCs w:val="18"/>
                <w:i w:val="1"/>
                <w:iCs w:val="1"/>
                <w:color w:val="auto"/>
              </w:rPr>
              <w:t>Cost of revenue margin</w:t>
            </w:r>
          </w:p>
        </w:tc>
        <w:tc>
          <w:tcPr>
            <w:tcW w:w="1280" w:type="dxa"/>
            <w:vAlign w:val="bottom"/>
          </w:tcPr>
          <w:p>
            <w:pPr>
              <w:spacing w:after="0"/>
              <w:rPr>
                <w:sz w:val="21"/>
                <w:szCs w:val="21"/>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34.6 %</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720" w:type="dxa"/>
            <w:vAlign w:val="bottom"/>
          </w:tcPr>
          <w:p>
            <w:pPr>
              <w:jc w:val="right"/>
              <w:spacing w:after="0"/>
              <w:rPr>
                <w:sz w:val="20"/>
                <w:szCs w:val="20"/>
                <w:color w:val="auto"/>
              </w:rPr>
            </w:pPr>
            <w:r>
              <w:rPr>
                <w:rFonts w:ascii="Arial" w:cs="Arial" w:eastAsia="Arial" w:hAnsi="Arial"/>
                <w:sz w:val="18"/>
                <w:szCs w:val="18"/>
                <w:color w:val="auto"/>
              </w:rPr>
              <w:t>(1.3)%</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960" w:type="dxa"/>
            <w:vAlign w:val="bottom"/>
            <w:gridSpan w:val="2"/>
          </w:tcPr>
          <w:p>
            <w:pPr>
              <w:ind w:left="1420"/>
              <w:spacing w:after="0"/>
              <w:rPr>
                <w:sz w:val="20"/>
                <w:szCs w:val="20"/>
                <w:color w:val="auto"/>
              </w:rPr>
            </w:pPr>
            <w:r>
              <w:rPr>
                <w:rFonts w:ascii="Arial" w:cs="Arial" w:eastAsia="Arial" w:hAnsi="Arial"/>
                <w:sz w:val="18"/>
                <w:szCs w:val="18"/>
                <w:color w:val="auto"/>
              </w:rPr>
              <w:t>— %</w:t>
            </w:r>
          </w:p>
        </w:tc>
        <w:tc>
          <w:tcPr>
            <w:tcW w:w="300" w:type="dxa"/>
            <w:vAlign w:val="bottom"/>
          </w:tcPr>
          <w:p>
            <w:pPr>
              <w:spacing w:after="0"/>
              <w:rPr>
                <w:sz w:val="21"/>
                <w:szCs w:val="21"/>
                <w:color w:val="auto"/>
              </w:rPr>
            </w:pPr>
          </w:p>
        </w:tc>
        <w:tc>
          <w:tcPr>
            <w:tcW w:w="1620" w:type="dxa"/>
            <w:vAlign w:val="bottom"/>
          </w:tcPr>
          <w:p>
            <w:pPr>
              <w:jc w:val="right"/>
              <w:spacing w:after="0"/>
              <w:rPr>
                <w:sz w:val="20"/>
                <w:szCs w:val="20"/>
                <w:color w:val="auto"/>
              </w:rPr>
            </w:pPr>
            <w:r>
              <w:rPr>
                <w:rFonts w:ascii="Arial" w:cs="Arial" w:eastAsia="Arial" w:hAnsi="Arial"/>
                <w:sz w:val="18"/>
                <w:szCs w:val="18"/>
                <w:color w:val="auto"/>
              </w:rPr>
              <w:t>33.3%</w:t>
            </w:r>
          </w:p>
        </w:tc>
      </w:tr>
      <w:tr>
        <w:trPr>
          <w:trHeight w:val="27"/>
        </w:trPr>
        <w:tc>
          <w:tcPr>
            <w:tcW w:w="3160" w:type="dxa"/>
            <w:vAlign w:val="bottom"/>
          </w:tcPr>
          <w:p>
            <w:pPr>
              <w:spacing w:after="0"/>
              <w:rPr>
                <w:sz w:val="2"/>
                <w:szCs w:val="2"/>
                <w:color w:val="auto"/>
              </w:rPr>
            </w:pPr>
          </w:p>
        </w:tc>
        <w:tc>
          <w:tcPr>
            <w:tcW w:w="128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20" w:type="dxa"/>
            <w:vAlign w:val="bottom"/>
          </w:tcPr>
          <w:p>
            <w:pPr>
              <w:spacing w:after="0"/>
              <w:rPr>
                <w:sz w:val="2"/>
                <w:szCs w:val="2"/>
                <w:color w:val="auto"/>
              </w:rPr>
            </w:pPr>
          </w:p>
        </w:tc>
      </w:tr>
      <w:tr>
        <w:trPr>
          <w:trHeight w:val="250"/>
        </w:trPr>
        <w:tc>
          <w:tcPr>
            <w:tcW w:w="3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Gross profit</w:t>
            </w:r>
          </w:p>
        </w:tc>
        <w:tc>
          <w:tcPr>
            <w:tcW w:w="128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7"/>
              </w:rPr>
              <w:t>174.5</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72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3.3</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960" w:type="dxa"/>
            <w:vAlign w:val="bottom"/>
            <w:tcBorders>
              <w:bottom w:val="single" w:sz="8" w:color="CCEEFF"/>
            </w:tcBorders>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162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177.8</w:t>
            </w:r>
          </w:p>
        </w:tc>
      </w:tr>
      <w:tr>
        <w:trPr>
          <w:trHeight w:val="243"/>
        </w:trPr>
        <w:tc>
          <w:tcPr>
            <w:tcW w:w="3160" w:type="dxa"/>
            <w:vAlign w:val="bottom"/>
          </w:tcPr>
          <w:p>
            <w:pPr>
              <w:ind w:left="40"/>
              <w:spacing w:after="0"/>
              <w:rPr>
                <w:sz w:val="20"/>
                <w:szCs w:val="20"/>
                <w:color w:val="auto"/>
              </w:rPr>
            </w:pPr>
            <w:r>
              <w:rPr>
                <w:rFonts w:ascii="Arial" w:cs="Arial" w:eastAsia="Arial" w:hAnsi="Arial"/>
                <w:sz w:val="18"/>
                <w:szCs w:val="18"/>
                <w:i w:val="1"/>
                <w:iCs w:val="1"/>
                <w:color w:val="auto"/>
              </w:rPr>
              <w:t>Gross margin</w:t>
            </w:r>
          </w:p>
        </w:tc>
        <w:tc>
          <w:tcPr>
            <w:tcW w:w="1280" w:type="dxa"/>
            <w:vAlign w:val="bottom"/>
          </w:tcPr>
          <w:p>
            <w:pPr>
              <w:spacing w:after="0"/>
              <w:rPr>
                <w:sz w:val="21"/>
                <w:szCs w:val="21"/>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65.4 %</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720" w:type="dxa"/>
            <w:vAlign w:val="bottom"/>
          </w:tcPr>
          <w:p>
            <w:pPr>
              <w:jc w:val="right"/>
              <w:spacing w:after="0"/>
              <w:rPr>
                <w:sz w:val="20"/>
                <w:szCs w:val="20"/>
                <w:color w:val="auto"/>
              </w:rPr>
            </w:pPr>
            <w:r>
              <w:rPr>
                <w:rFonts w:ascii="Arial" w:cs="Arial" w:eastAsia="Arial" w:hAnsi="Arial"/>
                <w:sz w:val="18"/>
                <w:szCs w:val="18"/>
                <w:color w:val="auto"/>
              </w:rPr>
              <w:t>1.3 %</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960" w:type="dxa"/>
            <w:vAlign w:val="bottom"/>
            <w:gridSpan w:val="2"/>
          </w:tcPr>
          <w:p>
            <w:pPr>
              <w:ind w:left="1420"/>
              <w:spacing w:after="0"/>
              <w:rPr>
                <w:sz w:val="20"/>
                <w:szCs w:val="20"/>
                <w:color w:val="auto"/>
              </w:rPr>
            </w:pPr>
            <w:r>
              <w:rPr>
                <w:rFonts w:ascii="Arial" w:cs="Arial" w:eastAsia="Arial" w:hAnsi="Arial"/>
                <w:sz w:val="18"/>
                <w:szCs w:val="18"/>
                <w:color w:val="auto"/>
              </w:rPr>
              <w:t>— %</w:t>
            </w:r>
          </w:p>
        </w:tc>
        <w:tc>
          <w:tcPr>
            <w:tcW w:w="300" w:type="dxa"/>
            <w:vAlign w:val="bottom"/>
          </w:tcPr>
          <w:p>
            <w:pPr>
              <w:spacing w:after="0"/>
              <w:rPr>
                <w:sz w:val="21"/>
                <w:szCs w:val="21"/>
                <w:color w:val="auto"/>
              </w:rPr>
            </w:pPr>
          </w:p>
        </w:tc>
        <w:tc>
          <w:tcPr>
            <w:tcW w:w="1620" w:type="dxa"/>
            <w:vAlign w:val="bottom"/>
          </w:tcPr>
          <w:p>
            <w:pPr>
              <w:jc w:val="right"/>
              <w:spacing w:after="0"/>
              <w:rPr>
                <w:sz w:val="20"/>
                <w:szCs w:val="20"/>
                <w:color w:val="auto"/>
              </w:rPr>
            </w:pPr>
            <w:r>
              <w:rPr>
                <w:rFonts w:ascii="Arial" w:cs="Arial" w:eastAsia="Arial" w:hAnsi="Arial"/>
                <w:sz w:val="18"/>
                <w:szCs w:val="18"/>
                <w:color w:val="auto"/>
              </w:rPr>
              <w:t>66.7%</w:t>
            </w:r>
          </w:p>
        </w:tc>
      </w:tr>
      <w:tr>
        <w:trPr>
          <w:trHeight w:val="27"/>
        </w:trPr>
        <w:tc>
          <w:tcPr>
            <w:tcW w:w="3160" w:type="dxa"/>
            <w:vAlign w:val="bottom"/>
          </w:tcPr>
          <w:p>
            <w:pPr>
              <w:spacing w:after="0"/>
              <w:rPr>
                <w:sz w:val="2"/>
                <w:szCs w:val="2"/>
                <w:color w:val="auto"/>
              </w:rPr>
            </w:pPr>
          </w:p>
        </w:tc>
        <w:tc>
          <w:tcPr>
            <w:tcW w:w="128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20" w:type="dxa"/>
            <w:vAlign w:val="bottom"/>
          </w:tcPr>
          <w:p>
            <w:pPr>
              <w:spacing w:after="0"/>
              <w:rPr>
                <w:sz w:val="2"/>
                <w:szCs w:val="2"/>
                <w:color w:val="auto"/>
              </w:rPr>
            </w:pPr>
          </w:p>
        </w:tc>
      </w:tr>
      <w:tr>
        <w:trPr>
          <w:trHeight w:val="250"/>
        </w:trPr>
        <w:tc>
          <w:tcPr>
            <w:tcW w:w="3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Research and development</w:t>
            </w:r>
          </w:p>
        </w:tc>
        <w:tc>
          <w:tcPr>
            <w:tcW w:w="128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89.8</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72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(21.7)</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960" w:type="dxa"/>
            <w:vAlign w:val="bottom"/>
            <w:tcBorders>
              <w:bottom w:val="single" w:sz="8" w:color="CCEEFF"/>
            </w:tcBorders>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162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68.1</w:t>
            </w:r>
          </w:p>
        </w:tc>
      </w:tr>
      <w:tr>
        <w:trPr>
          <w:trHeight w:val="243"/>
        </w:trPr>
        <w:tc>
          <w:tcPr>
            <w:tcW w:w="3160" w:type="dxa"/>
            <w:vAlign w:val="bottom"/>
          </w:tcPr>
          <w:p>
            <w:pPr>
              <w:ind w:left="40"/>
              <w:spacing w:after="0"/>
              <w:rPr>
                <w:sz w:val="20"/>
                <w:szCs w:val="20"/>
                <w:color w:val="auto"/>
              </w:rPr>
            </w:pPr>
            <w:r>
              <w:rPr>
                <w:rFonts w:ascii="Arial" w:cs="Arial" w:eastAsia="Arial" w:hAnsi="Arial"/>
                <w:sz w:val="18"/>
                <w:szCs w:val="18"/>
                <w:i w:val="1"/>
                <w:iCs w:val="1"/>
                <w:color w:val="auto"/>
              </w:rPr>
              <w:t>Research and development margin</w:t>
            </w:r>
          </w:p>
        </w:tc>
        <w:tc>
          <w:tcPr>
            <w:tcW w:w="1280" w:type="dxa"/>
            <w:vAlign w:val="bottom"/>
          </w:tcPr>
          <w:p>
            <w:pPr>
              <w:spacing w:after="0"/>
              <w:rPr>
                <w:sz w:val="21"/>
                <w:szCs w:val="21"/>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33.7 %</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720" w:type="dxa"/>
            <w:vAlign w:val="bottom"/>
          </w:tcPr>
          <w:p>
            <w:pPr>
              <w:jc w:val="right"/>
              <w:spacing w:after="0"/>
              <w:rPr>
                <w:sz w:val="20"/>
                <w:szCs w:val="20"/>
                <w:color w:val="auto"/>
              </w:rPr>
            </w:pPr>
            <w:r>
              <w:rPr>
                <w:rFonts w:ascii="Arial" w:cs="Arial" w:eastAsia="Arial" w:hAnsi="Arial"/>
                <w:sz w:val="18"/>
                <w:szCs w:val="18"/>
                <w:color w:val="auto"/>
              </w:rPr>
              <w:t>(8.2)%</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960" w:type="dxa"/>
            <w:vAlign w:val="bottom"/>
            <w:gridSpan w:val="2"/>
          </w:tcPr>
          <w:p>
            <w:pPr>
              <w:ind w:left="1420"/>
              <w:spacing w:after="0"/>
              <w:rPr>
                <w:sz w:val="20"/>
                <w:szCs w:val="20"/>
                <w:color w:val="auto"/>
              </w:rPr>
            </w:pPr>
            <w:r>
              <w:rPr>
                <w:rFonts w:ascii="Arial" w:cs="Arial" w:eastAsia="Arial" w:hAnsi="Arial"/>
                <w:sz w:val="18"/>
                <w:szCs w:val="18"/>
                <w:color w:val="auto"/>
              </w:rPr>
              <w:t>— %</w:t>
            </w:r>
          </w:p>
        </w:tc>
        <w:tc>
          <w:tcPr>
            <w:tcW w:w="300" w:type="dxa"/>
            <w:vAlign w:val="bottom"/>
          </w:tcPr>
          <w:p>
            <w:pPr>
              <w:spacing w:after="0"/>
              <w:rPr>
                <w:sz w:val="21"/>
                <w:szCs w:val="21"/>
                <w:color w:val="auto"/>
              </w:rPr>
            </w:pPr>
          </w:p>
        </w:tc>
        <w:tc>
          <w:tcPr>
            <w:tcW w:w="1620" w:type="dxa"/>
            <w:vAlign w:val="bottom"/>
          </w:tcPr>
          <w:p>
            <w:pPr>
              <w:jc w:val="right"/>
              <w:spacing w:after="0"/>
              <w:rPr>
                <w:sz w:val="20"/>
                <w:szCs w:val="20"/>
                <w:color w:val="auto"/>
              </w:rPr>
            </w:pPr>
            <w:r>
              <w:rPr>
                <w:rFonts w:ascii="Arial" w:cs="Arial" w:eastAsia="Arial" w:hAnsi="Arial"/>
                <w:sz w:val="18"/>
                <w:szCs w:val="18"/>
                <w:color w:val="auto"/>
              </w:rPr>
              <w:t>25.5%</w:t>
            </w:r>
          </w:p>
        </w:tc>
      </w:tr>
      <w:tr>
        <w:trPr>
          <w:trHeight w:val="27"/>
        </w:trPr>
        <w:tc>
          <w:tcPr>
            <w:tcW w:w="3160" w:type="dxa"/>
            <w:vAlign w:val="bottom"/>
          </w:tcPr>
          <w:p>
            <w:pPr>
              <w:spacing w:after="0"/>
              <w:rPr>
                <w:sz w:val="2"/>
                <w:szCs w:val="2"/>
                <w:color w:val="auto"/>
              </w:rPr>
            </w:pPr>
          </w:p>
        </w:tc>
        <w:tc>
          <w:tcPr>
            <w:tcW w:w="128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20" w:type="dxa"/>
            <w:vAlign w:val="bottom"/>
          </w:tcPr>
          <w:p>
            <w:pPr>
              <w:spacing w:after="0"/>
              <w:rPr>
                <w:sz w:val="2"/>
                <w:szCs w:val="2"/>
                <w:color w:val="auto"/>
              </w:rPr>
            </w:pPr>
          </w:p>
        </w:tc>
      </w:tr>
      <w:tr>
        <w:trPr>
          <w:trHeight w:val="250"/>
        </w:trPr>
        <w:tc>
          <w:tcPr>
            <w:tcW w:w="3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Sales and marketing</w:t>
            </w:r>
          </w:p>
        </w:tc>
        <w:tc>
          <w:tcPr>
            <w:tcW w:w="128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69.2</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72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(7.7)</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960" w:type="dxa"/>
            <w:vAlign w:val="bottom"/>
            <w:tcBorders>
              <w:bottom w:val="single" w:sz="8" w:color="CCEEFF"/>
            </w:tcBorders>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162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61.5</w:t>
            </w:r>
          </w:p>
        </w:tc>
      </w:tr>
      <w:tr>
        <w:trPr>
          <w:trHeight w:val="243"/>
        </w:trPr>
        <w:tc>
          <w:tcPr>
            <w:tcW w:w="3160" w:type="dxa"/>
            <w:vAlign w:val="bottom"/>
          </w:tcPr>
          <w:p>
            <w:pPr>
              <w:ind w:left="40"/>
              <w:spacing w:after="0"/>
              <w:rPr>
                <w:sz w:val="20"/>
                <w:szCs w:val="20"/>
                <w:color w:val="auto"/>
              </w:rPr>
            </w:pPr>
            <w:r>
              <w:rPr>
                <w:rFonts w:ascii="Arial" w:cs="Arial" w:eastAsia="Arial" w:hAnsi="Arial"/>
                <w:sz w:val="18"/>
                <w:szCs w:val="18"/>
                <w:i w:val="1"/>
                <w:iCs w:val="1"/>
                <w:color w:val="auto"/>
              </w:rPr>
              <w:t>Sales and marketing margin</w:t>
            </w:r>
          </w:p>
        </w:tc>
        <w:tc>
          <w:tcPr>
            <w:tcW w:w="1280" w:type="dxa"/>
            <w:vAlign w:val="bottom"/>
          </w:tcPr>
          <w:p>
            <w:pPr>
              <w:spacing w:after="0"/>
              <w:rPr>
                <w:sz w:val="21"/>
                <w:szCs w:val="21"/>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25.9 %</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720" w:type="dxa"/>
            <w:vAlign w:val="bottom"/>
          </w:tcPr>
          <w:p>
            <w:pPr>
              <w:jc w:val="right"/>
              <w:spacing w:after="0"/>
              <w:rPr>
                <w:sz w:val="20"/>
                <w:szCs w:val="20"/>
                <w:color w:val="auto"/>
              </w:rPr>
            </w:pPr>
            <w:r>
              <w:rPr>
                <w:rFonts w:ascii="Arial" w:cs="Arial" w:eastAsia="Arial" w:hAnsi="Arial"/>
                <w:sz w:val="18"/>
                <w:szCs w:val="18"/>
                <w:color w:val="auto"/>
              </w:rPr>
              <w:t>(2.8)%</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960" w:type="dxa"/>
            <w:vAlign w:val="bottom"/>
            <w:gridSpan w:val="2"/>
          </w:tcPr>
          <w:p>
            <w:pPr>
              <w:ind w:left="1420"/>
              <w:spacing w:after="0"/>
              <w:rPr>
                <w:sz w:val="20"/>
                <w:szCs w:val="20"/>
                <w:color w:val="auto"/>
              </w:rPr>
            </w:pPr>
            <w:r>
              <w:rPr>
                <w:rFonts w:ascii="Arial" w:cs="Arial" w:eastAsia="Arial" w:hAnsi="Arial"/>
                <w:sz w:val="18"/>
                <w:szCs w:val="18"/>
                <w:color w:val="auto"/>
              </w:rPr>
              <w:t>— %</w:t>
            </w:r>
          </w:p>
        </w:tc>
        <w:tc>
          <w:tcPr>
            <w:tcW w:w="300" w:type="dxa"/>
            <w:vAlign w:val="bottom"/>
          </w:tcPr>
          <w:p>
            <w:pPr>
              <w:spacing w:after="0"/>
              <w:rPr>
                <w:sz w:val="21"/>
                <w:szCs w:val="21"/>
                <w:color w:val="auto"/>
              </w:rPr>
            </w:pPr>
          </w:p>
        </w:tc>
        <w:tc>
          <w:tcPr>
            <w:tcW w:w="1620" w:type="dxa"/>
            <w:vAlign w:val="bottom"/>
          </w:tcPr>
          <w:p>
            <w:pPr>
              <w:jc w:val="right"/>
              <w:spacing w:after="0"/>
              <w:rPr>
                <w:sz w:val="20"/>
                <w:szCs w:val="20"/>
                <w:color w:val="auto"/>
              </w:rPr>
            </w:pPr>
            <w:r>
              <w:rPr>
                <w:rFonts w:ascii="Arial" w:cs="Arial" w:eastAsia="Arial" w:hAnsi="Arial"/>
                <w:sz w:val="18"/>
                <w:szCs w:val="18"/>
                <w:color w:val="auto"/>
              </w:rPr>
              <w:t>23.1%</w:t>
            </w:r>
          </w:p>
        </w:tc>
      </w:tr>
      <w:tr>
        <w:trPr>
          <w:trHeight w:val="27"/>
        </w:trPr>
        <w:tc>
          <w:tcPr>
            <w:tcW w:w="3160" w:type="dxa"/>
            <w:vAlign w:val="bottom"/>
          </w:tcPr>
          <w:p>
            <w:pPr>
              <w:spacing w:after="0"/>
              <w:rPr>
                <w:sz w:val="2"/>
                <w:szCs w:val="2"/>
                <w:color w:val="auto"/>
              </w:rPr>
            </w:pPr>
          </w:p>
        </w:tc>
        <w:tc>
          <w:tcPr>
            <w:tcW w:w="128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20" w:type="dxa"/>
            <w:vAlign w:val="bottom"/>
          </w:tcPr>
          <w:p>
            <w:pPr>
              <w:spacing w:after="0"/>
              <w:rPr>
                <w:sz w:val="2"/>
                <w:szCs w:val="2"/>
                <w:color w:val="auto"/>
              </w:rPr>
            </w:pPr>
          </w:p>
        </w:tc>
      </w:tr>
      <w:tr>
        <w:trPr>
          <w:trHeight w:val="250"/>
        </w:trPr>
        <w:tc>
          <w:tcPr>
            <w:tcW w:w="3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General and administrative</w:t>
            </w:r>
          </w:p>
        </w:tc>
        <w:tc>
          <w:tcPr>
            <w:tcW w:w="128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42.2</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72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(6.0)</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84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(9.4)</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62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26.8</w:t>
            </w:r>
          </w:p>
        </w:tc>
      </w:tr>
      <w:tr>
        <w:trPr>
          <w:trHeight w:val="243"/>
        </w:trPr>
        <w:tc>
          <w:tcPr>
            <w:tcW w:w="3160" w:type="dxa"/>
            <w:vAlign w:val="bottom"/>
          </w:tcPr>
          <w:p>
            <w:pPr>
              <w:ind w:left="40"/>
              <w:spacing w:after="0"/>
              <w:rPr>
                <w:sz w:val="20"/>
                <w:szCs w:val="20"/>
                <w:color w:val="auto"/>
              </w:rPr>
            </w:pPr>
            <w:r>
              <w:rPr>
                <w:rFonts w:ascii="Arial" w:cs="Arial" w:eastAsia="Arial" w:hAnsi="Arial"/>
                <w:sz w:val="18"/>
                <w:szCs w:val="18"/>
                <w:i w:val="1"/>
                <w:iCs w:val="1"/>
                <w:color w:val="auto"/>
              </w:rPr>
              <w:t>General and administrative margin</w:t>
            </w:r>
          </w:p>
        </w:tc>
        <w:tc>
          <w:tcPr>
            <w:tcW w:w="1280" w:type="dxa"/>
            <w:vAlign w:val="bottom"/>
          </w:tcPr>
          <w:p>
            <w:pPr>
              <w:spacing w:after="0"/>
              <w:rPr>
                <w:sz w:val="21"/>
                <w:szCs w:val="21"/>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15.8 %</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720" w:type="dxa"/>
            <w:vAlign w:val="bottom"/>
          </w:tcPr>
          <w:p>
            <w:pPr>
              <w:jc w:val="right"/>
              <w:spacing w:after="0"/>
              <w:rPr>
                <w:sz w:val="20"/>
                <w:szCs w:val="20"/>
                <w:color w:val="auto"/>
              </w:rPr>
            </w:pPr>
            <w:r>
              <w:rPr>
                <w:rFonts w:ascii="Arial" w:cs="Arial" w:eastAsia="Arial" w:hAnsi="Arial"/>
                <w:sz w:val="18"/>
                <w:szCs w:val="18"/>
                <w:color w:val="auto"/>
              </w:rPr>
              <w:t>(2.2)%</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840" w:type="dxa"/>
            <w:vAlign w:val="bottom"/>
          </w:tcPr>
          <w:p>
            <w:pPr>
              <w:jc w:val="right"/>
              <w:spacing w:after="0"/>
              <w:rPr>
                <w:sz w:val="20"/>
                <w:szCs w:val="20"/>
                <w:color w:val="auto"/>
              </w:rPr>
            </w:pPr>
            <w:r>
              <w:rPr>
                <w:rFonts w:ascii="Arial" w:cs="Arial" w:eastAsia="Arial" w:hAnsi="Arial"/>
                <w:sz w:val="18"/>
                <w:szCs w:val="18"/>
                <w:color w:val="auto"/>
              </w:rPr>
              <w:t>(3.5)%</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620" w:type="dxa"/>
            <w:vAlign w:val="bottom"/>
          </w:tcPr>
          <w:p>
            <w:pPr>
              <w:jc w:val="right"/>
              <w:spacing w:after="0"/>
              <w:rPr>
                <w:sz w:val="20"/>
                <w:szCs w:val="20"/>
                <w:color w:val="auto"/>
              </w:rPr>
            </w:pPr>
            <w:r>
              <w:rPr>
                <w:rFonts w:ascii="Arial" w:cs="Arial" w:eastAsia="Arial" w:hAnsi="Arial"/>
                <w:sz w:val="18"/>
                <w:szCs w:val="18"/>
                <w:color w:val="auto"/>
              </w:rPr>
              <w:t>10.0%</w:t>
            </w:r>
          </w:p>
        </w:tc>
      </w:tr>
      <w:tr>
        <w:trPr>
          <w:trHeight w:val="27"/>
        </w:trPr>
        <w:tc>
          <w:tcPr>
            <w:tcW w:w="3160" w:type="dxa"/>
            <w:vAlign w:val="bottom"/>
          </w:tcPr>
          <w:p>
            <w:pPr>
              <w:spacing w:after="0"/>
              <w:rPr>
                <w:sz w:val="2"/>
                <w:szCs w:val="2"/>
                <w:color w:val="auto"/>
              </w:rPr>
            </w:pPr>
          </w:p>
        </w:tc>
        <w:tc>
          <w:tcPr>
            <w:tcW w:w="128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20" w:type="dxa"/>
            <w:vAlign w:val="bottom"/>
          </w:tcPr>
          <w:p>
            <w:pPr>
              <w:spacing w:after="0"/>
              <w:rPr>
                <w:sz w:val="2"/>
                <w:szCs w:val="2"/>
                <w:color w:val="auto"/>
              </w:rPr>
            </w:pPr>
          </w:p>
        </w:tc>
      </w:tr>
      <w:tr>
        <w:trPr>
          <w:trHeight w:val="250"/>
        </w:trPr>
        <w:tc>
          <w:tcPr>
            <w:tcW w:w="3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(loss) from operations</w:t>
            </w:r>
          </w:p>
        </w:tc>
        <w:tc>
          <w:tcPr>
            <w:tcW w:w="1280" w:type="dxa"/>
            <w:vAlign w:val="bottom"/>
            <w:tcBorders>
              <w:bottom w:val="single" w:sz="8" w:color="CCEEFF"/>
            </w:tcBorders>
            <w:shd w:val="clear" w:color="auto" w:fill="CCEEFF"/>
          </w:tcPr>
          <w:p>
            <w:pPr>
              <w:jc w:val="right"/>
              <w:ind w:right="1090"/>
              <w:spacing w:after="0"/>
              <w:rPr>
                <w:sz w:val="20"/>
                <w:szCs w:val="20"/>
                <w:color w:val="auto"/>
              </w:rPr>
            </w:pPr>
            <w:r>
              <w:rPr>
                <w:rFonts w:ascii="Arial" w:cs="Arial" w:eastAsia="Arial" w:hAnsi="Arial"/>
                <w:sz w:val="18"/>
                <w:szCs w:val="18"/>
                <w:color w:val="auto"/>
                <w:w w:val="79"/>
              </w:rPr>
              <w:t>$</w:t>
            </w:r>
          </w:p>
        </w:tc>
        <w:tc>
          <w:tcPr>
            <w:tcW w:w="7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(26.7)</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72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38.7</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84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9.4</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62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21.4</w:t>
            </w:r>
          </w:p>
        </w:tc>
      </w:tr>
      <w:tr>
        <w:trPr>
          <w:trHeight w:val="243"/>
        </w:trPr>
        <w:tc>
          <w:tcPr>
            <w:tcW w:w="3160" w:type="dxa"/>
            <w:vAlign w:val="bottom"/>
          </w:tcPr>
          <w:p>
            <w:pPr>
              <w:ind w:left="40"/>
              <w:spacing w:after="0"/>
              <w:rPr>
                <w:sz w:val="20"/>
                <w:szCs w:val="20"/>
                <w:color w:val="auto"/>
              </w:rPr>
            </w:pPr>
            <w:r>
              <w:rPr>
                <w:rFonts w:ascii="Arial" w:cs="Arial" w:eastAsia="Arial" w:hAnsi="Arial"/>
                <w:sz w:val="18"/>
                <w:szCs w:val="18"/>
                <w:i w:val="1"/>
                <w:iCs w:val="1"/>
                <w:color w:val="auto"/>
              </w:rPr>
              <w:t>Operating margin</w:t>
            </w:r>
          </w:p>
        </w:tc>
        <w:tc>
          <w:tcPr>
            <w:tcW w:w="1280" w:type="dxa"/>
            <w:vAlign w:val="bottom"/>
          </w:tcPr>
          <w:p>
            <w:pPr>
              <w:spacing w:after="0"/>
              <w:rPr>
                <w:sz w:val="21"/>
                <w:szCs w:val="21"/>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(10.0)%</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720" w:type="dxa"/>
            <w:vAlign w:val="bottom"/>
          </w:tcPr>
          <w:p>
            <w:pPr>
              <w:jc w:val="right"/>
              <w:spacing w:after="0"/>
              <w:rPr>
                <w:sz w:val="20"/>
                <w:szCs w:val="20"/>
                <w:color w:val="auto"/>
              </w:rPr>
            </w:pPr>
            <w:r>
              <w:rPr>
                <w:rFonts w:ascii="Arial" w:cs="Arial" w:eastAsia="Arial" w:hAnsi="Arial"/>
                <w:sz w:val="18"/>
                <w:szCs w:val="18"/>
                <w:color w:val="auto"/>
              </w:rPr>
              <w:t>14.5 %</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840" w:type="dxa"/>
            <w:vAlign w:val="bottom"/>
          </w:tcPr>
          <w:p>
            <w:pPr>
              <w:jc w:val="right"/>
              <w:spacing w:after="0"/>
              <w:rPr>
                <w:sz w:val="20"/>
                <w:szCs w:val="20"/>
                <w:color w:val="auto"/>
              </w:rPr>
            </w:pPr>
            <w:r>
              <w:rPr>
                <w:rFonts w:ascii="Arial" w:cs="Arial" w:eastAsia="Arial" w:hAnsi="Arial"/>
                <w:sz w:val="18"/>
                <w:szCs w:val="18"/>
                <w:color w:val="auto"/>
              </w:rPr>
              <w:t>3.5 %</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620" w:type="dxa"/>
            <w:vAlign w:val="bottom"/>
          </w:tcPr>
          <w:p>
            <w:pPr>
              <w:jc w:val="right"/>
              <w:spacing w:after="0"/>
              <w:rPr>
                <w:sz w:val="20"/>
                <w:szCs w:val="20"/>
                <w:color w:val="auto"/>
              </w:rPr>
            </w:pPr>
            <w:r>
              <w:rPr>
                <w:rFonts w:ascii="Arial" w:cs="Arial" w:eastAsia="Arial" w:hAnsi="Arial"/>
                <w:sz w:val="18"/>
                <w:szCs w:val="18"/>
                <w:color w:val="auto"/>
              </w:rPr>
              <w:t>8.0%</w:t>
            </w:r>
          </w:p>
        </w:tc>
      </w:tr>
    </w:tbl>
    <w:p>
      <w:pPr>
        <w:sectPr>
          <w:pgSz w:w="11900" w:h="16838" w:orient="portrait"/>
          <w:cols w:equalWidth="0" w:num="1">
            <w:col w:w="11420"/>
          </w:cols>
          <w:pgMar w:left="240" w:top="575" w:right="239" w:bottom="1440" w:gutter="0" w:footer="0" w:header="0"/>
        </w:sectPr>
      </w:pPr>
    </w:p>
    <w:bookmarkStart w:id="11" w:name="page12"/>
    <w:bookmarkEnd w:id="11"/>
    <w:p>
      <w:pPr>
        <w:jc w:val="center"/>
        <w:spacing w:after="0"/>
        <w:rPr>
          <w:sz w:val="20"/>
          <w:szCs w:val="20"/>
          <w:color w:val="auto"/>
        </w:rPr>
      </w:pPr>
      <w:r>
        <w:rPr>
          <w:rFonts w:ascii="Arial" w:cs="Arial" w:eastAsia="Arial" w:hAnsi="Arial"/>
          <w:sz w:val="20"/>
          <w:szCs w:val="20"/>
          <w:b w:val="1"/>
          <w:bCs w:val="1"/>
          <w:color w:val="auto"/>
        </w:rPr>
        <w:t>Dropbox, Inc.</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Six months ended June 30, 2018</w:t>
      </w:r>
    </w:p>
    <w:p>
      <w:pPr>
        <w:jc w:val="center"/>
        <w:spacing w:after="0"/>
        <w:rPr>
          <w:sz w:val="20"/>
          <w:szCs w:val="20"/>
          <w:color w:val="auto"/>
        </w:rPr>
      </w:pPr>
      <w:r>
        <w:rPr>
          <w:rFonts w:ascii="Arial" w:cs="Arial" w:eastAsia="Arial" w:hAnsi="Arial"/>
          <w:sz w:val="20"/>
          <w:szCs w:val="20"/>
          <w:b w:val="1"/>
          <w:bCs w:val="1"/>
          <w:color w:val="auto"/>
        </w:rPr>
        <w:t>Reconciliation of GAAP to Non-GAAP results</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(In millions, except for percentages, which may not foot due to rounding)</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(Unaudited)</w:t>
      </w:r>
    </w:p>
    <w:p>
      <w:pPr>
        <w:spacing w:after="0" w:line="368"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7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4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3"/>
              </w:rPr>
              <w:t>Employer payroll</w:t>
            </w:r>
          </w:p>
        </w:tc>
        <w:tc>
          <w:tcPr>
            <w:tcW w:w="160" w:type="dxa"/>
            <w:vAlign w:val="bottom"/>
          </w:tcPr>
          <w:p>
            <w:pPr>
              <w:spacing w:after="0"/>
              <w:rPr>
                <w:sz w:val="18"/>
                <w:szCs w:val="18"/>
                <w:color w:val="auto"/>
              </w:rPr>
            </w:pPr>
          </w:p>
        </w:tc>
        <w:tc>
          <w:tcPr>
            <w:tcW w:w="158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89"/>
              </w:rPr>
              <w:t>Donation of</w:t>
            </w:r>
          </w:p>
        </w:tc>
        <w:tc>
          <w:tcPr>
            <w:tcW w:w="240" w:type="dxa"/>
            <w:vAlign w:val="bottom"/>
          </w:tcPr>
          <w:p>
            <w:pPr>
              <w:spacing w:after="0"/>
              <w:rPr>
                <w:sz w:val="18"/>
                <w:szCs w:val="18"/>
                <w:color w:val="auto"/>
              </w:rPr>
            </w:pPr>
          </w:p>
        </w:tc>
        <w:tc>
          <w:tcPr>
            <w:tcW w:w="1360" w:type="dxa"/>
            <w:vAlign w:val="bottom"/>
          </w:tcPr>
          <w:p>
            <w:pPr>
              <w:spacing w:after="0"/>
              <w:rPr>
                <w:sz w:val="18"/>
                <w:szCs w:val="18"/>
                <w:color w:val="auto"/>
              </w:rPr>
            </w:pPr>
          </w:p>
        </w:tc>
      </w:tr>
      <w:tr>
        <w:trPr>
          <w:trHeight w:val="216"/>
        </w:trPr>
        <w:tc>
          <w:tcPr>
            <w:tcW w:w="27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780" w:type="dxa"/>
            <w:vAlign w:val="bottom"/>
            <w:gridSpan w:val="3"/>
          </w:tcPr>
          <w:p>
            <w:pPr>
              <w:jc w:val="center"/>
              <w:ind w:right="100"/>
              <w:spacing w:after="0"/>
              <w:rPr>
                <w:sz w:val="20"/>
                <w:szCs w:val="20"/>
                <w:color w:val="auto"/>
              </w:rPr>
            </w:pPr>
            <w:r>
              <w:rPr>
                <w:rFonts w:ascii="Arial" w:cs="Arial" w:eastAsia="Arial" w:hAnsi="Arial"/>
                <w:sz w:val="18"/>
                <w:szCs w:val="18"/>
                <w:b w:val="1"/>
                <w:bCs w:val="1"/>
                <w:color w:val="auto"/>
                <w:w w:val="87"/>
              </w:rPr>
              <w:t>taxes related to the</w:t>
            </w:r>
          </w:p>
        </w:tc>
        <w:tc>
          <w:tcPr>
            <w:tcW w:w="160" w:type="dxa"/>
            <w:vAlign w:val="bottom"/>
          </w:tcPr>
          <w:p>
            <w:pPr>
              <w:spacing w:after="0"/>
              <w:rPr>
                <w:sz w:val="18"/>
                <w:szCs w:val="18"/>
                <w:color w:val="auto"/>
              </w:rPr>
            </w:pPr>
          </w:p>
        </w:tc>
        <w:tc>
          <w:tcPr>
            <w:tcW w:w="158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87"/>
              </w:rPr>
              <w:t>common stock to</w:t>
            </w:r>
          </w:p>
        </w:tc>
        <w:tc>
          <w:tcPr>
            <w:tcW w:w="240" w:type="dxa"/>
            <w:vAlign w:val="bottom"/>
          </w:tcPr>
          <w:p>
            <w:pPr>
              <w:spacing w:after="0"/>
              <w:rPr>
                <w:sz w:val="18"/>
                <w:szCs w:val="18"/>
                <w:color w:val="auto"/>
              </w:rPr>
            </w:pPr>
          </w:p>
        </w:tc>
        <w:tc>
          <w:tcPr>
            <w:tcW w:w="1360" w:type="dxa"/>
            <w:vAlign w:val="bottom"/>
          </w:tcPr>
          <w:p>
            <w:pPr>
              <w:spacing w:after="0"/>
              <w:rPr>
                <w:sz w:val="18"/>
                <w:szCs w:val="18"/>
                <w:color w:val="auto"/>
              </w:rPr>
            </w:pPr>
          </w:p>
        </w:tc>
      </w:tr>
      <w:tr>
        <w:trPr>
          <w:trHeight w:val="216"/>
        </w:trPr>
        <w:tc>
          <w:tcPr>
            <w:tcW w:w="27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58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85"/>
              </w:rPr>
              <w:t>Stock-based</w:t>
            </w:r>
          </w:p>
        </w:tc>
        <w:tc>
          <w:tcPr>
            <w:tcW w:w="140" w:type="dxa"/>
            <w:vAlign w:val="bottom"/>
          </w:tcPr>
          <w:p>
            <w:pPr>
              <w:spacing w:after="0"/>
              <w:rPr>
                <w:sz w:val="18"/>
                <w:szCs w:val="18"/>
                <w:color w:val="auto"/>
              </w:rPr>
            </w:pPr>
          </w:p>
        </w:tc>
        <w:tc>
          <w:tcPr>
            <w:tcW w:w="164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9"/>
              </w:rPr>
              <w:t>release of two-tier</w:t>
            </w:r>
          </w:p>
        </w:tc>
        <w:tc>
          <w:tcPr>
            <w:tcW w:w="160" w:type="dxa"/>
            <w:vAlign w:val="bottom"/>
          </w:tcPr>
          <w:p>
            <w:pPr>
              <w:spacing w:after="0"/>
              <w:rPr>
                <w:sz w:val="18"/>
                <w:szCs w:val="18"/>
                <w:color w:val="auto"/>
              </w:rPr>
            </w:pPr>
          </w:p>
        </w:tc>
        <w:tc>
          <w:tcPr>
            <w:tcW w:w="158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0"/>
              </w:rPr>
              <w:t>the Dropbox</w:t>
            </w:r>
          </w:p>
        </w:tc>
        <w:tc>
          <w:tcPr>
            <w:tcW w:w="240" w:type="dxa"/>
            <w:vAlign w:val="bottom"/>
          </w:tcPr>
          <w:p>
            <w:pPr>
              <w:spacing w:after="0"/>
              <w:rPr>
                <w:sz w:val="18"/>
                <w:szCs w:val="18"/>
                <w:color w:val="auto"/>
              </w:rPr>
            </w:pPr>
          </w:p>
        </w:tc>
        <w:tc>
          <w:tcPr>
            <w:tcW w:w="1360" w:type="dxa"/>
            <w:vAlign w:val="bottom"/>
          </w:tcPr>
          <w:p>
            <w:pPr>
              <w:spacing w:after="0"/>
              <w:rPr>
                <w:sz w:val="18"/>
                <w:szCs w:val="18"/>
                <w:color w:val="auto"/>
              </w:rPr>
            </w:pPr>
          </w:p>
        </w:tc>
      </w:tr>
      <w:tr>
        <w:trPr>
          <w:trHeight w:val="234"/>
        </w:trPr>
        <w:tc>
          <w:tcPr>
            <w:tcW w:w="27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420" w:type="dxa"/>
            <w:vAlign w:val="bottom"/>
            <w:gridSpan w:val="2"/>
          </w:tcPr>
          <w:p>
            <w:pPr>
              <w:ind w:left="220"/>
              <w:spacing w:after="0"/>
              <w:rPr>
                <w:sz w:val="20"/>
                <w:szCs w:val="20"/>
                <w:color w:val="auto"/>
              </w:rPr>
            </w:pPr>
            <w:r>
              <w:rPr>
                <w:rFonts w:ascii="Arial" w:cs="Arial" w:eastAsia="Arial" w:hAnsi="Arial"/>
                <w:sz w:val="18"/>
                <w:szCs w:val="18"/>
                <w:b w:val="1"/>
                <w:bCs w:val="1"/>
                <w:color w:val="auto"/>
              </w:rPr>
              <w:t>GAAP</w:t>
            </w:r>
          </w:p>
        </w:tc>
        <w:tc>
          <w:tcPr>
            <w:tcW w:w="200" w:type="dxa"/>
            <w:vAlign w:val="bottom"/>
          </w:tcPr>
          <w:p>
            <w:pPr>
              <w:spacing w:after="0"/>
              <w:rPr>
                <w:sz w:val="20"/>
                <w:szCs w:val="20"/>
                <w:color w:val="auto"/>
              </w:rPr>
            </w:pPr>
          </w:p>
        </w:tc>
        <w:tc>
          <w:tcPr>
            <w:tcW w:w="158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86"/>
              </w:rPr>
              <w:t>compensation</w:t>
            </w:r>
          </w:p>
        </w:tc>
        <w:tc>
          <w:tcPr>
            <w:tcW w:w="140" w:type="dxa"/>
            <w:vAlign w:val="bottom"/>
          </w:tcPr>
          <w:p>
            <w:pPr>
              <w:spacing w:after="0"/>
              <w:rPr>
                <w:sz w:val="20"/>
                <w:szCs w:val="20"/>
                <w:color w:val="auto"/>
              </w:rPr>
            </w:pPr>
          </w:p>
        </w:tc>
        <w:tc>
          <w:tcPr>
            <w:tcW w:w="164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1"/>
              </w:rPr>
              <w:t>RSUs</w:t>
            </w:r>
          </w:p>
        </w:tc>
        <w:tc>
          <w:tcPr>
            <w:tcW w:w="160" w:type="dxa"/>
            <w:vAlign w:val="bottom"/>
          </w:tcPr>
          <w:p>
            <w:pPr>
              <w:spacing w:after="0"/>
              <w:rPr>
                <w:sz w:val="20"/>
                <w:szCs w:val="20"/>
                <w:color w:val="auto"/>
              </w:rPr>
            </w:pPr>
          </w:p>
        </w:tc>
        <w:tc>
          <w:tcPr>
            <w:tcW w:w="158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9"/>
              </w:rPr>
              <w:t>Foundation</w:t>
            </w:r>
          </w:p>
        </w:tc>
        <w:tc>
          <w:tcPr>
            <w:tcW w:w="240" w:type="dxa"/>
            <w:vAlign w:val="bottom"/>
          </w:tcPr>
          <w:p>
            <w:pPr>
              <w:spacing w:after="0"/>
              <w:rPr>
                <w:sz w:val="20"/>
                <w:szCs w:val="20"/>
                <w:color w:val="auto"/>
              </w:rPr>
            </w:pPr>
          </w:p>
        </w:tc>
        <w:tc>
          <w:tcPr>
            <w:tcW w:w="1360" w:type="dxa"/>
            <w:vAlign w:val="bottom"/>
          </w:tcPr>
          <w:p>
            <w:pPr>
              <w:jc w:val="right"/>
              <w:ind w:right="270"/>
              <w:spacing w:after="0"/>
              <w:rPr>
                <w:sz w:val="20"/>
                <w:szCs w:val="20"/>
                <w:color w:val="auto"/>
              </w:rPr>
            </w:pPr>
            <w:r>
              <w:rPr>
                <w:rFonts w:ascii="Arial" w:cs="Arial" w:eastAsia="Arial" w:hAnsi="Arial"/>
                <w:sz w:val="18"/>
                <w:szCs w:val="18"/>
                <w:b w:val="1"/>
                <w:bCs w:val="1"/>
                <w:color w:val="auto"/>
              </w:rPr>
              <w:t>Non-GAAP</w:t>
            </w:r>
          </w:p>
        </w:tc>
      </w:tr>
      <w:tr>
        <w:trPr>
          <w:trHeight w:val="27"/>
        </w:trPr>
        <w:tc>
          <w:tcPr>
            <w:tcW w:w="276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43"/>
        </w:trPr>
        <w:tc>
          <w:tcPr>
            <w:tcW w:w="27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shd w:val="clear" w:color="auto" w:fill="CCEEFF"/>
              </w:rPr>
              <w:t>Cost of revenue</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210.1</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(40.7)</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(1.1)</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80" w:type="dxa"/>
            <w:vAlign w:val="bottom"/>
            <w:tcBorders>
              <w:bottom w:val="single" w:sz="8" w:color="CCEEFF"/>
            </w:tcBorders>
            <w:gridSpan w:val="2"/>
            <w:shd w:val="clear" w:color="auto" w:fill="CCEEFF"/>
          </w:tcPr>
          <w:p>
            <w:pPr>
              <w:ind w:left="11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36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168.3</w:t>
            </w:r>
          </w:p>
        </w:tc>
      </w:tr>
      <w:tr>
        <w:trPr>
          <w:trHeight w:val="243"/>
        </w:trPr>
        <w:tc>
          <w:tcPr>
            <w:tcW w:w="2760" w:type="dxa"/>
            <w:vAlign w:val="bottom"/>
          </w:tcPr>
          <w:p>
            <w:pPr>
              <w:ind w:left="40"/>
              <w:spacing w:after="0"/>
              <w:rPr>
                <w:sz w:val="20"/>
                <w:szCs w:val="20"/>
                <w:color w:val="auto"/>
              </w:rPr>
            </w:pPr>
            <w:r>
              <w:rPr>
                <w:rFonts w:ascii="Arial" w:cs="Arial" w:eastAsia="Arial" w:hAnsi="Arial"/>
                <w:sz w:val="18"/>
                <w:szCs w:val="18"/>
                <w:i w:val="1"/>
                <w:iCs w:val="1"/>
                <w:color w:val="auto"/>
              </w:rPr>
              <w:t>Cost of revenue margin</w:t>
            </w:r>
          </w:p>
        </w:tc>
        <w:tc>
          <w:tcPr>
            <w:tcW w:w="34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32.1 %</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(6.2)%</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(0.2)%</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580" w:type="dxa"/>
            <w:vAlign w:val="bottom"/>
            <w:gridSpan w:val="2"/>
          </w:tcPr>
          <w:p>
            <w:pPr>
              <w:ind w:left="11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25.7%</w:t>
            </w:r>
          </w:p>
        </w:tc>
      </w:tr>
      <w:tr>
        <w:trPr>
          <w:trHeight w:val="27"/>
        </w:trPr>
        <w:tc>
          <w:tcPr>
            <w:tcW w:w="27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27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Gross profit</w:t>
            </w:r>
          </w:p>
        </w:tc>
        <w:tc>
          <w:tcPr>
            <w:tcW w:w="34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445.4</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40.7</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1.1</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gridSpan w:val="2"/>
            <w:shd w:val="clear" w:color="auto" w:fill="CCEEFF"/>
          </w:tcPr>
          <w:p>
            <w:pPr>
              <w:ind w:left="11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487.2</w:t>
            </w:r>
          </w:p>
        </w:tc>
      </w:tr>
      <w:tr>
        <w:trPr>
          <w:trHeight w:val="243"/>
        </w:trPr>
        <w:tc>
          <w:tcPr>
            <w:tcW w:w="2760" w:type="dxa"/>
            <w:vAlign w:val="bottom"/>
          </w:tcPr>
          <w:p>
            <w:pPr>
              <w:ind w:left="40"/>
              <w:spacing w:after="0"/>
              <w:rPr>
                <w:sz w:val="20"/>
                <w:szCs w:val="20"/>
                <w:color w:val="auto"/>
              </w:rPr>
            </w:pPr>
            <w:r>
              <w:rPr>
                <w:rFonts w:ascii="Arial" w:cs="Arial" w:eastAsia="Arial" w:hAnsi="Arial"/>
                <w:sz w:val="18"/>
                <w:szCs w:val="18"/>
                <w:i w:val="1"/>
                <w:iCs w:val="1"/>
                <w:color w:val="auto"/>
              </w:rPr>
              <w:t>Gross margin</w:t>
            </w:r>
          </w:p>
        </w:tc>
        <w:tc>
          <w:tcPr>
            <w:tcW w:w="34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67.9 %</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6.2 %</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0.2 %</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580" w:type="dxa"/>
            <w:vAlign w:val="bottom"/>
            <w:gridSpan w:val="2"/>
          </w:tcPr>
          <w:p>
            <w:pPr>
              <w:ind w:left="11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74.3%</w:t>
            </w:r>
          </w:p>
        </w:tc>
      </w:tr>
      <w:tr>
        <w:trPr>
          <w:trHeight w:val="27"/>
        </w:trPr>
        <w:tc>
          <w:tcPr>
            <w:tcW w:w="27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27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Research and development</w:t>
            </w:r>
          </w:p>
        </w:tc>
        <w:tc>
          <w:tcPr>
            <w:tcW w:w="34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498.2</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(310.8)</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(8.3)</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gridSpan w:val="2"/>
            <w:shd w:val="clear" w:color="auto" w:fill="CCEEFF"/>
          </w:tcPr>
          <w:p>
            <w:pPr>
              <w:ind w:left="11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179.1</w:t>
            </w:r>
          </w:p>
        </w:tc>
      </w:tr>
      <w:tr>
        <w:trPr>
          <w:trHeight w:val="243"/>
        </w:trPr>
        <w:tc>
          <w:tcPr>
            <w:tcW w:w="2760" w:type="dxa"/>
            <w:vAlign w:val="bottom"/>
          </w:tcPr>
          <w:p>
            <w:pPr>
              <w:ind w:left="40"/>
              <w:spacing w:after="0"/>
              <w:rPr>
                <w:sz w:val="20"/>
                <w:szCs w:val="20"/>
                <w:color w:val="auto"/>
              </w:rPr>
            </w:pPr>
            <w:r>
              <w:rPr>
                <w:rFonts w:ascii="Arial" w:cs="Arial" w:eastAsia="Arial" w:hAnsi="Arial"/>
                <w:sz w:val="18"/>
                <w:szCs w:val="18"/>
                <w:i w:val="1"/>
                <w:iCs w:val="1"/>
                <w:color w:val="auto"/>
                <w:w w:val="96"/>
              </w:rPr>
              <w:t>Research and development margin</w:t>
            </w:r>
          </w:p>
        </w:tc>
        <w:tc>
          <w:tcPr>
            <w:tcW w:w="34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76.0 %</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(47.4)%</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(1.3)%</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580" w:type="dxa"/>
            <w:vAlign w:val="bottom"/>
            <w:gridSpan w:val="2"/>
          </w:tcPr>
          <w:p>
            <w:pPr>
              <w:ind w:left="11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27.3%</w:t>
            </w:r>
          </w:p>
        </w:tc>
      </w:tr>
      <w:tr>
        <w:trPr>
          <w:trHeight w:val="27"/>
        </w:trPr>
        <w:tc>
          <w:tcPr>
            <w:tcW w:w="27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27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Sales and marketing</w:t>
            </w:r>
          </w:p>
        </w:tc>
        <w:tc>
          <w:tcPr>
            <w:tcW w:w="34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244.4</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(80.3)</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(2.2)</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gridSpan w:val="2"/>
            <w:shd w:val="clear" w:color="auto" w:fill="CCEEFF"/>
          </w:tcPr>
          <w:p>
            <w:pPr>
              <w:ind w:left="11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161.9</w:t>
            </w:r>
          </w:p>
        </w:tc>
      </w:tr>
      <w:tr>
        <w:trPr>
          <w:trHeight w:val="243"/>
        </w:trPr>
        <w:tc>
          <w:tcPr>
            <w:tcW w:w="2760" w:type="dxa"/>
            <w:vAlign w:val="bottom"/>
          </w:tcPr>
          <w:p>
            <w:pPr>
              <w:ind w:left="40"/>
              <w:spacing w:after="0"/>
              <w:rPr>
                <w:sz w:val="20"/>
                <w:szCs w:val="20"/>
                <w:color w:val="auto"/>
              </w:rPr>
            </w:pPr>
            <w:r>
              <w:rPr>
                <w:rFonts w:ascii="Arial" w:cs="Arial" w:eastAsia="Arial" w:hAnsi="Arial"/>
                <w:sz w:val="18"/>
                <w:szCs w:val="18"/>
                <w:i w:val="1"/>
                <w:iCs w:val="1"/>
                <w:color w:val="auto"/>
              </w:rPr>
              <w:t>Sales and marketing margin</w:t>
            </w:r>
          </w:p>
        </w:tc>
        <w:tc>
          <w:tcPr>
            <w:tcW w:w="34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37.3 %</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(12.3)%</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(0.3)%</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580" w:type="dxa"/>
            <w:vAlign w:val="bottom"/>
            <w:gridSpan w:val="2"/>
          </w:tcPr>
          <w:p>
            <w:pPr>
              <w:ind w:left="11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24.7%</w:t>
            </w:r>
          </w:p>
        </w:tc>
      </w:tr>
      <w:tr>
        <w:trPr>
          <w:trHeight w:val="27"/>
        </w:trPr>
        <w:tc>
          <w:tcPr>
            <w:tcW w:w="27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27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General and administrative</w:t>
            </w:r>
          </w:p>
        </w:tc>
        <w:tc>
          <w:tcPr>
            <w:tcW w:w="34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175.9</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(109.8)</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(2.3)</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gridSpan w:val="2"/>
            <w:shd w:val="clear" w:color="auto" w:fill="CCEEFF"/>
          </w:tcPr>
          <w:p>
            <w:pPr>
              <w:ind w:left="11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63.8</w:t>
            </w:r>
          </w:p>
        </w:tc>
      </w:tr>
      <w:tr>
        <w:trPr>
          <w:trHeight w:val="243"/>
        </w:trPr>
        <w:tc>
          <w:tcPr>
            <w:tcW w:w="2760" w:type="dxa"/>
            <w:vAlign w:val="bottom"/>
          </w:tcPr>
          <w:p>
            <w:pPr>
              <w:ind w:left="40"/>
              <w:spacing w:after="0"/>
              <w:rPr>
                <w:sz w:val="20"/>
                <w:szCs w:val="20"/>
                <w:color w:val="auto"/>
              </w:rPr>
            </w:pPr>
            <w:r>
              <w:rPr>
                <w:rFonts w:ascii="Arial" w:cs="Arial" w:eastAsia="Arial" w:hAnsi="Arial"/>
                <w:sz w:val="18"/>
                <w:szCs w:val="18"/>
                <w:i w:val="1"/>
                <w:iCs w:val="1"/>
                <w:color w:val="auto"/>
                <w:w w:val="98"/>
              </w:rPr>
              <w:t>General and administrative margin</w:t>
            </w:r>
          </w:p>
        </w:tc>
        <w:tc>
          <w:tcPr>
            <w:tcW w:w="34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26.8 %</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(16.8)%</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(0.4)%</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580" w:type="dxa"/>
            <w:vAlign w:val="bottom"/>
            <w:gridSpan w:val="2"/>
          </w:tcPr>
          <w:p>
            <w:pPr>
              <w:ind w:left="11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9.7%</w:t>
            </w:r>
          </w:p>
        </w:tc>
      </w:tr>
      <w:tr>
        <w:trPr>
          <w:trHeight w:val="27"/>
        </w:trPr>
        <w:tc>
          <w:tcPr>
            <w:tcW w:w="27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27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(loss) from operations</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(473.1)</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8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541.6</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13.9</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80" w:type="dxa"/>
            <w:vAlign w:val="bottom"/>
            <w:tcBorders>
              <w:bottom w:val="single" w:sz="8" w:color="CCEEFF"/>
            </w:tcBorders>
            <w:gridSpan w:val="2"/>
            <w:shd w:val="clear" w:color="auto" w:fill="CCEEFF"/>
          </w:tcPr>
          <w:p>
            <w:pPr>
              <w:ind w:left="11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36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82.4</w:t>
            </w:r>
          </w:p>
        </w:tc>
      </w:tr>
      <w:tr>
        <w:trPr>
          <w:trHeight w:val="243"/>
        </w:trPr>
        <w:tc>
          <w:tcPr>
            <w:tcW w:w="2760" w:type="dxa"/>
            <w:vAlign w:val="bottom"/>
          </w:tcPr>
          <w:p>
            <w:pPr>
              <w:ind w:left="40"/>
              <w:spacing w:after="0"/>
              <w:rPr>
                <w:sz w:val="20"/>
                <w:szCs w:val="20"/>
                <w:color w:val="auto"/>
              </w:rPr>
            </w:pPr>
            <w:r>
              <w:rPr>
                <w:rFonts w:ascii="Arial" w:cs="Arial" w:eastAsia="Arial" w:hAnsi="Arial"/>
                <w:sz w:val="18"/>
                <w:szCs w:val="18"/>
                <w:i w:val="1"/>
                <w:iCs w:val="1"/>
                <w:color w:val="auto"/>
              </w:rPr>
              <w:t>Operating margin</w:t>
            </w:r>
          </w:p>
        </w:tc>
        <w:tc>
          <w:tcPr>
            <w:tcW w:w="34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(72.2)%</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82.6 %</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2.1 %</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580" w:type="dxa"/>
            <w:vAlign w:val="bottom"/>
            <w:gridSpan w:val="2"/>
          </w:tcPr>
          <w:p>
            <w:pPr>
              <w:ind w:left="11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12.6%</w:t>
            </w:r>
          </w:p>
        </w:tc>
      </w:tr>
    </w:tbl>
    <w:p>
      <w:pPr>
        <w:spacing w:after="0" w:line="200" w:lineRule="exact"/>
        <w:rPr>
          <w:sz w:val="20"/>
          <w:szCs w:val="20"/>
          <w:color w:val="auto"/>
        </w:rPr>
      </w:pPr>
    </w:p>
    <w:p>
      <w:pPr>
        <w:spacing w:after="0" w:line="263"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Dropbox, Inc.</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Six months ended June 30, 2017</w:t>
      </w:r>
    </w:p>
    <w:p>
      <w:pPr>
        <w:jc w:val="center"/>
        <w:spacing w:after="0"/>
        <w:rPr>
          <w:sz w:val="20"/>
          <w:szCs w:val="20"/>
          <w:color w:val="auto"/>
        </w:rPr>
      </w:pPr>
      <w:r>
        <w:rPr>
          <w:rFonts w:ascii="Arial" w:cs="Arial" w:eastAsia="Arial" w:hAnsi="Arial"/>
          <w:sz w:val="20"/>
          <w:szCs w:val="20"/>
          <w:b w:val="1"/>
          <w:bCs w:val="1"/>
          <w:color w:val="auto"/>
        </w:rPr>
        <w:t>Reconciliation of GAAP to Non-GAAP results</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(In millions, except for percentages, which may not foot due to rounding)</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(Unaudited)</w:t>
      </w:r>
    </w:p>
    <w:p>
      <w:pPr>
        <w:spacing w:after="0" w:line="368"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7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2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3"/>
              </w:rPr>
              <w:t>Employer payroll</w:t>
            </w:r>
          </w:p>
        </w:tc>
        <w:tc>
          <w:tcPr>
            <w:tcW w:w="26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60" w:type="dxa"/>
            <w:vAlign w:val="bottom"/>
          </w:tcPr>
          <w:p>
            <w:pPr>
              <w:spacing w:after="0"/>
              <w:rPr>
                <w:sz w:val="18"/>
                <w:szCs w:val="18"/>
                <w:color w:val="auto"/>
              </w:rPr>
            </w:pPr>
          </w:p>
        </w:tc>
      </w:tr>
      <w:tr>
        <w:trPr>
          <w:trHeight w:val="216"/>
        </w:trPr>
        <w:tc>
          <w:tcPr>
            <w:tcW w:w="27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740" w:type="dxa"/>
            <w:vAlign w:val="bottom"/>
            <w:gridSpan w:val="3"/>
          </w:tcPr>
          <w:p>
            <w:pPr>
              <w:jc w:val="center"/>
              <w:ind w:right="100"/>
              <w:spacing w:after="0"/>
              <w:rPr>
                <w:sz w:val="20"/>
                <w:szCs w:val="20"/>
                <w:color w:val="auto"/>
              </w:rPr>
            </w:pPr>
            <w:r>
              <w:rPr>
                <w:rFonts w:ascii="Arial" w:cs="Arial" w:eastAsia="Arial" w:hAnsi="Arial"/>
                <w:sz w:val="18"/>
                <w:szCs w:val="18"/>
                <w:b w:val="1"/>
                <w:bCs w:val="1"/>
                <w:color w:val="auto"/>
                <w:w w:val="87"/>
              </w:rPr>
              <w:t>taxes related to the</w:t>
            </w:r>
          </w:p>
        </w:tc>
        <w:tc>
          <w:tcPr>
            <w:tcW w:w="1780" w:type="dxa"/>
            <w:vAlign w:val="bottom"/>
            <w:gridSpan w:val="3"/>
          </w:tcPr>
          <w:p>
            <w:pPr>
              <w:ind w:left="40"/>
              <w:spacing w:after="0"/>
              <w:rPr>
                <w:sz w:val="20"/>
                <w:szCs w:val="20"/>
                <w:color w:val="auto"/>
              </w:rPr>
            </w:pPr>
            <w:r>
              <w:rPr>
                <w:rFonts w:ascii="Arial" w:cs="Arial" w:eastAsia="Arial" w:hAnsi="Arial"/>
                <w:sz w:val="18"/>
                <w:szCs w:val="18"/>
                <w:b w:val="1"/>
                <w:bCs w:val="1"/>
                <w:color w:val="auto"/>
                <w:w w:val="95"/>
              </w:rPr>
              <w:t>Donation of common</w:t>
            </w:r>
          </w:p>
        </w:tc>
        <w:tc>
          <w:tcPr>
            <w:tcW w:w="240" w:type="dxa"/>
            <w:vAlign w:val="bottom"/>
          </w:tcPr>
          <w:p>
            <w:pPr>
              <w:spacing w:after="0"/>
              <w:rPr>
                <w:sz w:val="18"/>
                <w:szCs w:val="18"/>
                <w:color w:val="auto"/>
              </w:rPr>
            </w:pPr>
          </w:p>
        </w:tc>
        <w:tc>
          <w:tcPr>
            <w:tcW w:w="1360" w:type="dxa"/>
            <w:vAlign w:val="bottom"/>
          </w:tcPr>
          <w:p>
            <w:pPr>
              <w:spacing w:after="0"/>
              <w:rPr>
                <w:sz w:val="18"/>
                <w:szCs w:val="18"/>
                <w:color w:val="auto"/>
              </w:rPr>
            </w:pPr>
          </w:p>
        </w:tc>
      </w:tr>
      <w:tr>
        <w:trPr>
          <w:trHeight w:val="216"/>
        </w:trPr>
        <w:tc>
          <w:tcPr>
            <w:tcW w:w="27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58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85"/>
              </w:rPr>
              <w:t>Stock-based</w:t>
            </w:r>
          </w:p>
        </w:tc>
        <w:tc>
          <w:tcPr>
            <w:tcW w:w="120" w:type="dxa"/>
            <w:vAlign w:val="bottom"/>
          </w:tcPr>
          <w:p>
            <w:pPr>
              <w:spacing w:after="0"/>
              <w:rPr>
                <w:sz w:val="18"/>
                <w:szCs w:val="18"/>
                <w:color w:val="auto"/>
              </w:rPr>
            </w:pPr>
          </w:p>
        </w:tc>
        <w:tc>
          <w:tcPr>
            <w:tcW w:w="162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89"/>
              </w:rPr>
              <w:t>release of two-tier</w:t>
            </w:r>
          </w:p>
        </w:tc>
        <w:tc>
          <w:tcPr>
            <w:tcW w:w="1780" w:type="dxa"/>
            <w:vAlign w:val="bottom"/>
            <w:gridSpan w:val="3"/>
          </w:tcPr>
          <w:p>
            <w:pPr>
              <w:jc w:val="right"/>
              <w:ind w:right="140"/>
              <w:spacing w:after="0"/>
              <w:rPr>
                <w:sz w:val="20"/>
                <w:szCs w:val="20"/>
                <w:color w:val="auto"/>
              </w:rPr>
            </w:pPr>
            <w:r>
              <w:rPr>
                <w:rFonts w:ascii="Arial" w:cs="Arial" w:eastAsia="Arial" w:hAnsi="Arial"/>
                <w:sz w:val="18"/>
                <w:szCs w:val="18"/>
                <w:b w:val="1"/>
                <w:bCs w:val="1"/>
                <w:color w:val="auto"/>
                <w:w w:val="89"/>
              </w:rPr>
              <w:t>stock to the Dropbox</w:t>
            </w:r>
          </w:p>
        </w:tc>
        <w:tc>
          <w:tcPr>
            <w:tcW w:w="240" w:type="dxa"/>
            <w:vAlign w:val="bottom"/>
          </w:tcPr>
          <w:p>
            <w:pPr>
              <w:spacing w:after="0"/>
              <w:rPr>
                <w:sz w:val="18"/>
                <w:szCs w:val="18"/>
                <w:color w:val="auto"/>
              </w:rPr>
            </w:pPr>
          </w:p>
        </w:tc>
        <w:tc>
          <w:tcPr>
            <w:tcW w:w="1360" w:type="dxa"/>
            <w:vAlign w:val="bottom"/>
          </w:tcPr>
          <w:p>
            <w:pPr>
              <w:spacing w:after="0"/>
              <w:rPr>
                <w:sz w:val="18"/>
                <w:szCs w:val="18"/>
                <w:color w:val="auto"/>
              </w:rPr>
            </w:pPr>
          </w:p>
        </w:tc>
      </w:tr>
      <w:tr>
        <w:trPr>
          <w:trHeight w:val="234"/>
        </w:trPr>
        <w:tc>
          <w:tcPr>
            <w:tcW w:w="27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400" w:type="dxa"/>
            <w:vAlign w:val="bottom"/>
            <w:gridSpan w:val="2"/>
          </w:tcPr>
          <w:p>
            <w:pPr>
              <w:ind w:left="220"/>
              <w:spacing w:after="0"/>
              <w:rPr>
                <w:sz w:val="20"/>
                <w:szCs w:val="20"/>
                <w:color w:val="auto"/>
              </w:rPr>
            </w:pPr>
            <w:r>
              <w:rPr>
                <w:rFonts w:ascii="Arial" w:cs="Arial" w:eastAsia="Arial" w:hAnsi="Arial"/>
                <w:sz w:val="18"/>
                <w:szCs w:val="18"/>
                <w:b w:val="1"/>
                <w:bCs w:val="1"/>
                <w:color w:val="auto"/>
              </w:rPr>
              <w:t>GAAP</w:t>
            </w:r>
          </w:p>
        </w:tc>
        <w:tc>
          <w:tcPr>
            <w:tcW w:w="200" w:type="dxa"/>
            <w:vAlign w:val="bottom"/>
          </w:tcPr>
          <w:p>
            <w:pPr>
              <w:spacing w:after="0"/>
              <w:rPr>
                <w:sz w:val="20"/>
                <w:szCs w:val="20"/>
                <w:color w:val="auto"/>
              </w:rPr>
            </w:pPr>
          </w:p>
        </w:tc>
        <w:tc>
          <w:tcPr>
            <w:tcW w:w="158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86"/>
              </w:rPr>
              <w:t>compensation</w:t>
            </w:r>
          </w:p>
        </w:tc>
        <w:tc>
          <w:tcPr>
            <w:tcW w:w="120" w:type="dxa"/>
            <w:vAlign w:val="bottom"/>
          </w:tcPr>
          <w:p>
            <w:pPr>
              <w:spacing w:after="0"/>
              <w:rPr>
                <w:sz w:val="20"/>
                <w:szCs w:val="20"/>
                <w:color w:val="auto"/>
              </w:rPr>
            </w:pPr>
          </w:p>
        </w:tc>
        <w:tc>
          <w:tcPr>
            <w:tcW w:w="162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1"/>
              </w:rPr>
              <w:t>RSUs</w:t>
            </w:r>
          </w:p>
        </w:tc>
        <w:tc>
          <w:tcPr>
            <w:tcW w:w="260" w:type="dxa"/>
            <w:vAlign w:val="bottom"/>
          </w:tcPr>
          <w:p>
            <w:pPr>
              <w:spacing w:after="0"/>
              <w:rPr>
                <w:sz w:val="20"/>
                <w:szCs w:val="20"/>
                <w:color w:val="auto"/>
              </w:rPr>
            </w:pPr>
          </w:p>
        </w:tc>
        <w:tc>
          <w:tcPr>
            <w:tcW w:w="1520" w:type="dxa"/>
            <w:vAlign w:val="bottom"/>
            <w:gridSpan w:val="2"/>
          </w:tcPr>
          <w:p>
            <w:pPr>
              <w:ind w:left="140"/>
              <w:spacing w:after="0"/>
              <w:rPr>
                <w:sz w:val="20"/>
                <w:szCs w:val="20"/>
                <w:color w:val="auto"/>
              </w:rPr>
            </w:pPr>
            <w:r>
              <w:rPr>
                <w:rFonts w:ascii="Arial" w:cs="Arial" w:eastAsia="Arial" w:hAnsi="Arial"/>
                <w:sz w:val="18"/>
                <w:szCs w:val="18"/>
                <w:b w:val="1"/>
                <w:bCs w:val="1"/>
                <w:color w:val="auto"/>
              </w:rPr>
              <w:t>Foundation</w:t>
            </w:r>
          </w:p>
        </w:tc>
        <w:tc>
          <w:tcPr>
            <w:tcW w:w="240" w:type="dxa"/>
            <w:vAlign w:val="bottom"/>
          </w:tcPr>
          <w:p>
            <w:pPr>
              <w:spacing w:after="0"/>
              <w:rPr>
                <w:sz w:val="20"/>
                <w:szCs w:val="20"/>
                <w:color w:val="auto"/>
              </w:rPr>
            </w:pPr>
          </w:p>
        </w:tc>
        <w:tc>
          <w:tcPr>
            <w:tcW w:w="1360" w:type="dxa"/>
            <w:vAlign w:val="bottom"/>
          </w:tcPr>
          <w:p>
            <w:pPr>
              <w:jc w:val="right"/>
              <w:ind w:right="270"/>
              <w:spacing w:after="0"/>
              <w:rPr>
                <w:sz w:val="20"/>
                <w:szCs w:val="20"/>
                <w:color w:val="auto"/>
              </w:rPr>
            </w:pPr>
            <w:r>
              <w:rPr>
                <w:rFonts w:ascii="Arial" w:cs="Arial" w:eastAsia="Arial" w:hAnsi="Arial"/>
                <w:sz w:val="18"/>
                <w:szCs w:val="18"/>
                <w:b w:val="1"/>
                <w:bCs w:val="1"/>
                <w:color w:val="auto"/>
              </w:rPr>
              <w:t>Non-GAAP</w:t>
            </w:r>
          </w:p>
        </w:tc>
      </w:tr>
      <w:tr>
        <w:trPr>
          <w:trHeight w:val="27"/>
        </w:trPr>
        <w:tc>
          <w:tcPr>
            <w:tcW w:w="278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43"/>
        </w:trPr>
        <w:tc>
          <w:tcPr>
            <w:tcW w:w="2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shd w:val="clear" w:color="auto" w:fill="CCEEFF"/>
              </w:rPr>
              <w:t>Cost of revenue</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185.7</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(6.4)</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620" w:type="dxa"/>
            <w:vAlign w:val="bottom"/>
            <w:tcBorders>
              <w:bottom w:val="single" w:sz="8" w:color="CCEEFF"/>
            </w:tcBorders>
            <w:gridSpan w:val="2"/>
            <w:shd w:val="clear" w:color="auto" w:fill="CCEEFF"/>
          </w:tcPr>
          <w:p>
            <w:pPr>
              <w:ind w:left="114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520" w:type="dxa"/>
            <w:vAlign w:val="bottom"/>
            <w:tcBorders>
              <w:bottom w:val="single" w:sz="8" w:color="CCEEFF"/>
            </w:tcBorders>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36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179.3</w:t>
            </w:r>
          </w:p>
        </w:tc>
      </w:tr>
      <w:tr>
        <w:trPr>
          <w:trHeight w:val="243"/>
        </w:trPr>
        <w:tc>
          <w:tcPr>
            <w:tcW w:w="2780" w:type="dxa"/>
            <w:vAlign w:val="bottom"/>
          </w:tcPr>
          <w:p>
            <w:pPr>
              <w:ind w:left="40"/>
              <w:spacing w:after="0"/>
              <w:rPr>
                <w:sz w:val="20"/>
                <w:szCs w:val="20"/>
                <w:color w:val="auto"/>
              </w:rPr>
            </w:pPr>
            <w:r>
              <w:rPr>
                <w:rFonts w:ascii="Arial" w:cs="Arial" w:eastAsia="Arial" w:hAnsi="Arial"/>
                <w:sz w:val="18"/>
                <w:szCs w:val="18"/>
                <w:i w:val="1"/>
                <w:iCs w:val="1"/>
                <w:color w:val="auto"/>
              </w:rPr>
              <w:t>Cost of revenue margin</w:t>
            </w:r>
          </w:p>
        </w:tc>
        <w:tc>
          <w:tcPr>
            <w:tcW w:w="34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36.1 %</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(1.3)%</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20" w:type="dxa"/>
            <w:vAlign w:val="bottom"/>
            <w:gridSpan w:val="2"/>
          </w:tcPr>
          <w:p>
            <w:pPr>
              <w:ind w:left="114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1520" w:type="dxa"/>
            <w:vAlign w:val="bottom"/>
            <w:gridSpan w:val="2"/>
          </w:tcPr>
          <w:p>
            <w:pPr>
              <w:jc w:val="right"/>
              <w:ind w:right="140"/>
              <w:spacing w:after="0"/>
              <w:rPr>
                <w:sz w:val="20"/>
                <w:szCs w:val="20"/>
                <w:color w:val="auto"/>
              </w:rPr>
            </w:pPr>
            <w:r>
              <w:rPr>
                <w:rFonts w:ascii="Arial" w:cs="Arial" w:eastAsia="Arial" w:hAnsi="Arial"/>
                <w:sz w:val="18"/>
                <w:szCs w:val="18"/>
                <w:color w:val="auto"/>
              </w:rPr>
              <w:t>— %</w:t>
            </w:r>
          </w:p>
        </w:tc>
        <w:tc>
          <w:tcPr>
            <w:tcW w:w="24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34.8%</w:t>
            </w:r>
          </w:p>
        </w:tc>
      </w:tr>
      <w:tr>
        <w:trPr>
          <w:trHeight w:val="27"/>
        </w:trPr>
        <w:tc>
          <w:tcPr>
            <w:tcW w:w="27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2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Gross profit</w:t>
            </w:r>
          </w:p>
        </w:tc>
        <w:tc>
          <w:tcPr>
            <w:tcW w:w="34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328.9</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6.4</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20" w:type="dxa"/>
            <w:vAlign w:val="bottom"/>
            <w:tcBorders>
              <w:bottom w:val="single" w:sz="8" w:color="CCEEFF"/>
            </w:tcBorders>
            <w:gridSpan w:val="2"/>
            <w:shd w:val="clear" w:color="auto" w:fill="CCEEFF"/>
          </w:tcPr>
          <w:p>
            <w:pPr>
              <w:ind w:left="114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335.3</w:t>
            </w:r>
          </w:p>
        </w:tc>
      </w:tr>
      <w:tr>
        <w:trPr>
          <w:trHeight w:val="243"/>
        </w:trPr>
        <w:tc>
          <w:tcPr>
            <w:tcW w:w="2780" w:type="dxa"/>
            <w:vAlign w:val="bottom"/>
          </w:tcPr>
          <w:p>
            <w:pPr>
              <w:ind w:left="40"/>
              <w:spacing w:after="0"/>
              <w:rPr>
                <w:sz w:val="20"/>
                <w:szCs w:val="20"/>
                <w:color w:val="auto"/>
              </w:rPr>
            </w:pPr>
            <w:r>
              <w:rPr>
                <w:rFonts w:ascii="Arial" w:cs="Arial" w:eastAsia="Arial" w:hAnsi="Arial"/>
                <w:sz w:val="18"/>
                <w:szCs w:val="18"/>
                <w:i w:val="1"/>
                <w:iCs w:val="1"/>
                <w:color w:val="auto"/>
              </w:rPr>
              <w:t>Gross margin</w:t>
            </w:r>
          </w:p>
        </w:tc>
        <w:tc>
          <w:tcPr>
            <w:tcW w:w="34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63.9 %</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1.3 %</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20" w:type="dxa"/>
            <w:vAlign w:val="bottom"/>
            <w:gridSpan w:val="2"/>
          </w:tcPr>
          <w:p>
            <w:pPr>
              <w:ind w:left="114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1520" w:type="dxa"/>
            <w:vAlign w:val="bottom"/>
            <w:gridSpan w:val="2"/>
          </w:tcPr>
          <w:p>
            <w:pPr>
              <w:jc w:val="right"/>
              <w:ind w:right="140"/>
              <w:spacing w:after="0"/>
              <w:rPr>
                <w:sz w:val="20"/>
                <w:szCs w:val="20"/>
                <w:color w:val="auto"/>
              </w:rPr>
            </w:pPr>
            <w:r>
              <w:rPr>
                <w:rFonts w:ascii="Arial" w:cs="Arial" w:eastAsia="Arial" w:hAnsi="Arial"/>
                <w:sz w:val="18"/>
                <w:szCs w:val="18"/>
                <w:color w:val="auto"/>
              </w:rPr>
              <w:t>— %</w:t>
            </w:r>
          </w:p>
        </w:tc>
        <w:tc>
          <w:tcPr>
            <w:tcW w:w="24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65.2%</w:t>
            </w:r>
          </w:p>
        </w:tc>
      </w:tr>
      <w:tr>
        <w:trPr>
          <w:trHeight w:val="27"/>
        </w:trPr>
        <w:tc>
          <w:tcPr>
            <w:tcW w:w="27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2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Research and development</w:t>
            </w:r>
          </w:p>
        </w:tc>
        <w:tc>
          <w:tcPr>
            <w:tcW w:w="34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179.1</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(43.5)</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20" w:type="dxa"/>
            <w:vAlign w:val="bottom"/>
            <w:tcBorders>
              <w:bottom w:val="single" w:sz="8" w:color="CCEEFF"/>
            </w:tcBorders>
            <w:gridSpan w:val="2"/>
            <w:shd w:val="clear" w:color="auto" w:fill="CCEEFF"/>
          </w:tcPr>
          <w:p>
            <w:pPr>
              <w:ind w:left="114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135.6</w:t>
            </w:r>
          </w:p>
        </w:tc>
      </w:tr>
      <w:tr>
        <w:trPr>
          <w:trHeight w:val="243"/>
        </w:trPr>
        <w:tc>
          <w:tcPr>
            <w:tcW w:w="2780" w:type="dxa"/>
            <w:vAlign w:val="bottom"/>
          </w:tcPr>
          <w:p>
            <w:pPr>
              <w:ind w:left="40"/>
              <w:spacing w:after="0"/>
              <w:rPr>
                <w:sz w:val="20"/>
                <w:szCs w:val="20"/>
                <w:color w:val="auto"/>
              </w:rPr>
            </w:pPr>
            <w:r>
              <w:rPr>
                <w:rFonts w:ascii="Arial" w:cs="Arial" w:eastAsia="Arial" w:hAnsi="Arial"/>
                <w:sz w:val="18"/>
                <w:szCs w:val="18"/>
                <w:i w:val="1"/>
                <w:iCs w:val="1"/>
                <w:color w:val="auto"/>
                <w:w w:val="97"/>
              </w:rPr>
              <w:t>Research and development margin</w:t>
            </w:r>
          </w:p>
        </w:tc>
        <w:tc>
          <w:tcPr>
            <w:tcW w:w="34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34.8 %</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(8.5)%</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20" w:type="dxa"/>
            <w:vAlign w:val="bottom"/>
            <w:gridSpan w:val="2"/>
          </w:tcPr>
          <w:p>
            <w:pPr>
              <w:ind w:left="114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1520" w:type="dxa"/>
            <w:vAlign w:val="bottom"/>
            <w:gridSpan w:val="2"/>
          </w:tcPr>
          <w:p>
            <w:pPr>
              <w:jc w:val="right"/>
              <w:ind w:right="140"/>
              <w:spacing w:after="0"/>
              <w:rPr>
                <w:sz w:val="20"/>
                <w:szCs w:val="20"/>
                <w:color w:val="auto"/>
              </w:rPr>
            </w:pPr>
            <w:r>
              <w:rPr>
                <w:rFonts w:ascii="Arial" w:cs="Arial" w:eastAsia="Arial" w:hAnsi="Arial"/>
                <w:sz w:val="18"/>
                <w:szCs w:val="18"/>
                <w:color w:val="auto"/>
              </w:rPr>
              <w:t>— %</w:t>
            </w:r>
          </w:p>
        </w:tc>
        <w:tc>
          <w:tcPr>
            <w:tcW w:w="24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26.4%</w:t>
            </w:r>
          </w:p>
        </w:tc>
      </w:tr>
      <w:tr>
        <w:trPr>
          <w:trHeight w:val="27"/>
        </w:trPr>
        <w:tc>
          <w:tcPr>
            <w:tcW w:w="27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2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Sales and marketing</w:t>
            </w:r>
          </w:p>
        </w:tc>
        <w:tc>
          <w:tcPr>
            <w:tcW w:w="34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136.4</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(15.4)</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20" w:type="dxa"/>
            <w:vAlign w:val="bottom"/>
            <w:tcBorders>
              <w:bottom w:val="single" w:sz="8" w:color="CCEEFF"/>
            </w:tcBorders>
            <w:gridSpan w:val="2"/>
            <w:shd w:val="clear" w:color="auto" w:fill="CCEEFF"/>
          </w:tcPr>
          <w:p>
            <w:pPr>
              <w:ind w:left="114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121.0</w:t>
            </w:r>
          </w:p>
        </w:tc>
      </w:tr>
      <w:tr>
        <w:trPr>
          <w:trHeight w:val="243"/>
        </w:trPr>
        <w:tc>
          <w:tcPr>
            <w:tcW w:w="2780" w:type="dxa"/>
            <w:vAlign w:val="bottom"/>
          </w:tcPr>
          <w:p>
            <w:pPr>
              <w:ind w:left="40"/>
              <w:spacing w:after="0"/>
              <w:rPr>
                <w:sz w:val="20"/>
                <w:szCs w:val="20"/>
                <w:color w:val="auto"/>
              </w:rPr>
            </w:pPr>
            <w:r>
              <w:rPr>
                <w:rFonts w:ascii="Arial" w:cs="Arial" w:eastAsia="Arial" w:hAnsi="Arial"/>
                <w:sz w:val="18"/>
                <w:szCs w:val="18"/>
                <w:i w:val="1"/>
                <w:iCs w:val="1"/>
                <w:color w:val="auto"/>
              </w:rPr>
              <w:t>Sales and marketing margin</w:t>
            </w:r>
          </w:p>
        </w:tc>
        <w:tc>
          <w:tcPr>
            <w:tcW w:w="34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26.5 %</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(3.0)%</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20" w:type="dxa"/>
            <w:vAlign w:val="bottom"/>
            <w:gridSpan w:val="2"/>
          </w:tcPr>
          <w:p>
            <w:pPr>
              <w:ind w:left="114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1520" w:type="dxa"/>
            <w:vAlign w:val="bottom"/>
            <w:gridSpan w:val="2"/>
          </w:tcPr>
          <w:p>
            <w:pPr>
              <w:jc w:val="right"/>
              <w:ind w:right="140"/>
              <w:spacing w:after="0"/>
              <w:rPr>
                <w:sz w:val="20"/>
                <w:szCs w:val="20"/>
                <w:color w:val="auto"/>
              </w:rPr>
            </w:pPr>
            <w:r>
              <w:rPr>
                <w:rFonts w:ascii="Arial" w:cs="Arial" w:eastAsia="Arial" w:hAnsi="Arial"/>
                <w:sz w:val="18"/>
                <w:szCs w:val="18"/>
                <w:color w:val="auto"/>
              </w:rPr>
              <w:t>— %</w:t>
            </w:r>
          </w:p>
        </w:tc>
        <w:tc>
          <w:tcPr>
            <w:tcW w:w="24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23.5%</w:t>
            </w:r>
          </w:p>
        </w:tc>
      </w:tr>
      <w:tr>
        <w:trPr>
          <w:trHeight w:val="27"/>
        </w:trPr>
        <w:tc>
          <w:tcPr>
            <w:tcW w:w="27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2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General and administrative</w:t>
            </w:r>
          </w:p>
        </w:tc>
        <w:tc>
          <w:tcPr>
            <w:tcW w:w="34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73.5</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(12.2)</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20" w:type="dxa"/>
            <w:vAlign w:val="bottom"/>
            <w:tcBorders>
              <w:bottom w:val="single" w:sz="8" w:color="CCEEFF"/>
            </w:tcBorders>
            <w:gridSpan w:val="2"/>
            <w:shd w:val="clear" w:color="auto" w:fill="CCEEFF"/>
          </w:tcPr>
          <w:p>
            <w:pPr>
              <w:ind w:left="114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(9.4)</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51.9</w:t>
            </w:r>
          </w:p>
        </w:tc>
      </w:tr>
      <w:tr>
        <w:trPr>
          <w:trHeight w:val="243"/>
        </w:trPr>
        <w:tc>
          <w:tcPr>
            <w:tcW w:w="2780" w:type="dxa"/>
            <w:vAlign w:val="bottom"/>
          </w:tcPr>
          <w:p>
            <w:pPr>
              <w:ind w:left="40"/>
              <w:spacing w:after="0"/>
              <w:rPr>
                <w:sz w:val="20"/>
                <w:szCs w:val="20"/>
                <w:color w:val="auto"/>
              </w:rPr>
            </w:pPr>
            <w:r>
              <w:rPr>
                <w:rFonts w:ascii="Arial" w:cs="Arial" w:eastAsia="Arial" w:hAnsi="Arial"/>
                <w:sz w:val="18"/>
                <w:szCs w:val="18"/>
                <w:i w:val="1"/>
                <w:iCs w:val="1"/>
                <w:color w:val="auto"/>
                <w:w w:val="98"/>
              </w:rPr>
              <w:t>General and administrative margin</w:t>
            </w:r>
          </w:p>
        </w:tc>
        <w:tc>
          <w:tcPr>
            <w:tcW w:w="34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14.3 %</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(2.4)%</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20" w:type="dxa"/>
            <w:vAlign w:val="bottom"/>
            <w:gridSpan w:val="2"/>
          </w:tcPr>
          <w:p>
            <w:pPr>
              <w:ind w:left="114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(1.8)%</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10.1%</w:t>
            </w:r>
          </w:p>
        </w:tc>
      </w:tr>
      <w:tr>
        <w:trPr>
          <w:trHeight w:val="27"/>
        </w:trPr>
        <w:tc>
          <w:tcPr>
            <w:tcW w:w="27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2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(loss) from operations</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(60.1)</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8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77.5</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620" w:type="dxa"/>
            <w:vAlign w:val="bottom"/>
            <w:tcBorders>
              <w:bottom w:val="single" w:sz="8" w:color="CCEEFF"/>
            </w:tcBorders>
            <w:gridSpan w:val="2"/>
            <w:shd w:val="clear" w:color="auto" w:fill="CCEEFF"/>
          </w:tcPr>
          <w:p>
            <w:pPr>
              <w:ind w:left="114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42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9.4</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36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26.8</w:t>
            </w:r>
          </w:p>
        </w:tc>
      </w:tr>
      <w:tr>
        <w:trPr>
          <w:trHeight w:val="243"/>
        </w:trPr>
        <w:tc>
          <w:tcPr>
            <w:tcW w:w="2780" w:type="dxa"/>
            <w:vAlign w:val="bottom"/>
          </w:tcPr>
          <w:p>
            <w:pPr>
              <w:ind w:left="40"/>
              <w:spacing w:after="0"/>
              <w:rPr>
                <w:sz w:val="20"/>
                <w:szCs w:val="20"/>
                <w:color w:val="auto"/>
              </w:rPr>
            </w:pPr>
            <w:r>
              <w:rPr>
                <w:rFonts w:ascii="Arial" w:cs="Arial" w:eastAsia="Arial" w:hAnsi="Arial"/>
                <w:sz w:val="18"/>
                <w:szCs w:val="18"/>
                <w:i w:val="1"/>
                <w:iCs w:val="1"/>
                <w:color w:val="auto"/>
              </w:rPr>
              <w:t>Operating margin</w:t>
            </w:r>
          </w:p>
        </w:tc>
        <w:tc>
          <w:tcPr>
            <w:tcW w:w="34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(11.7)%</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15.1 %</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20" w:type="dxa"/>
            <w:vAlign w:val="bottom"/>
            <w:gridSpan w:val="2"/>
          </w:tcPr>
          <w:p>
            <w:pPr>
              <w:ind w:left="114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1.8 %</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5.2%</w:t>
            </w:r>
          </w:p>
        </w:tc>
      </w:tr>
    </w:tbl>
    <w:p>
      <w:pPr>
        <w:sectPr>
          <w:pgSz w:w="11900" w:h="16838" w:orient="portrait"/>
          <w:cols w:equalWidth="0" w:num="1">
            <w:col w:w="11420"/>
          </w:cols>
          <w:pgMar w:left="240" w:top="575" w:right="239" w:bottom="1440" w:gutter="0" w:footer="0" w:header="0"/>
        </w:sectPr>
      </w:pPr>
    </w:p>
    <w:bookmarkStart w:id="12" w:name="page13"/>
    <w:bookmarkEnd w:id="12"/>
    <w:p>
      <w:pPr>
        <w:jc w:val="center"/>
        <w:spacing w:after="0"/>
        <w:rPr>
          <w:sz w:val="20"/>
          <w:szCs w:val="20"/>
          <w:color w:val="auto"/>
        </w:rPr>
      </w:pPr>
      <w:r>
        <w:rPr>
          <w:rFonts w:ascii="Arial" w:cs="Arial" w:eastAsia="Arial" w:hAnsi="Arial"/>
          <w:sz w:val="20"/>
          <w:szCs w:val="20"/>
          <w:b w:val="1"/>
          <w:bCs w:val="1"/>
          <w:color w:val="auto"/>
        </w:rPr>
        <w:t>Dropbox, Inc.</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Three and six months ended June 30, 2018 and 2017</w:t>
      </w:r>
    </w:p>
    <w:p>
      <w:pPr>
        <w:jc w:val="center"/>
        <w:spacing w:after="0"/>
        <w:rPr>
          <w:sz w:val="20"/>
          <w:szCs w:val="20"/>
          <w:color w:val="auto"/>
        </w:rPr>
      </w:pPr>
      <w:r>
        <w:rPr>
          <w:rFonts w:ascii="Arial" w:cs="Arial" w:eastAsia="Arial" w:hAnsi="Arial"/>
          <w:sz w:val="20"/>
          <w:szCs w:val="20"/>
          <w:b w:val="1"/>
          <w:bCs w:val="1"/>
          <w:color w:val="auto"/>
        </w:rPr>
        <w:t>Reconciliation of GAAP net loss to Non-GAAP net income and Non-GAAP diluted net income per share</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(In millions, except per share data)</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(Unaudited)</w:t>
      </w:r>
    </w:p>
    <w:p>
      <w:pPr>
        <w:spacing w:after="0" w:line="368"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320" w:type="dxa"/>
            <w:vAlign w:val="bottom"/>
          </w:tcPr>
          <w:p>
            <w:pPr>
              <w:spacing w:after="0"/>
              <w:rPr>
                <w:sz w:val="20"/>
                <w:szCs w:val="20"/>
                <w:color w:val="auto"/>
              </w:rPr>
            </w:pPr>
          </w:p>
        </w:tc>
        <w:tc>
          <w:tcPr>
            <w:tcW w:w="3380" w:type="dxa"/>
            <w:vAlign w:val="bottom"/>
            <w:gridSpan w:val="4"/>
          </w:tcPr>
          <w:p>
            <w:pPr>
              <w:jc w:val="right"/>
              <w:ind w:right="130"/>
              <w:spacing w:after="0"/>
              <w:rPr>
                <w:sz w:val="20"/>
                <w:szCs w:val="20"/>
                <w:color w:val="auto"/>
              </w:rPr>
            </w:pPr>
            <w:r>
              <w:rPr>
                <w:rFonts w:ascii="Arial" w:cs="Arial" w:eastAsia="Arial" w:hAnsi="Arial"/>
                <w:sz w:val="18"/>
                <w:szCs w:val="18"/>
                <w:b w:val="1"/>
                <w:bCs w:val="1"/>
                <w:color w:val="auto"/>
              </w:rPr>
              <w:t>Three months ended June 30,</w:t>
            </w:r>
          </w:p>
        </w:tc>
        <w:tc>
          <w:tcPr>
            <w:tcW w:w="6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3520" w:type="dxa"/>
            <w:vAlign w:val="bottom"/>
            <w:gridSpan w:val="4"/>
          </w:tcPr>
          <w:p>
            <w:pPr>
              <w:jc w:val="right"/>
              <w:ind w:right="850"/>
              <w:spacing w:after="0"/>
              <w:rPr>
                <w:sz w:val="20"/>
                <w:szCs w:val="20"/>
                <w:color w:val="auto"/>
              </w:rPr>
            </w:pPr>
            <w:r>
              <w:rPr>
                <w:rFonts w:ascii="Arial" w:cs="Arial" w:eastAsia="Arial" w:hAnsi="Arial"/>
                <w:sz w:val="18"/>
                <w:szCs w:val="18"/>
                <w:b w:val="1"/>
                <w:bCs w:val="1"/>
                <w:color w:val="auto"/>
              </w:rPr>
              <w:t>Six months ended June 30,</w:t>
            </w:r>
          </w:p>
        </w:tc>
        <w:tc>
          <w:tcPr>
            <w:tcW w:w="0" w:type="dxa"/>
            <w:vAlign w:val="bottom"/>
          </w:tcPr>
          <w:p>
            <w:pPr>
              <w:spacing w:after="0"/>
              <w:rPr>
                <w:sz w:val="1"/>
                <w:szCs w:val="1"/>
                <w:color w:val="auto"/>
              </w:rPr>
            </w:pPr>
          </w:p>
        </w:tc>
      </w:tr>
      <w:tr>
        <w:trPr>
          <w:trHeight w:val="27"/>
        </w:trPr>
        <w:tc>
          <w:tcPr>
            <w:tcW w:w="3320" w:type="dxa"/>
            <w:vAlign w:val="bottom"/>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6"/>
        </w:trPr>
        <w:tc>
          <w:tcPr>
            <w:tcW w:w="3320" w:type="dxa"/>
            <w:vAlign w:val="bottom"/>
          </w:tcPr>
          <w:p>
            <w:pPr>
              <w:spacing w:after="0"/>
              <w:rPr>
                <w:sz w:val="20"/>
                <w:szCs w:val="20"/>
                <w:color w:val="auto"/>
              </w:rPr>
            </w:pPr>
          </w:p>
        </w:tc>
        <w:tc>
          <w:tcPr>
            <w:tcW w:w="1320" w:type="dxa"/>
            <w:vAlign w:val="bottom"/>
          </w:tcPr>
          <w:p>
            <w:pPr>
              <w:jc w:val="right"/>
              <w:ind w:right="50"/>
              <w:spacing w:after="0"/>
              <w:rPr>
                <w:sz w:val="20"/>
                <w:szCs w:val="20"/>
                <w:color w:val="auto"/>
              </w:rPr>
            </w:pPr>
            <w:r>
              <w:rPr>
                <w:rFonts w:ascii="Arial" w:cs="Arial" w:eastAsia="Arial" w:hAnsi="Arial"/>
                <w:sz w:val="18"/>
                <w:szCs w:val="18"/>
                <w:b w:val="1"/>
                <w:bCs w:val="1"/>
                <w:color w:val="auto"/>
              </w:rPr>
              <w:t>2018</w:t>
            </w:r>
          </w:p>
        </w:tc>
        <w:tc>
          <w:tcPr>
            <w:tcW w:w="6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80" w:type="dxa"/>
            <w:vAlign w:val="bottom"/>
          </w:tcPr>
          <w:p>
            <w:pPr>
              <w:jc w:val="right"/>
              <w:ind w:right="50"/>
              <w:spacing w:after="0"/>
              <w:rPr>
                <w:sz w:val="20"/>
                <w:szCs w:val="20"/>
                <w:color w:val="auto"/>
              </w:rPr>
            </w:pPr>
            <w:r>
              <w:rPr>
                <w:rFonts w:ascii="Arial" w:cs="Arial" w:eastAsia="Arial" w:hAnsi="Arial"/>
                <w:sz w:val="18"/>
                <w:szCs w:val="18"/>
                <w:b w:val="1"/>
                <w:bCs w:val="1"/>
                <w:color w:val="auto"/>
              </w:rPr>
              <w:t>2017</w:t>
            </w:r>
          </w:p>
        </w:tc>
        <w:tc>
          <w:tcPr>
            <w:tcW w:w="6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480" w:type="dxa"/>
            <w:vAlign w:val="bottom"/>
          </w:tcPr>
          <w:p>
            <w:pPr>
              <w:jc w:val="right"/>
              <w:ind w:right="690"/>
              <w:spacing w:after="0"/>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480" w:type="dxa"/>
            <w:vAlign w:val="bottom"/>
          </w:tcPr>
          <w:p>
            <w:pPr>
              <w:jc w:val="right"/>
              <w:ind w:right="690"/>
              <w:spacing w:after="0"/>
              <w:rPr>
                <w:sz w:val="20"/>
                <w:szCs w:val="20"/>
                <w:color w:val="auto"/>
              </w:rPr>
            </w:pPr>
            <w:r>
              <w:rPr>
                <w:rFonts w:ascii="Arial" w:cs="Arial" w:eastAsia="Arial" w:hAnsi="Arial"/>
                <w:sz w:val="18"/>
                <w:szCs w:val="18"/>
                <w:b w:val="1"/>
                <w:bCs w:val="1"/>
                <w:color w:val="auto"/>
              </w:rPr>
              <w:t>2017</w:t>
            </w:r>
          </w:p>
        </w:tc>
        <w:tc>
          <w:tcPr>
            <w:tcW w:w="0" w:type="dxa"/>
            <w:vAlign w:val="bottom"/>
          </w:tcPr>
          <w:p>
            <w:pPr>
              <w:spacing w:after="0"/>
              <w:rPr>
                <w:sz w:val="1"/>
                <w:szCs w:val="1"/>
                <w:color w:val="auto"/>
              </w:rPr>
            </w:pPr>
          </w:p>
        </w:tc>
      </w:tr>
      <w:tr>
        <w:trPr>
          <w:trHeight w:val="27"/>
        </w:trPr>
        <w:tc>
          <w:tcPr>
            <w:tcW w:w="3320" w:type="dxa"/>
            <w:vAlign w:val="bottom"/>
            <w:tcBorders>
              <w:bottom w:val="single" w:sz="8" w:color="CCEEFF"/>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3"/>
        </w:trPr>
        <w:tc>
          <w:tcPr>
            <w:tcW w:w="3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GAAP net loss</w:t>
            </w:r>
          </w:p>
        </w:tc>
        <w:tc>
          <w:tcPr>
            <w:tcW w:w="1320" w:type="dxa"/>
            <w:vAlign w:val="bottom"/>
            <w:tcBorders>
              <w:bottom w:val="single" w:sz="8" w:color="CCEEFF"/>
            </w:tcBorders>
            <w:shd w:val="clear" w:color="auto" w:fill="CCEEFF"/>
          </w:tcPr>
          <w:p>
            <w:pPr>
              <w:jc w:val="right"/>
              <w:ind w:right="1110"/>
              <w:spacing w:after="0"/>
              <w:rPr>
                <w:sz w:val="20"/>
                <w:szCs w:val="20"/>
                <w:color w:val="auto"/>
              </w:rPr>
            </w:pPr>
            <w:r>
              <w:rPr>
                <w:rFonts w:ascii="Arial" w:cs="Arial" w:eastAsia="Arial" w:hAnsi="Arial"/>
                <w:sz w:val="18"/>
                <w:szCs w:val="18"/>
                <w:color w:val="auto"/>
                <w:w w:val="99"/>
              </w:rPr>
              <w:t>$</w:t>
            </w:r>
          </w:p>
        </w:tc>
        <w:tc>
          <w:tcPr>
            <w:tcW w:w="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(4.1)</w:t>
            </w: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1070"/>
              <w:spacing w:after="0"/>
              <w:rPr>
                <w:sz w:val="20"/>
                <w:szCs w:val="20"/>
                <w:color w:val="auto"/>
              </w:rPr>
            </w:pPr>
            <w:r>
              <w:rPr>
                <w:rFonts w:ascii="Arial" w:cs="Arial" w:eastAsia="Arial" w:hAnsi="Arial"/>
                <w:sz w:val="18"/>
                <w:szCs w:val="18"/>
                <w:color w:val="auto"/>
                <w:w w:val="99"/>
              </w:rPr>
              <w:t>$</w:t>
            </w:r>
          </w:p>
        </w:tc>
        <w:tc>
          <w:tcPr>
            <w:tcW w:w="6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(26.8)</w:t>
            </w:r>
          </w:p>
        </w:tc>
        <w:tc>
          <w:tcPr>
            <w:tcW w:w="12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14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(469.6)</w:t>
            </w:r>
          </w:p>
        </w:tc>
        <w:tc>
          <w:tcPr>
            <w:tcW w:w="12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color w:val="auto"/>
                <w:w w:val="79"/>
              </w:rPr>
              <w:t>$</w:t>
            </w:r>
          </w:p>
        </w:tc>
        <w:tc>
          <w:tcPr>
            <w:tcW w:w="14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(59.9)</w:t>
            </w:r>
          </w:p>
        </w:tc>
        <w:tc>
          <w:tcPr>
            <w:tcW w:w="0" w:type="dxa"/>
            <w:vAlign w:val="bottom"/>
          </w:tcPr>
          <w:p>
            <w:pPr>
              <w:spacing w:after="0"/>
              <w:rPr>
                <w:sz w:val="1"/>
                <w:szCs w:val="1"/>
                <w:color w:val="auto"/>
              </w:rPr>
            </w:pPr>
          </w:p>
        </w:tc>
      </w:tr>
      <w:tr>
        <w:trPr>
          <w:trHeight w:val="243"/>
        </w:trPr>
        <w:tc>
          <w:tcPr>
            <w:tcW w:w="3320" w:type="dxa"/>
            <w:vAlign w:val="bottom"/>
          </w:tcPr>
          <w:p>
            <w:pPr>
              <w:ind w:left="40"/>
              <w:spacing w:after="0"/>
              <w:rPr>
                <w:sz w:val="20"/>
                <w:szCs w:val="20"/>
                <w:color w:val="auto"/>
              </w:rPr>
            </w:pPr>
            <w:r>
              <w:rPr>
                <w:rFonts w:ascii="Arial" w:cs="Arial" w:eastAsia="Arial" w:hAnsi="Arial"/>
                <w:sz w:val="18"/>
                <w:szCs w:val="18"/>
                <w:color w:val="auto"/>
              </w:rPr>
              <w:t>Stock-based compensation</w:t>
            </w:r>
          </w:p>
        </w:tc>
        <w:tc>
          <w:tcPr>
            <w:tcW w:w="1320" w:type="dxa"/>
            <w:vAlign w:val="bottom"/>
          </w:tcPr>
          <w:p>
            <w:pPr>
              <w:spacing w:after="0"/>
              <w:rPr>
                <w:sz w:val="21"/>
                <w:szCs w:val="21"/>
                <w:color w:val="auto"/>
              </w:rPr>
            </w:pPr>
          </w:p>
        </w:tc>
        <w:tc>
          <w:tcPr>
            <w:tcW w:w="660" w:type="dxa"/>
            <w:vAlign w:val="bottom"/>
          </w:tcPr>
          <w:p>
            <w:pPr>
              <w:jc w:val="right"/>
              <w:ind w:right="30"/>
              <w:spacing w:after="0"/>
              <w:rPr>
                <w:sz w:val="20"/>
                <w:szCs w:val="20"/>
                <w:color w:val="auto"/>
              </w:rPr>
            </w:pPr>
            <w:r>
              <w:rPr>
                <w:rFonts w:ascii="Arial" w:cs="Arial" w:eastAsia="Arial" w:hAnsi="Arial"/>
                <w:sz w:val="18"/>
                <w:szCs w:val="18"/>
                <w:color w:val="auto"/>
              </w:rPr>
              <w:t>55.1</w:t>
            </w:r>
          </w:p>
        </w:tc>
        <w:tc>
          <w:tcPr>
            <w:tcW w:w="120" w:type="dxa"/>
            <w:vAlign w:val="bottom"/>
          </w:tcPr>
          <w:p>
            <w:pPr>
              <w:spacing w:after="0"/>
              <w:rPr>
                <w:sz w:val="21"/>
                <w:szCs w:val="21"/>
                <w:color w:val="auto"/>
              </w:rPr>
            </w:pPr>
          </w:p>
        </w:tc>
        <w:tc>
          <w:tcPr>
            <w:tcW w:w="1280" w:type="dxa"/>
            <w:vAlign w:val="bottom"/>
          </w:tcPr>
          <w:p>
            <w:pPr>
              <w:spacing w:after="0"/>
              <w:rPr>
                <w:sz w:val="21"/>
                <w:szCs w:val="21"/>
                <w:color w:val="auto"/>
              </w:rPr>
            </w:pPr>
          </w:p>
        </w:tc>
        <w:tc>
          <w:tcPr>
            <w:tcW w:w="640" w:type="dxa"/>
            <w:vAlign w:val="bottom"/>
          </w:tcPr>
          <w:p>
            <w:pPr>
              <w:jc w:val="right"/>
              <w:ind w:right="10"/>
              <w:spacing w:after="0"/>
              <w:rPr>
                <w:sz w:val="20"/>
                <w:szCs w:val="20"/>
                <w:color w:val="auto"/>
              </w:rPr>
            </w:pPr>
            <w:r>
              <w:rPr>
                <w:rFonts w:ascii="Arial" w:cs="Arial" w:eastAsia="Arial" w:hAnsi="Arial"/>
                <w:sz w:val="18"/>
                <w:szCs w:val="18"/>
                <w:color w:val="auto"/>
              </w:rPr>
              <w:t>38.7</w:t>
            </w:r>
          </w:p>
        </w:tc>
        <w:tc>
          <w:tcPr>
            <w:tcW w:w="1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480" w:type="dxa"/>
            <w:vAlign w:val="bottom"/>
          </w:tcPr>
          <w:p>
            <w:pPr>
              <w:jc w:val="right"/>
              <w:ind w:right="10"/>
              <w:spacing w:after="0"/>
              <w:rPr>
                <w:sz w:val="20"/>
                <w:szCs w:val="20"/>
                <w:color w:val="auto"/>
              </w:rPr>
            </w:pPr>
            <w:r>
              <w:rPr>
                <w:rFonts w:ascii="Arial" w:cs="Arial" w:eastAsia="Arial" w:hAnsi="Arial"/>
                <w:sz w:val="18"/>
                <w:szCs w:val="18"/>
                <w:color w:val="auto"/>
              </w:rPr>
              <w:t>541.6</w:t>
            </w:r>
          </w:p>
        </w:tc>
        <w:tc>
          <w:tcPr>
            <w:tcW w:w="1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480" w:type="dxa"/>
            <w:vAlign w:val="bottom"/>
          </w:tcPr>
          <w:p>
            <w:pPr>
              <w:jc w:val="right"/>
              <w:ind w:right="10"/>
              <w:spacing w:after="0"/>
              <w:rPr>
                <w:sz w:val="20"/>
                <w:szCs w:val="20"/>
                <w:color w:val="auto"/>
              </w:rPr>
            </w:pPr>
            <w:r>
              <w:rPr>
                <w:rFonts w:ascii="Arial" w:cs="Arial" w:eastAsia="Arial" w:hAnsi="Arial"/>
                <w:sz w:val="18"/>
                <w:szCs w:val="18"/>
                <w:color w:val="auto"/>
              </w:rPr>
              <w:t>77.5</w:t>
            </w:r>
          </w:p>
        </w:tc>
        <w:tc>
          <w:tcPr>
            <w:tcW w:w="0" w:type="dxa"/>
            <w:vAlign w:val="bottom"/>
          </w:tcPr>
          <w:p>
            <w:pPr>
              <w:spacing w:after="0"/>
              <w:rPr>
                <w:sz w:val="1"/>
                <w:szCs w:val="1"/>
                <w:color w:val="auto"/>
              </w:rPr>
            </w:pPr>
          </w:p>
        </w:tc>
      </w:tr>
      <w:tr>
        <w:trPr>
          <w:trHeight w:val="27"/>
        </w:trPr>
        <w:tc>
          <w:tcPr>
            <w:tcW w:w="33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4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40" w:type="dxa"/>
            <w:vAlign w:val="bottom"/>
          </w:tcPr>
          <w:p>
            <w:pPr>
              <w:spacing w:after="0"/>
              <w:rPr>
                <w:sz w:val="2"/>
                <w:szCs w:val="2"/>
                <w:color w:val="auto"/>
              </w:rPr>
            </w:pPr>
          </w:p>
        </w:tc>
        <w:tc>
          <w:tcPr>
            <w:tcW w:w="14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8"/>
        </w:trPr>
        <w:tc>
          <w:tcPr>
            <w:tcW w:w="3320" w:type="dxa"/>
            <w:vAlign w:val="bottom"/>
            <w:shd w:val="clear" w:color="auto" w:fill="CCEEFF"/>
          </w:tcPr>
          <w:p>
            <w:pPr>
              <w:ind w:left="40"/>
              <w:spacing w:after="0"/>
              <w:rPr>
                <w:sz w:val="20"/>
                <w:szCs w:val="20"/>
                <w:color w:val="auto"/>
              </w:rPr>
            </w:pPr>
            <w:r>
              <w:rPr>
                <w:rFonts w:ascii="Arial" w:cs="Arial" w:eastAsia="Arial" w:hAnsi="Arial"/>
                <w:sz w:val="18"/>
                <w:szCs w:val="18"/>
                <w:color w:val="auto"/>
                <w:w w:val="91"/>
              </w:rPr>
              <w:t>Employer payroll taxes related to the release</w:t>
            </w:r>
          </w:p>
        </w:tc>
        <w:tc>
          <w:tcPr>
            <w:tcW w:w="1320" w:type="dxa"/>
            <w:vAlign w:val="bottom"/>
            <w:shd w:val="clear" w:color="auto" w:fill="CCEEFF"/>
          </w:tcPr>
          <w:p>
            <w:pPr>
              <w:spacing w:after="0"/>
              <w:rPr>
                <w:sz w:val="19"/>
                <w:szCs w:val="19"/>
                <w:color w:val="auto"/>
              </w:rPr>
            </w:pPr>
          </w:p>
        </w:tc>
        <w:tc>
          <w:tcPr>
            <w:tcW w:w="6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80" w:type="dxa"/>
            <w:vAlign w:val="bottom"/>
            <w:shd w:val="clear" w:color="auto" w:fill="CCEEFF"/>
          </w:tcPr>
          <w:p>
            <w:pPr>
              <w:spacing w:after="0"/>
              <w:rPr>
                <w:sz w:val="19"/>
                <w:szCs w:val="19"/>
                <w:color w:val="auto"/>
              </w:rPr>
            </w:pPr>
          </w:p>
        </w:tc>
        <w:tc>
          <w:tcPr>
            <w:tcW w:w="6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14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14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3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of two-tier RSUs</w:t>
            </w:r>
          </w:p>
        </w:tc>
        <w:tc>
          <w:tcPr>
            <w:tcW w:w="132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280" w:type="dxa"/>
            <w:vAlign w:val="bottom"/>
            <w:tcBorders>
              <w:bottom w:val="single" w:sz="8" w:color="CCEEFF"/>
            </w:tcBorders>
            <w:shd w:val="clear" w:color="auto" w:fill="CCEEFF"/>
          </w:tcPr>
          <w:p>
            <w:pPr>
              <w:spacing w:after="0"/>
              <w:rPr>
                <w:sz w:val="20"/>
                <w:szCs w:val="20"/>
                <w:color w:val="auto"/>
              </w:rPr>
            </w:pPr>
          </w:p>
        </w:tc>
        <w:tc>
          <w:tcPr>
            <w:tcW w:w="7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440" w:type="dxa"/>
            <w:vAlign w:val="bottom"/>
            <w:tcBorders>
              <w:bottom w:val="single" w:sz="8" w:color="CCEEFF"/>
            </w:tcBorders>
            <w:shd w:val="clear" w:color="auto" w:fill="CCEEFF"/>
          </w:tcPr>
          <w:p>
            <w:pPr>
              <w:spacing w:after="0"/>
              <w:rPr>
                <w:sz w:val="20"/>
                <w:szCs w:val="20"/>
                <w:color w:val="auto"/>
              </w:rPr>
            </w:pPr>
          </w:p>
        </w:tc>
        <w:tc>
          <w:tcPr>
            <w:tcW w:w="14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13.9</w:t>
            </w:r>
          </w:p>
        </w:tc>
        <w:tc>
          <w:tcPr>
            <w:tcW w:w="120" w:type="dxa"/>
            <w:vAlign w:val="bottom"/>
            <w:tcBorders>
              <w:bottom w:val="single" w:sz="8" w:color="CCEEFF"/>
            </w:tcBorders>
            <w:shd w:val="clear" w:color="auto" w:fill="CCEEFF"/>
          </w:tcPr>
          <w:p>
            <w:pPr>
              <w:spacing w:after="0"/>
              <w:rPr>
                <w:sz w:val="20"/>
                <w:szCs w:val="20"/>
                <w:color w:val="auto"/>
              </w:rPr>
            </w:pPr>
          </w:p>
        </w:tc>
        <w:tc>
          <w:tcPr>
            <w:tcW w:w="440" w:type="dxa"/>
            <w:vAlign w:val="bottom"/>
            <w:tcBorders>
              <w:bottom w:val="single" w:sz="8" w:color="CCEEFF"/>
            </w:tcBorders>
            <w:shd w:val="clear" w:color="auto" w:fill="CCEEFF"/>
          </w:tcPr>
          <w:p>
            <w:pPr>
              <w:spacing w:after="0"/>
              <w:rPr>
                <w:sz w:val="20"/>
                <w:szCs w:val="20"/>
                <w:color w:val="auto"/>
              </w:rPr>
            </w:pPr>
          </w:p>
        </w:tc>
        <w:tc>
          <w:tcPr>
            <w:tcW w:w="14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8"/>
        </w:trPr>
        <w:tc>
          <w:tcPr>
            <w:tcW w:w="3320" w:type="dxa"/>
            <w:vAlign w:val="bottom"/>
          </w:tcPr>
          <w:p>
            <w:pPr>
              <w:ind w:left="40"/>
              <w:spacing w:after="0"/>
              <w:rPr>
                <w:sz w:val="20"/>
                <w:szCs w:val="20"/>
                <w:color w:val="auto"/>
              </w:rPr>
            </w:pPr>
            <w:r>
              <w:rPr>
                <w:rFonts w:ascii="Arial" w:cs="Arial" w:eastAsia="Arial" w:hAnsi="Arial"/>
                <w:sz w:val="18"/>
                <w:szCs w:val="18"/>
                <w:color w:val="auto"/>
                <w:w w:val="96"/>
              </w:rPr>
              <w:t>Donation of common stock to the Dropbox</w:t>
            </w:r>
          </w:p>
        </w:tc>
        <w:tc>
          <w:tcPr>
            <w:tcW w:w="13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4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4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320" w:type="dxa"/>
            <w:vAlign w:val="bottom"/>
          </w:tcPr>
          <w:p>
            <w:pPr>
              <w:ind w:left="40"/>
              <w:spacing w:after="0"/>
              <w:rPr>
                <w:sz w:val="20"/>
                <w:szCs w:val="20"/>
                <w:color w:val="auto"/>
              </w:rPr>
            </w:pPr>
            <w:r>
              <w:rPr>
                <w:rFonts w:ascii="Arial" w:cs="Arial" w:eastAsia="Arial" w:hAnsi="Arial"/>
                <w:sz w:val="18"/>
                <w:szCs w:val="18"/>
                <w:color w:val="auto"/>
              </w:rPr>
              <w:t>Foundation</w:t>
            </w:r>
          </w:p>
        </w:tc>
        <w:tc>
          <w:tcPr>
            <w:tcW w:w="1320" w:type="dxa"/>
            <w:vAlign w:val="bottom"/>
          </w:tcPr>
          <w:p>
            <w:pPr>
              <w:spacing w:after="0"/>
              <w:rPr>
                <w:sz w:val="20"/>
                <w:szCs w:val="20"/>
                <w:color w:val="auto"/>
              </w:rPr>
            </w:pPr>
          </w:p>
        </w:tc>
        <w:tc>
          <w:tcPr>
            <w:tcW w:w="7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280" w:type="dxa"/>
            <w:vAlign w:val="bottom"/>
          </w:tcPr>
          <w:p>
            <w:pPr>
              <w:spacing w:after="0"/>
              <w:rPr>
                <w:sz w:val="20"/>
                <w:szCs w:val="20"/>
                <w:color w:val="auto"/>
              </w:rPr>
            </w:pPr>
          </w:p>
        </w:tc>
        <w:tc>
          <w:tcPr>
            <w:tcW w:w="640" w:type="dxa"/>
            <w:vAlign w:val="bottom"/>
          </w:tcPr>
          <w:p>
            <w:pPr>
              <w:jc w:val="right"/>
              <w:ind w:right="10"/>
              <w:spacing w:after="0"/>
              <w:rPr>
                <w:sz w:val="20"/>
                <w:szCs w:val="20"/>
                <w:color w:val="auto"/>
              </w:rPr>
            </w:pPr>
            <w:r>
              <w:rPr>
                <w:rFonts w:ascii="Arial" w:cs="Arial" w:eastAsia="Arial" w:hAnsi="Arial"/>
                <w:sz w:val="18"/>
                <w:szCs w:val="18"/>
                <w:color w:val="auto"/>
              </w:rPr>
              <w:t>9.4</w:t>
            </w:r>
          </w:p>
        </w:tc>
        <w:tc>
          <w:tcPr>
            <w:tcW w:w="1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6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440" w:type="dxa"/>
            <w:vAlign w:val="bottom"/>
          </w:tcPr>
          <w:p>
            <w:pPr>
              <w:spacing w:after="0"/>
              <w:rPr>
                <w:sz w:val="20"/>
                <w:szCs w:val="20"/>
                <w:color w:val="auto"/>
              </w:rPr>
            </w:pPr>
          </w:p>
        </w:tc>
        <w:tc>
          <w:tcPr>
            <w:tcW w:w="1480" w:type="dxa"/>
            <w:vAlign w:val="bottom"/>
          </w:tcPr>
          <w:p>
            <w:pPr>
              <w:jc w:val="right"/>
              <w:ind w:right="10"/>
              <w:spacing w:after="0"/>
              <w:rPr>
                <w:sz w:val="20"/>
                <w:szCs w:val="20"/>
                <w:color w:val="auto"/>
              </w:rPr>
            </w:pPr>
            <w:r>
              <w:rPr>
                <w:rFonts w:ascii="Arial" w:cs="Arial" w:eastAsia="Arial" w:hAnsi="Arial"/>
                <w:sz w:val="18"/>
                <w:szCs w:val="18"/>
                <w:color w:val="auto"/>
              </w:rPr>
              <w:t>9.4</w:t>
            </w:r>
          </w:p>
        </w:tc>
        <w:tc>
          <w:tcPr>
            <w:tcW w:w="0" w:type="dxa"/>
            <w:vAlign w:val="bottom"/>
          </w:tcPr>
          <w:p>
            <w:pPr>
              <w:spacing w:after="0"/>
              <w:rPr>
                <w:sz w:val="1"/>
                <w:szCs w:val="1"/>
                <w:color w:val="auto"/>
              </w:rPr>
            </w:pPr>
          </w:p>
        </w:tc>
      </w:tr>
      <w:tr>
        <w:trPr>
          <w:trHeight w:val="27"/>
        </w:trPr>
        <w:tc>
          <w:tcPr>
            <w:tcW w:w="33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4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40" w:type="dxa"/>
            <w:vAlign w:val="bottom"/>
          </w:tcPr>
          <w:p>
            <w:pPr>
              <w:spacing w:after="0"/>
              <w:rPr>
                <w:sz w:val="2"/>
                <w:szCs w:val="2"/>
                <w:color w:val="auto"/>
              </w:rPr>
            </w:pPr>
          </w:p>
        </w:tc>
        <w:tc>
          <w:tcPr>
            <w:tcW w:w="14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8"/>
        </w:trPr>
        <w:tc>
          <w:tcPr>
            <w:tcW w:w="3320" w:type="dxa"/>
            <w:vAlign w:val="bottom"/>
            <w:shd w:val="clear" w:color="auto" w:fill="CCEEFF"/>
          </w:tcPr>
          <w:p>
            <w:pPr>
              <w:ind w:left="40"/>
              <w:spacing w:after="0"/>
              <w:rPr>
                <w:sz w:val="20"/>
                <w:szCs w:val="20"/>
                <w:color w:val="auto"/>
              </w:rPr>
            </w:pPr>
            <w:r>
              <w:rPr>
                <w:rFonts w:ascii="Arial" w:cs="Arial" w:eastAsia="Arial" w:hAnsi="Arial"/>
                <w:sz w:val="18"/>
                <w:szCs w:val="18"/>
                <w:color w:val="auto"/>
              </w:rPr>
              <w:t>Income tax effects of non-GAAP</w:t>
            </w:r>
          </w:p>
        </w:tc>
        <w:tc>
          <w:tcPr>
            <w:tcW w:w="1320" w:type="dxa"/>
            <w:vAlign w:val="bottom"/>
            <w:shd w:val="clear" w:color="auto" w:fill="CCEEFF"/>
          </w:tcPr>
          <w:p>
            <w:pPr>
              <w:spacing w:after="0"/>
              <w:rPr>
                <w:sz w:val="19"/>
                <w:szCs w:val="19"/>
                <w:color w:val="auto"/>
              </w:rPr>
            </w:pPr>
          </w:p>
        </w:tc>
        <w:tc>
          <w:tcPr>
            <w:tcW w:w="6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80" w:type="dxa"/>
            <w:vAlign w:val="bottom"/>
            <w:shd w:val="clear" w:color="auto" w:fill="CCEEFF"/>
          </w:tcPr>
          <w:p>
            <w:pPr>
              <w:spacing w:after="0"/>
              <w:rPr>
                <w:sz w:val="19"/>
                <w:szCs w:val="19"/>
                <w:color w:val="auto"/>
              </w:rPr>
            </w:pPr>
          </w:p>
        </w:tc>
        <w:tc>
          <w:tcPr>
            <w:tcW w:w="6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14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14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57"/>
        </w:trPr>
        <w:tc>
          <w:tcPr>
            <w:tcW w:w="3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adjustments</w:t>
            </w:r>
          </w:p>
        </w:tc>
        <w:tc>
          <w:tcPr>
            <w:tcW w:w="1320" w:type="dxa"/>
            <w:vAlign w:val="bottom"/>
            <w:tcBorders>
              <w:bottom w:val="single" w:sz="8" w:color="CCEEFF"/>
            </w:tcBorders>
            <w:shd w:val="clear" w:color="auto" w:fill="CCEEFF"/>
          </w:tcPr>
          <w:p>
            <w:pPr>
              <w:spacing w:after="0"/>
              <w:rPr>
                <w:sz w:val="22"/>
                <w:szCs w:val="22"/>
                <w:color w:val="auto"/>
              </w:rPr>
            </w:pPr>
          </w:p>
        </w:tc>
        <w:tc>
          <w:tcPr>
            <w:tcW w:w="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w:t>
            </w:r>
          </w:p>
        </w:tc>
        <w:tc>
          <w:tcPr>
            <w:tcW w:w="120" w:type="dxa"/>
            <w:vAlign w:val="bottom"/>
            <w:tcBorders>
              <w:bottom w:val="single" w:sz="8" w:color="CCEEFF"/>
            </w:tcBorders>
            <w:shd w:val="clear" w:color="auto" w:fill="CCEEFF"/>
          </w:tcPr>
          <w:p>
            <w:pPr>
              <w:spacing w:after="0"/>
              <w:rPr>
                <w:sz w:val="22"/>
                <w:szCs w:val="22"/>
                <w:color w:val="auto"/>
              </w:rPr>
            </w:pPr>
          </w:p>
        </w:tc>
        <w:tc>
          <w:tcPr>
            <w:tcW w:w="1280" w:type="dxa"/>
            <w:vAlign w:val="bottom"/>
            <w:tcBorders>
              <w:bottom w:val="single" w:sz="8" w:color="CCEEFF"/>
            </w:tcBorders>
            <w:shd w:val="clear" w:color="auto" w:fill="CCEEFF"/>
          </w:tcPr>
          <w:p>
            <w:pPr>
              <w:spacing w:after="0"/>
              <w:rPr>
                <w:sz w:val="22"/>
                <w:szCs w:val="22"/>
                <w:color w:val="auto"/>
              </w:rPr>
            </w:pPr>
          </w:p>
        </w:tc>
        <w:tc>
          <w:tcPr>
            <w:tcW w:w="6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w:t>
            </w:r>
          </w:p>
        </w:tc>
        <w:tc>
          <w:tcPr>
            <w:tcW w:w="120" w:type="dxa"/>
            <w:vAlign w:val="bottom"/>
            <w:tcBorders>
              <w:bottom w:val="single" w:sz="8" w:color="CCEEFF"/>
            </w:tcBorders>
            <w:shd w:val="clear" w:color="auto" w:fill="CCEEFF"/>
          </w:tcPr>
          <w:p>
            <w:pPr>
              <w:spacing w:after="0"/>
              <w:rPr>
                <w:sz w:val="22"/>
                <w:szCs w:val="22"/>
                <w:color w:val="auto"/>
              </w:rPr>
            </w:pPr>
          </w:p>
        </w:tc>
        <w:tc>
          <w:tcPr>
            <w:tcW w:w="440" w:type="dxa"/>
            <w:vAlign w:val="bottom"/>
            <w:tcBorders>
              <w:bottom w:val="single" w:sz="8" w:color="CCEEFF"/>
            </w:tcBorders>
            <w:shd w:val="clear" w:color="auto" w:fill="CCEEFF"/>
          </w:tcPr>
          <w:p>
            <w:pPr>
              <w:spacing w:after="0"/>
              <w:rPr>
                <w:sz w:val="22"/>
                <w:szCs w:val="22"/>
                <w:color w:val="auto"/>
              </w:rPr>
            </w:pPr>
          </w:p>
        </w:tc>
        <w:tc>
          <w:tcPr>
            <w:tcW w:w="14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(7.0)</w:t>
            </w:r>
          </w:p>
        </w:tc>
        <w:tc>
          <w:tcPr>
            <w:tcW w:w="120" w:type="dxa"/>
            <w:vAlign w:val="bottom"/>
            <w:tcBorders>
              <w:bottom w:val="single" w:sz="8" w:color="CCEEFF"/>
            </w:tcBorders>
            <w:shd w:val="clear" w:color="auto" w:fill="CCEEFF"/>
          </w:tcPr>
          <w:p>
            <w:pPr>
              <w:spacing w:after="0"/>
              <w:rPr>
                <w:sz w:val="22"/>
                <w:szCs w:val="22"/>
                <w:color w:val="auto"/>
              </w:rPr>
            </w:pPr>
          </w:p>
        </w:tc>
        <w:tc>
          <w:tcPr>
            <w:tcW w:w="440" w:type="dxa"/>
            <w:vAlign w:val="bottom"/>
            <w:tcBorders>
              <w:bottom w:val="single" w:sz="8" w:color="CCEEFF"/>
            </w:tcBorders>
            <w:shd w:val="clear" w:color="auto" w:fill="CCEEFF"/>
          </w:tcPr>
          <w:p>
            <w:pPr>
              <w:spacing w:after="0"/>
              <w:rPr>
                <w:sz w:val="22"/>
                <w:szCs w:val="22"/>
                <w:color w:val="auto"/>
              </w:rPr>
            </w:pPr>
          </w:p>
        </w:tc>
        <w:tc>
          <w:tcPr>
            <w:tcW w:w="14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297"/>
        </w:trPr>
        <w:tc>
          <w:tcPr>
            <w:tcW w:w="3320" w:type="dxa"/>
            <w:vAlign w:val="bottom"/>
            <w:tcBorders>
              <w:bottom w:val="single" w:sz="8" w:color="CCEEFF"/>
            </w:tcBorders>
          </w:tcPr>
          <w:p>
            <w:pPr>
              <w:ind w:left="40"/>
              <w:spacing w:after="0"/>
              <w:rPr>
                <w:sz w:val="20"/>
                <w:szCs w:val="20"/>
                <w:color w:val="auto"/>
              </w:rPr>
            </w:pPr>
            <w:r>
              <w:rPr>
                <w:rFonts w:ascii="Arial" w:cs="Arial" w:eastAsia="Arial" w:hAnsi="Arial"/>
                <w:sz w:val="18"/>
                <w:szCs w:val="18"/>
                <w:color w:val="auto"/>
              </w:rPr>
              <w:t>Non-GAAP net income</w:t>
            </w:r>
          </w:p>
        </w:tc>
        <w:tc>
          <w:tcPr>
            <w:tcW w:w="1320" w:type="dxa"/>
            <w:vAlign w:val="bottom"/>
            <w:tcBorders>
              <w:top w:val="single" w:sz="8" w:color="auto"/>
              <w:bottom w:val="single" w:sz="8" w:color="auto"/>
            </w:tcBorders>
          </w:tcPr>
          <w:p>
            <w:pPr>
              <w:jc w:val="right"/>
              <w:ind w:right="1110"/>
              <w:spacing w:after="0"/>
              <w:rPr>
                <w:sz w:val="20"/>
                <w:szCs w:val="20"/>
                <w:color w:val="auto"/>
              </w:rPr>
            </w:pPr>
            <w:r>
              <w:rPr>
                <w:rFonts w:ascii="Arial" w:cs="Arial" w:eastAsia="Arial" w:hAnsi="Arial"/>
                <w:sz w:val="18"/>
                <w:szCs w:val="18"/>
                <w:color w:val="auto"/>
                <w:w w:val="99"/>
              </w:rPr>
              <w:t>$</w:t>
            </w:r>
          </w:p>
        </w:tc>
        <w:tc>
          <w:tcPr>
            <w:tcW w:w="66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48.0</w:t>
            </w:r>
          </w:p>
        </w:tc>
        <w:tc>
          <w:tcPr>
            <w:tcW w:w="120" w:type="dxa"/>
            <w:vAlign w:val="bottom"/>
            <w:tcBorders>
              <w:bottom w:val="single" w:sz="8" w:color="CCEEFF"/>
            </w:tcBorders>
          </w:tcPr>
          <w:p>
            <w:pPr>
              <w:spacing w:after="0"/>
              <w:rPr>
                <w:sz w:val="24"/>
                <w:szCs w:val="24"/>
                <w:color w:val="auto"/>
              </w:rPr>
            </w:pPr>
          </w:p>
        </w:tc>
        <w:tc>
          <w:tcPr>
            <w:tcW w:w="1280" w:type="dxa"/>
            <w:vAlign w:val="bottom"/>
            <w:tcBorders>
              <w:top w:val="single" w:sz="8" w:color="auto"/>
              <w:bottom w:val="single" w:sz="8" w:color="auto"/>
            </w:tcBorders>
          </w:tcPr>
          <w:p>
            <w:pPr>
              <w:jc w:val="right"/>
              <w:ind w:right="1070"/>
              <w:spacing w:after="0"/>
              <w:rPr>
                <w:sz w:val="20"/>
                <w:szCs w:val="20"/>
                <w:color w:val="auto"/>
              </w:rPr>
            </w:pPr>
            <w:r>
              <w:rPr>
                <w:rFonts w:ascii="Arial" w:cs="Arial" w:eastAsia="Arial" w:hAnsi="Arial"/>
                <w:sz w:val="18"/>
                <w:szCs w:val="18"/>
                <w:color w:val="auto"/>
                <w:w w:val="99"/>
              </w:rPr>
              <w:t>$</w:t>
            </w:r>
          </w:p>
        </w:tc>
        <w:tc>
          <w:tcPr>
            <w:tcW w:w="6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20.0</w:t>
            </w:r>
          </w:p>
        </w:tc>
        <w:tc>
          <w:tcPr>
            <w:tcW w:w="120" w:type="dxa"/>
            <w:vAlign w:val="bottom"/>
            <w:tcBorders>
              <w:bottom w:val="single" w:sz="8" w:color="CCEEFF"/>
            </w:tcBorders>
          </w:tcPr>
          <w:p>
            <w:pPr>
              <w:spacing w:after="0"/>
              <w:rPr>
                <w:sz w:val="24"/>
                <w:szCs w:val="24"/>
                <w:color w:val="auto"/>
              </w:rPr>
            </w:pPr>
          </w:p>
        </w:tc>
        <w:tc>
          <w:tcPr>
            <w:tcW w:w="440" w:type="dxa"/>
            <w:vAlign w:val="bottom"/>
            <w:tcBorders>
              <w:top w:val="single" w:sz="8" w:color="auto"/>
              <w:bottom w:val="single" w:sz="8" w:color="auto"/>
            </w:tcBorders>
          </w:tcPr>
          <w:p>
            <w:pPr>
              <w:jc w:val="right"/>
              <w:ind w:right="230"/>
              <w:spacing w:after="0"/>
              <w:rPr>
                <w:sz w:val="20"/>
                <w:szCs w:val="20"/>
                <w:color w:val="auto"/>
              </w:rPr>
            </w:pPr>
            <w:r>
              <w:rPr>
                <w:rFonts w:ascii="Arial" w:cs="Arial" w:eastAsia="Arial" w:hAnsi="Arial"/>
                <w:sz w:val="18"/>
                <w:szCs w:val="18"/>
                <w:color w:val="auto"/>
                <w:w w:val="99"/>
              </w:rPr>
              <w:t>$</w:t>
            </w:r>
          </w:p>
        </w:tc>
        <w:tc>
          <w:tcPr>
            <w:tcW w:w="148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78.9</w:t>
            </w:r>
          </w:p>
        </w:tc>
        <w:tc>
          <w:tcPr>
            <w:tcW w:w="120" w:type="dxa"/>
            <w:vAlign w:val="bottom"/>
            <w:tcBorders>
              <w:bottom w:val="single" w:sz="8" w:color="CCEEFF"/>
            </w:tcBorders>
          </w:tcPr>
          <w:p>
            <w:pPr>
              <w:spacing w:after="0"/>
              <w:rPr>
                <w:sz w:val="24"/>
                <w:szCs w:val="24"/>
                <w:color w:val="auto"/>
              </w:rPr>
            </w:pPr>
          </w:p>
        </w:tc>
        <w:tc>
          <w:tcPr>
            <w:tcW w:w="440" w:type="dxa"/>
            <w:vAlign w:val="bottom"/>
            <w:tcBorders>
              <w:top w:val="single" w:sz="8" w:color="auto"/>
              <w:bottom w:val="single" w:sz="8" w:color="auto"/>
            </w:tcBorders>
          </w:tcPr>
          <w:p>
            <w:pPr>
              <w:jc w:val="right"/>
              <w:ind w:right="250"/>
              <w:spacing w:after="0"/>
              <w:rPr>
                <w:sz w:val="20"/>
                <w:szCs w:val="20"/>
                <w:color w:val="auto"/>
              </w:rPr>
            </w:pPr>
            <w:r>
              <w:rPr>
                <w:rFonts w:ascii="Arial" w:cs="Arial" w:eastAsia="Arial" w:hAnsi="Arial"/>
                <w:sz w:val="18"/>
                <w:szCs w:val="18"/>
                <w:color w:val="auto"/>
                <w:w w:val="79"/>
              </w:rPr>
              <w:t>$</w:t>
            </w:r>
          </w:p>
        </w:tc>
        <w:tc>
          <w:tcPr>
            <w:tcW w:w="148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25.2</w:t>
            </w:r>
          </w:p>
        </w:tc>
        <w:tc>
          <w:tcPr>
            <w:tcW w:w="0" w:type="dxa"/>
            <w:vAlign w:val="bottom"/>
          </w:tcPr>
          <w:p>
            <w:pPr>
              <w:spacing w:after="0"/>
              <w:rPr>
                <w:sz w:val="1"/>
                <w:szCs w:val="1"/>
                <w:color w:val="auto"/>
              </w:rPr>
            </w:pPr>
          </w:p>
        </w:tc>
      </w:tr>
      <w:tr>
        <w:trPr>
          <w:trHeight w:val="250"/>
        </w:trPr>
        <w:tc>
          <w:tcPr>
            <w:tcW w:w="3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Non-GAAP diluted net income per share</w:t>
            </w:r>
          </w:p>
        </w:tc>
        <w:tc>
          <w:tcPr>
            <w:tcW w:w="1320" w:type="dxa"/>
            <w:vAlign w:val="bottom"/>
            <w:tcBorders>
              <w:bottom w:val="single" w:sz="8" w:color="auto"/>
            </w:tcBorders>
            <w:shd w:val="clear" w:color="auto" w:fill="CCEEFF"/>
          </w:tcPr>
          <w:p>
            <w:pPr>
              <w:jc w:val="right"/>
              <w:ind w:right="1110"/>
              <w:spacing w:after="0"/>
              <w:rPr>
                <w:sz w:val="20"/>
                <w:szCs w:val="20"/>
                <w:color w:val="auto"/>
              </w:rPr>
            </w:pPr>
            <w:r>
              <w:rPr>
                <w:rFonts w:ascii="Arial" w:cs="Arial" w:eastAsia="Arial" w:hAnsi="Arial"/>
                <w:sz w:val="18"/>
                <w:szCs w:val="18"/>
                <w:color w:val="auto"/>
                <w:w w:val="99"/>
              </w:rPr>
              <w:t>$</w:t>
            </w:r>
          </w:p>
        </w:tc>
        <w:tc>
          <w:tcPr>
            <w:tcW w:w="66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0.11</w:t>
            </w: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auto"/>
            </w:tcBorders>
            <w:shd w:val="clear" w:color="auto" w:fill="CCEEFF"/>
          </w:tcPr>
          <w:p>
            <w:pPr>
              <w:jc w:val="right"/>
              <w:ind w:right="1070"/>
              <w:spacing w:after="0"/>
              <w:rPr>
                <w:sz w:val="20"/>
                <w:szCs w:val="20"/>
                <w:color w:val="auto"/>
              </w:rPr>
            </w:pPr>
            <w:r>
              <w:rPr>
                <w:rFonts w:ascii="Arial" w:cs="Arial" w:eastAsia="Arial" w:hAnsi="Arial"/>
                <w:sz w:val="18"/>
                <w:szCs w:val="18"/>
                <w:color w:val="auto"/>
                <w:w w:val="99"/>
              </w:rPr>
              <w:t>$</w:t>
            </w:r>
          </w:p>
        </w:tc>
        <w:tc>
          <w:tcPr>
            <w:tcW w:w="6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0.06</w:t>
            </w:r>
          </w:p>
        </w:tc>
        <w:tc>
          <w:tcPr>
            <w:tcW w:w="12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auto"/>
            </w:tcBorders>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14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0.20</w:t>
            </w:r>
          </w:p>
        </w:tc>
        <w:tc>
          <w:tcPr>
            <w:tcW w:w="12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auto"/>
            </w:tcBorders>
            <w:shd w:val="clear" w:color="auto" w:fill="CCEEFF"/>
          </w:tcPr>
          <w:p>
            <w:pPr>
              <w:jc w:val="right"/>
              <w:ind w:right="250"/>
              <w:spacing w:after="0"/>
              <w:rPr>
                <w:sz w:val="20"/>
                <w:szCs w:val="20"/>
                <w:color w:val="auto"/>
              </w:rPr>
            </w:pPr>
            <w:r>
              <w:rPr>
                <w:rFonts w:ascii="Arial" w:cs="Arial" w:eastAsia="Arial" w:hAnsi="Arial"/>
                <w:sz w:val="18"/>
                <w:szCs w:val="18"/>
                <w:color w:val="auto"/>
                <w:w w:val="79"/>
              </w:rPr>
              <w:t>$</w:t>
            </w:r>
          </w:p>
        </w:tc>
        <w:tc>
          <w:tcPr>
            <w:tcW w:w="14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0.07</w:t>
            </w:r>
          </w:p>
        </w:tc>
        <w:tc>
          <w:tcPr>
            <w:tcW w:w="0" w:type="dxa"/>
            <w:vAlign w:val="bottom"/>
          </w:tcPr>
          <w:p>
            <w:pPr>
              <w:spacing w:after="0"/>
              <w:rPr>
                <w:sz w:val="1"/>
                <w:szCs w:val="1"/>
                <w:color w:val="auto"/>
              </w:rPr>
            </w:pPr>
          </w:p>
        </w:tc>
      </w:tr>
      <w:tr>
        <w:trPr>
          <w:trHeight w:val="20"/>
        </w:trPr>
        <w:tc>
          <w:tcPr>
            <w:tcW w:w="3320" w:type="dxa"/>
            <w:vAlign w:val="bottom"/>
            <w:vMerge w:val="restart"/>
          </w:tcPr>
          <w:p>
            <w:pPr>
              <w:ind w:left="40"/>
              <w:spacing w:after="0"/>
              <w:rPr>
                <w:sz w:val="20"/>
                <w:szCs w:val="20"/>
                <w:color w:val="auto"/>
              </w:rPr>
            </w:pPr>
            <w:r>
              <w:rPr>
                <w:rFonts w:ascii="Arial" w:cs="Arial" w:eastAsia="Arial" w:hAnsi="Arial"/>
                <w:sz w:val="18"/>
                <w:szCs w:val="18"/>
                <w:color w:val="auto"/>
                <w:w w:val="94"/>
              </w:rPr>
              <w:t>Weighted-average shares used to compute</w:t>
            </w:r>
          </w:p>
        </w:tc>
        <w:tc>
          <w:tcPr>
            <w:tcW w:w="13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8"/>
        </w:trPr>
        <w:tc>
          <w:tcPr>
            <w:tcW w:w="3320" w:type="dxa"/>
            <w:vAlign w:val="bottom"/>
            <w:vMerge w:val="continue"/>
          </w:tcPr>
          <w:p>
            <w:pPr>
              <w:spacing w:after="0"/>
              <w:rPr>
                <w:sz w:val="16"/>
                <w:szCs w:val="16"/>
                <w:color w:val="auto"/>
              </w:rPr>
            </w:pPr>
          </w:p>
        </w:tc>
        <w:tc>
          <w:tcPr>
            <w:tcW w:w="1320" w:type="dxa"/>
            <w:vAlign w:val="bottom"/>
          </w:tcPr>
          <w:p>
            <w:pPr>
              <w:spacing w:after="0"/>
              <w:rPr>
                <w:sz w:val="16"/>
                <w:szCs w:val="16"/>
                <w:color w:val="auto"/>
              </w:rPr>
            </w:pPr>
          </w:p>
        </w:tc>
        <w:tc>
          <w:tcPr>
            <w:tcW w:w="660" w:type="dxa"/>
            <w:vAlign w:val="bottom"/>
            <w:vMerge w:val="restart"/>
          </w:tcPr>
          <w:p>
            <w:pPr>
              <w:jc w:val="right"/>
              <w:ind w:right="30"/>
              <w:spacing w:after="0"/>
              <w:rPr>
                <w:sz w:val="20"/>
                <w:szCs w:val="20"/>
                <w:color w:val="auto"/>
              </w:rPr>
            </w:pPr>
            <w:r>
              <w:rPr>
                <w:rFonts w:ascii="Arial" w:cs="Arial" w:eastAsia="Arial" w:hAnsi="Arial"/>
                <w:sz w:val="18"/>
                <w:szCs w:val="18"/>
                <w:color w:val="auto"/>
              </w:rPr>
              <w:t>423.1</w:t>
            </w:r>
          </w:p>
        </w:tc>
        <w:tc>
          <w:tcPr>
            <w:tcW w:w="120" w:type="dxa"/>
            <w:vAlign w:val="bottom"/>
          </w:tcPr>
          <w:p>
            <w:pPr>
              <w:spacing w:after="0"/>
              <w:rPr>
                <w:sz w:val="16"/>
                <w:szCs w:val="16"/>
                <w:color w:val="auto"/>
              </w:rPr>
            </w:pPr>
          </w:p>
        </w:tc>
        <w:tc>
          <w:tcPr>
            <w:tcW w:w="1280" w:type="dxa"/>
            <w:vAlign w:val="bottom"/>
          </w:tcPr>
          <w:p>
            <w:pPr>
              <w:spacing w:after="0"/>
              <w:rPr>
                <w:sz w:val="16"/>
                <w:szCs w:val="16"/>
                <w:color w:val="auto"/>
              </w:rPr>
            </w:pPr>
          </w:p>
        </w:tc>
        <w:tc>
          <w:tcPr>
            <w:tcW w:w="640" w:type="dxa"/>
            <w:vAlign w:val="bottom"/>
            <w:vMerge w:val="restart"/>
          </w:tcPr>
          <w:p>
            <w:pPr>
              <w:jc w:val="right"/>
              <w:ind w:right="10"/>
              <w:spacing w:after="0"/>
              <w:rPr>
                <w:sz w:val="20"/>
                <w:szCs w:val="20"/>
                <w:color w:val="auto"/>
              </w:rPr>
            </w:pPr>
            <w:r>
              <w:rPr>
                <w:rFonts w:ascii="Arial" w:cs="Arial" w:eastAsia="Arial" w:hAnsi="Arial"/>
                <w:sz w:val="18"/>
                <w:szCs w:val="18"/>
                <w:color w:val="auto"/>
              </w:rPr>
              <w:t>346.9</w:t>
            </w:r>
          </w:p>
        </w:tc>
        <w:tc>
          <w:tcPr>
            <w:tcW w:w="12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1480" w:type="dxa"/>
            <w:vAlign w:val="bottom"/>
            <w:vMerge w:val="restart"/>
          </w:tcPr>
          <w:p>
            <w:pPr>
              <w:jc w:val="right"/>
              <w:ind w:right="10"/>
              <w:spacing w:after="0"/>
              <w:rPr>
                <w:sz w:val="20"/>
                <w:szCs w:val="20"/>
                <w:color w:val="auto"/>
              </w:rPr>
            </w:pPr>
            <w:r>
              <w:rPr>
                <w:rFonts w:ascii="Arial" w:cs="Arial" w:eastAsia="Arial" w:hAnsi="Arial"/>
                <w:sz w:val="18"/>
                <w:szCs w:val="18"/>
                <w:color w:val="auto"/>
              </w:rPr>
              <w:t>397.4</w:t>
            </w:r>
          </w:p>
        </w:tc>
        <w:tc>
          <w:tcPr>
            <w:tcW w:w="12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1480" w:type="dxa"/>
            <w:vAlign w:val="bottom"/>
            <w:vMerge w:val="restart"/>
          </w:tcPr>
          <w:p>
            <w:pPr>
              <w:jc w:val="right"/>
              <w:ind w:right="10"/>
              <w:spacing w:after="0"/>
              <w:rPr>
                <w:sz w:val="20"/>
                <w:szCs w:val="20"/>
                <w:color w:val="auto"/>
              </w:rPr>
            </w:pPr>
            <w:r>
              <w:rPr>
                <w:rFonts w:ascii="Arial" w:cs="Arial" w:eastAsia="Arial" w:hAnsi="Arial"/>
                <w:sz w:val="18"/>
                <w:szCs w:val="18"/>
                <w:color w:val="auto"/>
              </w:rPr>
              <w:t>344.0</w:t>
            </w:r>
          </w:p>
        </w:tc>
        <w:tc>
          <w:tcPr>
            <w:tcW w:w="0" w:type="dxa"/>
            <w:vAlign w:val="bottom"/>
          </w:tcPr>
          <w:p>
            <w:pPr>
              <w:spacing w:after="0"/>
              <w:rPr>
                <w:sz w:val="1"/>
                <w:szCs w:val="1"/>
                <w:color w:val="auto"/>
              </w:rPr>
            </w:pPr>
          </w:p>
        </w:tc>
      </w:tr>
      <w:tr>
        <w:trPr>
          <w:trHeight w:val="237"/>
        </w:trPr>
        <w:tc>
          <w:tcPr>
            <w:tcW w:w="3320" w:type="dxa"/>
            <w:vAlign w:val="bottom"/>
          </w:tcPr>
          <w:p>
            <w:pPr>
              <w:ind w:left="40"/>
              <w:spacing w:after="0"/>
              <w:rPr>
                <w:sz w:val="20"/>
                <w:szCs w:val="20"/>
                <w:color w:val="auto"/>
              </w:rPr>
            </w:pPr>
            <w:r>
              <w:rPr>
                <w:rFonts w:ascii="Arial" w:cs="Arial" w:eastAsia="Arial" w:hAnsi="Arial"/>
                <w:sz w:val="18"/>
                <w:szCs w:val="18"/>
                <w:color w:val="auto"/>
              </w:rPr>
              <w:t>Non-GAAP diluted net income per share</w:t>
            </w:r>
          </w:p>
        </w:tc>
        <w:tc>
          <w:tcPr>
            <w:tcW w:w="1320" w:type="dxa"/>
            <w:vAlign w:val="bottom"/>
            <w:tcBorders>
              <w:bottom w:val="single" w:sz="8" w:color="auto"/>
            </w:tcBorders>
          </w:tcPr>
          <w:p>
            <w:pPr>
              <w:spacing w:after="0"/>
              <w:rPr>
                <w:sz w:val="20"/>
                <w:szCs w:val="20"/>
                <w:color w:val="auto"/>
              </w:rPr>
            </w:pPr>
          </w:p>
        </w:tc>
        <w:tc>
          <w:tcPr>
            <w:tcW w:w="660" w:type="dxa"/>
            <w:vAlign w:val="bottom"/>
            <w:tcBorders>
              <w:bottom w:val="single" w:sz="8" w:color="auto"/>
            </w:tcBorders>
            <w:vMerge w:val="continue"/>
          </w:tcPr>
          <w:p>
            <w:pPr>
              <w:spacing w:after="0"/>
              <w:rPr>
                <w:sz w:val="20"/>
                <w:szCs w:val="20"/>
                <w:color w:val="auto"/>
              </w:rPr>
            </w:pPr>
          </w:p>
        </w:tc>
        <w:tc>
          <w:tcPr>
            <w:tcW w:w="120" w:type="dxa"/>
            <w:vAlign w:val="bottom"/>
          </w:tcPr>
          <w:p>
            <w:pPr>
              <w:spacing w:after="0"/>
              <w:rPr>
                <w:sz w:val="20"/>
                <w:szCs w:val="20"/>
                <w:color w:val="auto"/>
              </w:rPr>
            </w:pPr>
          </w:p>
        </w:tc>
        <w:tc>
          <w:tcPr>
            <w:tcW w:w="1280" w:type="dxa"/>
            <w:vAlign w:val="bottom"/>
            <w:tcBorders>
              <w:bottom w:val="single" w:sz="8" w:color="auto"/>
            </w:tcBorders>
          </w:tcPr>
          <w:p>
            <w:pPr>
              <w:spacing w:after="0"/>
              <w:rPr>
                <w:sz w:val="20"/>
                <w:szCs w:val="20"/>
                <w:color w:val="auto"/>
              </w:rPr>
            </w:pPr>
          </w:p>
        </w:tc>
        <w:tc>
          <w:tcPr>
            <w:tcW w:w="640" w:type="dxa"/>
            <w:vAlign w:val="bottom"/>
            <w:tcBorders>
              <w:bottom w:val="single" w:sz="8" w:color="auto"/>
            </w:tcBorders>
            <w:vMerge w:val="continue"/>
          </w:tcPr>
          <w:p>
            <w:pPr>
              <w:spacing w:after="0"/>
              <w:rPr>
                <w:sz w:val="20"/>
                <w:szCs w:val="20"/>
                <w:color w:val="auto"/>
              </w:rPr>
            </w:pPr>
          </w:p>
        </w:tc>
        <w:tc>
          <w:tcPr>
            <w:tcW w:w="120" w:type="dxa"/>
            <w:vAlign w:val="bottom"/>
          </w:tcPr>
          <w:p>
            <w:pPr>
              <w:spacing w:after="0"/>
              <w:rPr>
                <w:sz w:val="20"/>
                <w:szCs w:val="20"/>
                <w:color w:val="auto"/>
              </w:rPr>
            </w:pPr>
          </w:p>
        </w:tc>
        <w:tc>
          <w:tcPr>
            <w:tcW w:w="440" w:type="dxa"/>
            <w:vAlign w:val="bottom"/>
            <w:tcBorders>
              <w:bottom w:val="single" w:sz="8" w:color="auto"/>
            </w:tcBorders>
          </w:tcPr>
          <w:p>
            <w:pPr>
              <w:spacing w:after="0"/>
              <w:rPr>
                <w:sz w:val="20"/>
                <w:szCs w:val="20"/>
                <w:color w:val="auto"/>
              </w:rPr>
            </w:pPr>
          </w:p>
        </w:tc>
        <w:tc>
          <w:tcPr>
            <w:tcW w:w="1480" w:type="dxa"/>
            <w:vAlign w:val="bottom"/>
            <w:tcBorders>
              <w:bottom w:val="single" w:sz="8" w:color="auto"/>
            </w:tcBorders>
            <w:vMerge w:val="continue"/>
          </w:tcPr>
          <w:p>
            <w:pPr>
              <w:spacing w:after="0"/>
              <w:rPr>
                <w:sz w:val="20"/>
                <w:szCs w:val="20"/>
                <w:color w:val="auto"/>
              </w:rPr>
            </w:pPr>
          </w:p>
        </w:tc>
        <w:tc>
          <w:tcPr>
            <w:tcW w:w="120" w:type="dxa"/>
            <w:vAlign w:val="bottom"/>
          </w:tcPr>
          <w:p>
            <w:pPr>
              <w:spacing w:after="0"/>
              <w:rPr>
                <w:sz w:val="20"/>
                <w:szCs w:val="20"/>
                <w:color w:val="auto"/>
              </w:rPr>
            </w:pPr>
          </w:p>
        </w:tc>
        <w:tc>
          <w:tcPr>
            <w:tcW w:w="440" w:type="dxa"/>
            <w:vAlign w:val="bottom"/>
            <w:tcBorders>
              <w:bottom w:val="single" w:sz="8" w:color="auto"/>
            </w:tcBorders>
          </w:tcPr>
          <w:p>
            <w:pPr>
              <w:spacing w:after="0"/>
              <w:rPr>
                <w:sz w:val="20"/>
                <w:szCs w:val="20"/>
                <w:color w:val="auto"/>
              </w:rPr>
            </w:pPr>
          </w:p>
        </w:tc>
        <w:tc>
          <w:tcPr>
            <w:tcW w:w="1480" w:type="dxa"/>
            <w:vAlign w:val="bottom"/>
            <w:tcBorders>
              <w:bottom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3320" w:type="dxa"/>
            <w:vAlign w:val="bottom"/>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63"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Dropbox, Inc.</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Three and six months ended June 30, 2018 and 2017</w:t>
      </w:r>
    </w:p>
    <w:p>
      <w:pPr>
        <w:jc w:val="center"/>
        <w:spacing w:after="0"/>
        <w:rPr>
          <w:sz w:val="20"/>
          <w:szCs w:val="20"/>
          <w:color w:val="auto"/>
        </w:rPr>
      </w:pPr>
      <w:r>
        <w:rPr>
          <w:rFonts w:ascii="Arial" w:cs="Arial" w:eastAsia="Arial" w:hAnsi="Arial"/>
          <w:sz w:val="20"/>
          <w:szCs w:val="20"/>
          <w:b w:val="1"/>
          <w:bCs w:val="1"/>
          <w:color w:val="auto"/>
        </w:rPr>
        <w:t>Reconciliation of free cash flow and supplemental cash flow disclosure</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(In millions, except for percentages)</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(Unaudited)</w:t>
      </w:r>
    </w:p>
    <w:p>
      <w:pPr>
        <w:spacing w:after="0" w:line="368"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220" w:type="dxa"/>
            <w:vAlign w:val="bottom"/>
          </w:tcPr>
          <w:p>
            <w:pPr>
              <w:spacing w:after="0"/>
              <w:rPr>
                <w:sz w:val="20"/>
                <w:szCs w:val="20"/>
                <w:color w:val="auto"/>
              </w:rPr>
            </w:pPr>
          </w:p>
        </w:tc>
        <w:tc>
          <w:tcPr>
            <w:tcW w:w="3400" w:type="dxa"/>
            <w:vAlign w:val="bottom"/>
            <w:gridSpan w:val="4"/>
          </w:tcPr>
          <w:p>
            <w:pPr>
              <w:jc w:val="right"/>
              <w:ind w:right="150"/>
              <w:spacing w:after="0"/>
              <w:rPr>
                <w:sz w:val="20"/>
                <w:szCs w:val="20"/>
                <w:color w:val="auto"/>
              </w:rPr>
            </w:pPr>
            <w:r>
              <w:rPr>
                <w:rFonts w:ascii="Arial" w:cs="Arial" w:eastAsia="Arial" w:hAnsi="Arial"/>
                <w:sz w:val="18"/>
                <w:szCs w:val="18"/>
                <w:b w:val="1"/>
                <w:bCs w:val="1"/>
                <w:color w:val="auto"/>
              </w:rPr>
              <w:t>Three months ended June 30,</w:t>
            </w:r>
          </w:p>
        </w:tc>
        <w:tc>
          <w:tcPr>
            <w:tcW w:w="6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3580" w:type="dxa"/>
            <w:vAlign w:val="bottom"/>
            <w:gridSpan w:val="4"/>
          </w:tcPr>
          <w:p>
            <w:pPr>
              <w:jc w:val="right"/>
              <w:ind w:right="890"/>
              <w:spacing w:after="0"/>
              <w:rPr>
                <w:sz w:val="20"/>
                <w:szCs w:val="20"/>
                <w:color w:val="auto"/>
              </w:rPr>
            </w:pPr>
            <w:r>
              <w:rPr>
                <w:rFonts w:ascii="Arial" w:cs="Arial" w:eastAsia="Arial" w:hAnsi="Arial"/>
                <w:sz w:val="18"/>
                <w:szCs w:val="18"/>
                <w:b w:val="1"/>
                <w:bCs w:val="1"/>
                <w:color w:val="auto"/>
              </w:rPr>
              <w:t>Six months ended June 30,</w:t>
            </w:r>
          </w:p>
        </w:tc>
        <w:tc>
          <w:tcPr>
            <w:tcW w:w="0" w:type="dxa"/>
            <w:vAlign w:val="bottom"/>
          </w:tcPr>
          <w:p>
            <w:pPr>
              <w:spacing w:after="0"/>
              <w:rPr>
                <w:sz w:val="1"/>
                <w:szCs w:val="1"/>
                <w:color w:val="auto"/>
              </w:rPr>
            </w:pPr>
          </w:p>
        </w:tc>
      </w:tr>
      <w:tr>
        <w:trPr>
          <w:trHeight w:val="27"/>
        </w:trPr>
        <w:tc>
          <w:tcPr>
            <w:tcW w:w="3220" w:type="dxa"/>
            <w:vAlign w:val="bottom"/>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6"/>
        </w:trPr>
        <w:tc>
          <w:tcPr>
            <w:tcW w:w="3220" w:type="dxa"/>
            <w:vAlign w:val="bottom"/>
          </w:tcPr>
          <w:p>
            <w:pPr>
              <w:spacing w:after="0"/>
              <w:rPr>
                <w:sz w:val="20"/>
                <w:szCs w:val="20"/>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rPr>
              <w:t>2018</w:t>
            </w:r>
          </w:p>
        </w:tc>
        <w:tc>
          <w:tcPr>
            <w:tcW w:w="7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20" w:type="dxa"/>
            <w:vAlign w:val="bottom"/>
          </w:tcPr>
          <w:p>
            <w:pPr>
              <w:jc w:val="right"/>
              <w:ind w:right="70"/>
              <w:spacing w:after="0"/>
              <w:rPr>
                <w:sz w:val="20"/>
                <w:szCs w:val="20"/>
                <w:color w:val="auto"/>
              </w:rPr>
            </w:pPr>
            <w:r>
              <w:rPr>
                <w:rFonts w:ascii="Arial" w:cs="Arial" w:eastAsia="Arial" w:hAnsi="Arial"/>
                <w:sz w:val="18"/>
                <w:szCs w:val="18"/>
                <w:b w:val="1"/>
                <w:bCs w:val="1"/>
                <w:color w:val="auto"/>
              </w:rPr>
              <w:t>2017</w:t>
            </w:r>
          </w:p>
        </w:tc>
        <w:tc>
          <w:tcPr>
            <w:tcW w:w="6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1500" w:type="dxa"/>
            <w:vAlign w:val="bottom"/>
          </w:tcPr>
          <w:p>
            <w:pPr>
              <w:jc w:val="right"/>
              <w:ind w:right="710"/>
              <w:spacing w:after="0"/>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1500" w:type="dxa"/>
            <w:vAlign w:val="bottom"/>
          </w:tcPr>
          <w:p>
            <w:pPr>
              <w:jc w:val="right"/>
              <w:ind w:right="710"/>
              <w:spacing w:after="0"/>
              <w:rPr>
                <w:sz w:val="20"/>
                <w:szCs w:val="20"/>
                <w:color w:val="auto"/>
              </w:rPr>
            </w:pPr>
            <w:r>
              <w:rPr>
                <w:rFonts w:ascii="Arial" w:cs="Arial" w:eastAsia="Arial" w:hAnsi="Arial"/>
                <w:sz w:val="18"/>
                <w:szCs w:val="18"/>
                <w:b w:val="1"/>
                <w:bCs w:val="1"/>
                <w:color w:val="auto"/>
              </w:rPr>
              <w:t>2017</w:t>
            </w:r>
          </w:p>
        </w:tc>
        <w:tc>
          <w:tcPr>
            <w:tcW w:w="0" w:type="dxa"/>
            <w:vAlign w:val="bottom"/>
          </w:tcPr>
          <w:p>
            <w:pPr>
              <w:spacing w:after="0"/>
              <w:rPr>
                <w:sz w:val="1"/>
                <w:szCs w:val="1"/>
                <w:color w:val="auto"/>
              </w:rPr>
            </w:pPr>
          </w:p>
        </w:tc>
      </w:tr>
      <w:tr>
        <w:trPr>
          <w:trHeight w:val="27"/>
        </w:trPr>
        <w:tc>
          <w:tcPr>
            <w:tcW w:w="3220" w:type="dxa"/>
            <w:vAlign w:val="bottom"/>
            <w:tcBorders>
              <w:bottom w:val="single" w:sz="8" w:color="CCEEFF"/>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3"/>
        </w:trPr>
        <w:tc>
          <w:tcPr>
            <w:tcW w:w="32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Free cash flow reconciliation:</w:t>
            </w:r>
          </w:p>
        </w:tc>
        <w:tc>
          <w:tcPr>
            <w:tcW w:w="126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6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3220" w:type="dxa"/>
            <w:vAlign w:val="bottom"/>
          </w:tcPr>
          <w:p>
            <w:pPr>
              <w:ind w:left="40"/>
              <w:spacing w:after="0"/>
              <w:rPr>
                <w:sz w:val="20"/>
                <w:szCs w:val="20"/>
                <w:color w:val="auto"/>
              </w:rPr>
            </w:pPr>
            <w:r>
              <w:rPr>
                <w:rFonts w:ascii="Arial" w:cs="Arial" w:eastAsia="Arial" w:hAnsi="Arial"/>
                <w:sz w:val="18"/>
                <w:szCs w:val="18"/>
                <w:color w:val="auto"/>
                <w:w w:val="97"/>
              </w:rPr>
              <w:t>Net cash provided by operating activities</w:t>
            </w:r>
          </w:p>
        </w:tc>
        <w:tc>
          <w:tcPr>
            <w:tcW w:w="1260" w:type="dxa"/>
            <w:vAlign w:val="bottom"/>
          </w:tcPr>
          <w:p>
            <w:pPr>
              <w:jc w:val="right"/>
              <w:ind w:right="1050"/>
              <w:spacing w:after="0"/>
              <w:rPr>
                <w:sz w:val="20"/>
                <w:szCs w:val="20"/>
                <w:color w:val="auto"/>
              </w:rPr>
            </w:pPr>
            <w:r>
              <w:rPr>
                <w:rFonts w:ascii="Arial" w:cs="Arial" w:eastAsia="Arial" w:hAnsi="Arial"/>
                <w:sz w:val="18"/>
                <w:szCs w:val="18"/>
                <w:color w:val="auto"/>
                <w:w w:val="99"/>
              </w:rPr>
              <w:t>$</w:t>
            </w:r>
          </w:p>
        </w:tc>
        <w:tc>
          <w:tcPr>
            <w:tcW w:w="700" w:type="dxa"/>
            <w:vAlign w:val="bottom"/>
          </w:tcPr>
          <w:p>
            <w:pPr>
              <w:jc w:val="right"/>
              <w:ind w:right="90"/>
              <w:spacing w:after="0"/>
              <w:rPr>
                <w:sz w:val="20"/>
                <w:szCs w:val="20"/>
                <w:color w:val="auto"/>
              </w:rPr>
            </w:pPr>
            <w:r>
              <w:rPr>
                <w:rFonts w:ascii="Arial" w:cs="Arial" w:eastAsia="Arial" w:hAnsi="Arial"/>
                <w:sz w:val="18"/>
                <w:szCs w:val="18"/>
                <w:color w:val="auto"/>
              </w:rPr>
              <w:t>111.9</w:t>
            </w:r>
          </w:p>
        </w:tc>
        <w:tc>
          <w:tcPr>
            <w:tcW w:w="120" w:type="dxa"/>
            <w:vAlign w:val="bottom"/>
          </w:tcPr>
          <w:p>
            <w:pPr>
              <w:spacing w:after="0"/>
              <w:rPr>
                <w:sz w:val="21"/>
                <w:szCs w:val="21"/>
                <w:color w:val="auto"/>
              </w:rPr>
            </w:pPr>
          </w:p>
        </w:tc>
        <w:tc>
          <w:tcPr>
            <w:tcW w:w="1320" w:type="dxa"/>
            <w:vAlign w:val="bottom"/>
          </w:tcPr>
          <w:p>
            <w:pPr>
              <w:jc w:val="right"/>
              <w:ind w:right="1110"/>
              <w:spacing w:after="0"/>
              <w:rPr>
                <w:sz w:val="20"/>
                <w:szCs w:val="20"/>
                <w:color w:val="auto"/>
              </w:rPr>
            </w:pPr>
            <w:r>
              <w:rPr>
                <w:rFonts w:ascii="Arial" w:cs="Arial" w:eastAsia="Arial" w:hAnsi="Arial"/>
                <w:sz w:val="18"/>
                <w:szCs w:val="18"/>
                <w:color w:val="auto"/>
                <w:w w:val="99"/>
              </w:rPr>
              <w:t>$</w:t>
            </w:r>
          </w:p>
        </w:tc>
        <w:tc>
          <w:tcPr>
            <w:tcW w:w="640" w:type="dxa"/>
            <w:vAlign w:val="bottom"/>
          </w:tcPr>
          <w:p>
            <w:pPr>
              <w:jc w:val="right"/>
              <w:ind w:right="90"/>
              <w:spacing w:after="0"/>
              <w:rPr>
                <w:sz w:val="20"/>
                <w:szCs w:val="20"/>
                <w:color w:val="auto"/>
              </w:rPr>
            </w:pPr>
            <w:r>
              <w:rPr>
                <w:rFonts w:ascii="Arial" w:cs="Arial" w:eastAsia="Arial" w:hAnsi="Arial"/>
                <w:sz w:val="18"/>
                <w:szCs w:val="18"/>
                <w:color w:val="auto"/>
              </w:rPr>
              <w:t>86.1</w:t>
            </w:r>
          </w:p>
        </w:tc>
        <w:tc>
          <w:tcPr>
            <w:tcW w:w="120" w:type="dxa"/>
            <w:vAlign w:val="bottom"/>
          </w:tcPr>
          <w:p>
            <w:pPr>
              <w:spacing w:after="0"/>
              <w:rPr>
                <w:sz w:val="21"/>
                <w:szCs w:val="21"/>
                <w:color w:val="auto"/>
              </w:rPr>
            </w:pPr>
          </w:p>
        </w:tc>
        <w:tc>
          <w:tcPr>
            <w:tcW w:w="460" w:type="dxa"/>
            <w:vAlign w:val="bottom"/>
          </w:tcPr>
          <w:p>
            <w:pPr>
              <w:jc w:val="right"/>
              <w:ind w:right="250"/>
              <w:spacing w:after="0"/>
              <w:rPr>
                <w:sz w:val="20"/>
                <w:szCs w:val="20"/>
                <w:color w:val="auto"/>
              </w:rPr>
            </w:pPr>
            <w:r>
              <w:rPr>
                <w:rFonts w:ascii="Arial" w:cs="Arial" w:eastAsia="Arial" w:hAnsi="Arial"/>
                <w:sz w:val="18"/>
                <w:szCs w:val="18"/>
                <w:color w:val="auto"/>
                <w:w w:val="99"/>
              </w:rPr>
              <w:t>$</w:t>
            </w:r>
          </w:p>
        </w:tc>
        <w:tc>
          <w:tcPr>
            <w:tcW w:w="1500" w:type="dxa"/>
            <w:vAlign w:val="bottom"/>
          </w:tcPr>
          <w:p>
            <w:pPr>
              <w:jc w:val="right"/>
              <w:ind w:right="90"/>
              <w:spacing w:after="0"/>
              <w:rPr>
                <w:sz w:val="20"/>
                <w:szCs w:val="20"/>
                <w:color w:val="auto"/>
              </w:rPr>
            </w:pPr>
            <w:r>
              <w:rPr>
                <w:rFonts w:ascii="Arial" w:cs="Arial" w:eastAsia="Arial" w:hAnsi="Arial"/>
                <w:sz w:val="18"/>
                <w:szCs w:val="18"/>
                <w:color w:val="auto"/>
              </w:rPr>
              <w:t>173.7</w:t>
            </w:r>
          </w:p>
        </w:tc>
        <w:tc>
          <w:tcPr>
            <w:tcW w:w="120" w:type="dxa"/>
            <w:vAlign w:val="bottom"/>
          </w:tcPr>
          <w:p>
            <w:pPr>
              <w:spacing w:after="0"/>
              <w:rPr>
                <w:sz w:val="21"/>
                <w:szCs w:val="21"/>
                <w:color w:val="auto"/>
              </w:rPr>
            </w:pPr>
          </w:p>
        </w:tc>
        <w:tc>
          <w:tcPr>
            <w:tcW w:w="460" w:type="dxa"/>
            <w:vAlign w:val="bottom"/>
          </w:tcPr>
          <w:p>
            <w:pPr>
              <w:jc w:val="right"/>
              <w:ind w:right="270"/>
              <w:spacing w:after="0"/>
              <w:rPr>
                <w:sz w:val="20"/>
                <w:szCs w:val="20"/>
                <w:color w:val="auto"/>
              </w:rPr>
            </w:pPr>
            <w:r>
              <w:rPr>
                <w:rFonts w:ascii="Arial" w:cs="Arial" w:eastAsia="Arial" w:hAnsi="Arial"/>
                <w:sz w:val="18"/>
                <w:szCs w:val="18"/>
                <w:color w:val="auto"/>
                <w:w w:val="79"/>
              </w:rPr>
              <w:t>$</w:t>
            </w:r>
          </w:p>
        </w:tc>
        <w:tc>
          <w:tcPr>
            <w:tcW w:w="1500" w:type="dxa"/>
            <w:vAlign w:val="bottom"/>
          </w:tcPr>
          <w:p>
            <w:pPr>
              <w:jc w:val="right"/>
              <w:ind w:right="90"/>
              <w:spacing w:after="0"/>
              <w:rPr>
                <w:sz w:val="20"/>
                <w:szCs w:val="20"/>
                <w:color w:val="auto"/>
              </w:rPr>
            </w:pPr>
            <w:r>
              <w:rPr>
                <w:rFonts w:ascii="Arial" w:cs="Arial" w:eastAsia="Arial" w:hAnsi="Arial"/>
                <w:sz w:val="18"/>
                <w:szCs w:val="18"/>
                <w:color w:val="auto"/>
              </w:rPr>
              <w:t>147.7</w:t>
            </w:r>
          </w:p>
        </w:tc>
        <w:tc>
          <w:tcPr>
            <w:tcW w:w="0" w:type="dxa"/>
            <w:vAlign w:val="bottom"/>
          </w:tcPr>
          <w:p>
            <w:pPr>
              <w:spacing w:after="0"/>
              <w:rPr>
                <w:sz w:val="1"/>
                <w:szCs w:val="1"/>
                <w:color w:val="auto"/>
              </w:rPr>
            </w:pPr>
          </w:p>
        </w:tc>
      </w:tr>
      <w:tr>
        <w:trPr>
          <w:trHeight w:val="27"/>
        </w:trPr>
        <w:tc>
          <w:tcPr>
            <w:tcW w:w="3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5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2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Less:</w:t>
            </w:r>
          </w:p>
        </w:tc>
        <w:tc>
          <w:tcPr>
            <w:tcW w:w="126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6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3220" w:type="dxa"/>
            <w:vAlign w:val="bottom"/>
          </w:tcPr>
          <w:p>
            <w:pPr>
              <w:ind w:left="280"/>
              <w:spacing w:after="0"/>
              <w:rPr>
                <w:sz w:val="20"/>
                <w:szCs w:val="20"/>
                <w:color w:val="auto"/>
              </w:rPr>
            </w:pPr>
            <w:r>
              <w:rPr>
                <w:rFonts w:ascii="Arial" w:cs="Arial" w:eastAsia="Arial" w:hAnsi="Arial"/>
                <w:sz w:val="18"/>
                <w:szCs w:val="18"/>
                <w:color w:val="auto"/>
              </w:rPr>
              <w:t>Capital expenditures</w:t>
            </w:r>
          </w:p>
        </w:tc>
        <w:tc>
          <w:tcPr>
            <w:tcW w:w="1260" w:type="dxa"/>
            <w:vAlign w:val="bottom"/>
          </w:tcPr>
          <w:p>
            <w:pPr>
              <w:spacing w:after="0"/>
              <w:rPr>
                <w:sz w:val="21"/>
                <w:szCs w:val="21"/>
                <w:color w:val="auto"/>
              </w:rPr>
            </w:pPr>
          </w:p>
        </w:tc>
        <w:tc>
          <w:tcPr>
            <w:tcW w:w="700" w:type="dxa"/>
            <w:vAlign w:val="bottom"/>
          </w:tcPr>
          <w:p>
            <w:pPr>
              <w:jc w:val="right"/>
              <w:ind w:right="30"/>
              <w:spacing w:after="0"/>
              <w:rPr>
                <w:sz w:val="20"/>
                <w:szCs w:val="20"/>
                <w:color w:val="auto"/>
              </w:rPr>
            </w:pPr>
            <w:r>
              <w:rPr>
                <w:rFonts w:ascii="Arial" w:cs="Arial" w:eastAsia="Arial" w:hAnsi="Arial"/>
                <w:sz w:val="18"/>
                <w:szCs w:val="18"/>
                <w:color w:val="auto"/>
              </w:rPr>
              <w:t>(9.7)</w:t>
            </w:r>
          </w:p>
        </w:tc>
        <w:tc>
          <w:tcPr>
            <w:tcW w:w="120" w:type="dxa"/>
            <w:vAlign w:val="bottom"/>
          </w:tcPr>
          <w:p>
            <w:pPr>
              <w:spacing w:after="0"/>
              <w:rPr>
                <w:sz w:val="21"/>
                <w:szCs w:val="21"/>
                <w:color w:val="auto"/>
              </w:rPr>
            </w:pPr>
          </w:p>
        </w:tc>
        <w:tc>
          <w:tcPr>
            <w:tcW w:w="1320" w:type="dxa"/>
            <w:vAlign w:val="bottom"/>
          </w:tcPr>
          <w:p>
            <w:pPr>
              <w:spacing w:after="0"/>
              <w:rPr>
                <w:sz w:val="21"/>
                <w:szCs w:val="21"/>
                <w:color w:val="auto"/>
              </w:rPr>
            </w:pPr>
          </w:p>
        </w:tc>
        <w:tc>
          <w:tcPr>
            <w:tcW w:w="640" w:type="dxa"/>
            <w:vAlign w:val="bottom"/>
          </w:tcPr>
          <w:p>
            <w:pPr>
              <w:jc w:val="right"/>
              <w:ind w:right="30"/>
              <w:spacing w:after="0"/>
              <w:rPr>
                <w:sz w:val="20"/>
                <w:szCs w:val="20"/>
                <w:color w:val="auto"/>
              </w:rPr>
            </w:pPr>
            <w:r>
              <w:rPr>
                <w:rFonts w:ascii="Arial" w:cs="Arial" w:eastAsia="Arial" w:hAnsi="Arial"/>
                <w:sz w:val="18"/>
                <w:szCs w:val="18"/>
                <w:color w:val="auto"/>
              </w:rPr>
              <w:t>(3.7)</w:t>
            </w:r>
          </w:p>
        </w:tc>
        <w:tc>
          <w:tcPr>
            <w:tcW w:w="12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500" w:type="dxa"/>
            <w:vAlign w:val="bottom"/>
          </w:tcPr>
          <w:p>
            <w:pPr>
              <w:jc w:val="right"/>
              <w:ind w:right="30"/>
              <w:spacing w:after="0"/>
              <w:rPr>
                <w:sz w:val="20"/>
                <w:szCs w:val="20"/>
                <w:color w:val="auto"/>
              </w:rPr>
            </w:pPr>
            <w:r>
              <w:rPr>
                <w:rFonts w:ascii="Arial" w:cs="Arial" w:eastAsia="Arial" w:hAnsi="Arial"/>
                <w:sz w:val="18"/>
                <w:szCs w:val="18"/>
                <w:color w:val="auto"/>
              </w:rPr>
              <w:t>(19.6)</w:t>
            </w:r>
          </w:p>
        </w:tc>
        <w:tc>
          <w:tcPr>
            <w:tcW w:w="12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500" w:type="dxa"/>
            <w:vAlign w:val="bottom"/>
          </w:tcPr>
          <w:p>
            <w:pPr>
              <w:jc w:val="right"/>
              <w:ind w:right="30"/>
              <w:spacing w:after="0"/>
              <w:rPr>
                <w:sz w:val="20"/>
                <w:szCs w:val="20"/>
                <w:color w:val="auto"/>
              </w:rPr>
            </w:pPr>
            <w:r>
              <w:rPr>
                <w:rFonts w:ascii="Arial" w:cs="Arial" w:eastAsia="Arial" w:hAnsi="Arial"/>
                <w:sz w:val="18"/>
                <w:szCs w:val="18"/>
                <w:color w:val="auto"/>
              </w:rPr>
              <w:t>(8.8)</w:t>
            </w:r>
          </w:p>
        </w:tc>
        <w:tc>
          <w:tcPr>
            <w:tcW w:w="0" w:type="dxa"/>
            <w:vAlign w:val="bottom"/>
          </w:tcPr>
          <w:p>
            <w:pPr>
              <w:spacing w:after="0"/>
              <w:rPr>
                <w:sz w:val="1"/>
                <w:szCs w:val="1"/>
                <w:color w:val="auto"/>
              </w:rPr>
            </w:pPr>
          </w:p>
        </w:tc>
      </w:tr>
      <w:tr>
        <w:trPr>
          <w:trHeight w:val="27"/>
        </w:trPr>
        <w:tc>
          <w:tcPr>
            <w:tcW w:w="3220" w:type="dxa"/>
            <w:vAlign w:val="bottom"/>
            <w:tcBorders>
              <w:bottom w:val="single" w:sz="8" w:color="CCEEFF"/>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32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Free cash flow</w:t>
            </w:r>
          </w:p>
        </w:tc>
        <w:tc>
          <w:tcPr>
            <w:tcW w:w="1260" w:type="dxa"/>
            <w:vAlign w:val="bottom"/>
            <w:tcBorders>
              <w:bottom w:val="single" w:sz="8" w:color="auto"/>
            </w:tcBorders>
            <w:shd w:val="clear" w:color="auto" w:fill="CCEEFF"/>
          </w:tcPr>
          <w:p>
            <w:pPr>
              <w:jc w:val="right"/>
              <w:ind w:right="1050"/>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rPr>
              <w:t>102.2</w:t>
            </w:r>
          </w:p>
        </w:tc>
        <w:tc>
          <w:tcPr>
            <w:tcW w:w="12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auto"/>
            </w:tcBorders>
            <w:shd w:val="clear" w:color="auto" w:fill="CCEEFF"/>
          </w:tcPr>
          <w:p>
            <w:pPr>
              <w:jc w:val="right"/>
              <w:ind w:right="1110"/>
              <w:spacing w:after="0"/>
              <w:rPr>
                <w:sz w:val="20"/>
                <w:szCs w:val="20"/>
                <w:color w:val="auto"/>
              </w:rPr>
            </w:pPr>
            <w:r>
              <w:rPr>
                <w:rFonts w:ascii="Arial" w:cs="Arial" w:eastAsia="Arial" w:hAnsi="Arial"/>
                <w:sz w:val="18"/>
                <w:szCs w:val="18"/>
                <w:color w:val="auto"/>
                <w:w w:val="99"/>
              </w:rPr>
              <w:t>$</w:t>
            </w:r>
          </w:p>
        </w:tc>
        <w:tc>
          <w:tcPr>
            <w:tcW w:w="64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rPr>
              <w:t>82.4</w:t>
            </w:r>
          </w:p>
        </w:tc>
        <w:tc>
          <w:tcPr>
            <w:tcW w:w="120" w:type="dxa"/>
            <w:vAlign w:val="bottom"/>
            <w:tcBorders>
              <w:bottom w:val="single" w:sz="8" w:color="CCEEFF"/>
            </w:tcBorders>
            <w:shd w:val="clear" w:color="auto" w:fill="CCEEFF"/>
          </w:tcPr>
          <w:p>
            <w:pPr>
              <w:spacing w:after="0"/>
              <w:rPr>
                <w:sz w:val="22"/>
                <w:szCs w:val="22"/>
                <w:color w:val="auto"/>
              </w:rPr>
            </w:pPr>
          </w:p>
        </w:tc>
        <w:tc>
          <w:tcPr>
            <w:tcW w:w="460" w:type="dxa"/>
            <w:vAlign w:val="bottom"/>
            <w:tcBorders>
              <w:bottom w:val="single" w:sz="8" w:color="auto"/>
            </w:tcBorders>
            <w:shd w:val="clear" w:color="auto" w:fill="CCEEFF"/>
          </w:tcPr>
          <w:p>
            <w:pPr>
              <w:jc w:val="right"/>
              <w:ind w:right="250"/>
              <w:spacing w:after="0"/>
              <w:rPr>
                <w:sz w:val="20"/>
                <w:szCs w:val="20"/>
                <w:color w:val="auto"/>
              </w:rPr>
            </w:pPr>
            <w:r>
              <w:rPr>
                <w:rFonts w:ascii="Arial" w:cs="Arial" w:eastAsia="Arial" w:hAnsi="Arial"/>
                <w:sz w:val="18"/>
                <w:szCs w:val="18"/>
                <w:color w:val="auto"/>
                <w:w w:val="99"/>
              </w:rPr>
              <w:t>$</w:t>
            </w:r>
          </w:p>
        </w:tc>
        <w:tc>
          <w:tcPr>
            <w:tcW w:w="150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rPr>
              <w:t>154.1</w:t>
            </w:r>
          </w:p>
        </w:tc>
        <w:tc>
          <w:tcPr>
            <w:tcW w:w="120" w:type="dxa"/>
            <w:vAlign w:val="bottom"/>
            <w:tcBorders>
              <w:bottom w:val="single" w:sz="8" w:color="CCEEFF"/>
            </w:tcBorders>
            <w:shd w:val="clear" w:color="auto" w:fill="CCEEFF"/>
          </w:tcPr>
          <w:p>
            <w:pPr>
              <w:spacing w:after="0"/>
              <w:rPr>
                <w:sz w:val="22"/>
                <w:szCs w:val="22"/>
                <w:color w:val="auto"/>
              </w:rPr>
            </w:pPr>
          </w:p>
        </w:tc>
        <w:tc>
          <w:tcPr>
            <w:tcW w:w="460" w:type="dxa"/>
            <w:vAlign w:val="bottom"/>
            <w:tcBorders>
              <w:bottom w:val="single" w:sz="8" w:color="auto"/>
            </w:tcBorders>
            <w:shd w:val="clear" w:color="auto" w:fill="CCEEFF"/>
          </w:tcPr>
          <w:p>
            <w:pPr>
              <w:jc w:val="right"/>
              <w:ind w:right="270"/>
              <w:spacing w:after="0"/>
              <w:rPr>
                <w:sz w:val="20"/>
                <w:szCs w:val="20"/>
                <w:color w:val="auto"/>
              </w:rPr>
            </w:pPr>
            <w:r>
              <w:rPr>
                <w:rFonts w:ascii="Arial" w:cs="Arial" w:eastAsia="Arial" w:hAnsi="Arial"/>
                <w:sz w:val="18"/>
                <w:szCs w:val="18"/>
                <w:color w:val="auto"/>
                <w:w w:val="79"/>
              </w:rPr>
              <w:t>$</w:t>
            </w:r>
          </w:p>
        </w:tc>
        <w:tc>
          <w:tcPr>
            <w:tcW w:w="150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rPr>
              <w:t>138.9</w:t>
            </w:r>
          </w:p>
        </w:tc>
        <w:tc>
          <w:tcPr>
            <w:tcW w:w="0" w:type="dxa"/>
            <w:vAlign w:val="bottom"/>
          </w:tcPr>
          <w:p>
            <w:pPr>
              <w:spacing w:after="0"/>
              <w:rPr>
                <w:sz w:val="1"/>
                <w:szCs w:val="1"/>
                <w:color w:val="auto"/>
              </w:rPr>
            </w:pPr>
          </w:p>
        </w:tc>
      </w:tr>
      <w:tr>
        <w:trPr>
          <w:trHeight w:val="20"/>
        </w:trPr>
        <w:tc>
          <w:tcPr>
            <w:tcW w:w="3220" w:type="dxa"/>
            <w:vAlign w:val="bottom"/>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3220" w:type="dxa"/>
            <w:vAlign w:val="bottom"/>
          </w:tcPr>
          <w:p>
            <w:pPr>
              <w:ind w:left="40"/>
              <w:spacing w:after="0"/>
              <w:rPr>
                <w:sz w:val="20"/>
                <w:szCs w:val="20"/>
                <w:color w:val="auto"/>
              </w:rPr>
            </w:pPr>
            <w:r>
              <w:rPr>
                <w:rFonts w:ascii="Arial" w:cs="Arial" w:eastAsia="Arial" w:hAnsi="Arial"/>
                <w:sz w:val="18"/>
                <w:szCs w:val="18"/>
                <w:i w:val="1"/>
                <w:iCs w:val="1"/>
                <w:color w:val="auto"/>
              </w:rPr>
              <w:t>Free cash flow margin</w:t>
            </w:r>
          </w:p>
        </w:tc>
        <w:tc>
          <w:tcPr>
            <w:tcW w:w="126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30.1%</w:t>
            </w:r>
          </w:p>
        </w:tc>
        <w:tc>
          <w:tcPr>
            <w:tcW w:w="12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30.9%</w:t>
            </w:r>
          </w:p>
        </w:tc>
        <w:tc>
          <w:tcPr>
            <w:tcW w:w="1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23.5%</w:t>
            </w:r>
          </w:p>
        </w:tc>
        <w:tc>
          <w:tcPr>
            <w:tcW w:w="1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27.0%</w:t>
            </w:r>
          </w:p>
        </w:tc>
        <w:tc>
          <w:tcPr>
            <w:tcW w:w="0" w:type="dxa"/>
            <w:vAlign w:val="bottom"/>
          </w:tcPr>
          <w:p>
            <w:pPr>
              <w:spacing w:after="0"/>
              <w:rPr>
                <w:sz w:val="1"/>
                <w:szCs w:val="1"/>
                <w:color w:val="auto"/>
              </w:rPr>
            </w:pPr>
          </w:p>
        </w:tc>
      </w:tr>
      <w:tr>
        <w:trPr>
          <w:trHeight w:val="27"/>
        </w:trPr>
        <w:tc>
          <w:tcPr>
            <w:tcW w:w="3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5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2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Supplemental disclosures:</w:t>
            </w:r>
          </w:p>
        </w:tc>
        <w:tc>
          <w:tcPr>
            <w:tcW w:w="126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6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28"/>
        </w:trPr>
        <w:tc>
          <w:tcPr>
            <w:tcW w:w="3220" w:type="dxa"/>
            <w:vAlign w:val="bottom"/>
          </w:tcPr>
          <w:p>
            <w:pPr>
              <w:ind w:left="280"/>
              <w:spacing w:after="0"/>
              <w:rPr>
                <w:sz w:val="20"/>
                <w:szCs w:val="20"/>
                <w:color w:val="auto"/>
              </w:rPr>
            </w:pPr>
            <w:r>
              <w:rPr>
                <w:rFonts w:ascii="Arial" w:cs="Arial" w:eastAsia="Arial" w:hAnsi="Arial"/>
                <w:sz w:val="18"/>
                <w:szCs w:val="18"/>
                <w:color w:val="auto"/>
                <w:w w:val="93"/>
              </w:rPr>
              <w:t>Capital expenditures related to our new</w:t>
            </w:r>
          </w:p>
        </w:tc>
        <w:tc>
          <w:tcPr>
            <w:tcW w:w="12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3220" w:type="dxa"/>
            <w:vAlign w:val="bottom"/>
          </w:tcPr>
          <w:p>
            <w:pPr>
              <w:ind w:left="280"/>
              <w:spacing w:after="0"/>
              <w:rPr>
                <w:sz w:val="20"/>
                <w:szCs w:val="20"/>
                <w:color w:val="auto"/>
              </w:rPr>
            </w:pPr>
            <w:r>
              <w:rPr>
                <w:rFonts w:ascii="Arial" w:cs="Arial" w:eastAsia="Arial" w:hAnsi="Arial"/>
                <w:sz w:val="18"/>
                <w:szCs w:val="18"/>
                <w:color w:val="auto"/>
                <w:w w:val="98"/>
              </w:rPr>
              <w:t>corporate headquarters, net of tenant</w:t>
            </w:r>
          </w:p>
        </w:tc>
        <w:tc>
          <w:tcPr>
            <w:tcW w:w="1260" w:type="dxa"/>
            <w:vAlign w:val="bottom"/>
            <w:vMerge w:val="restart"/>
          </w:tcPr>
          <w:p>
            <w:pPr>
              <w:jc w:val="right"/>
              <w:ind w:right="1050"/>
              <w:spacing w:after="0"/>
              <w:rPr>
                <w:sz w:val="20"/>
                <w:szCs w:val="20"/>
                <w:color w:val="auto"/>
              </w:rPr>
            </w:pPr>
            <w:r>
              <w:rPr>
                <w:rFonts w:ascii="Arial" w:cs="Arial" w:eastAsia="Arial" w:hAnsi="Arial"/>
                <w:sz w:val="18"/>
                <w:szCs w:val="18"/>
                <w:color w:val="auto"/>
                <w:w w:val="99"/>
              </w:rPr>
              <w:t>$</w:t>
            </w:r>
          </w:p>
        </w:tc>
        <w:tc>
          <w:tcPr>
            <w:tcW w:w="700" w:type="dxa"/>
            <w:vAlign w:val="bottom"/>
            <w:vMerge w:val="restart"/>
          </w:tcPr>
          <w:p>
            <w:pPr>
              <w:jc w:val="right"/>
              <w:ind w:right="90"/>
              <w:spacing w:after="0"/>
              <w:rPr>
                <w:sz w:val="20"/>
                <w:szCs w:val="20"/>
                <w:color w:val="auto"/>
              </w:rPr>
            </w:pPr>
            <w:r>
              <w:rPr>
                <w:rFonts w:ascii="Arial" w:cs="Arial" w:eastAsia="Arial" w:hAnsi="Arial"/>
                <w:sz w:val="18"/>
                <w:szCs w:val="18"/>
                <w:color w:val="auto"/>
              </w:rPr>
              <w:t>1.6</w:t>
            </w:r>
          </w:p>
        </w:tc>
        <w:tc>
          <w:tcPr>
            <w:tcW w:w="120" w:type="dxa"/>
            <w:vAlign w:val="bottom"/>
          </w:tcPr>
          <w:p>
            <w:pPr>
              <w:spacing w:after="0"/>
              <w:rPr>
                <w:sz w:val="18"/>
                <w:szCs w:val="18"/>
                <w:color w:val="auto"/>
              </w:rPr>
            </w:pPr>
          </w:p>
        </w:tc>
        <w:tc>
          <w:tcPr>
            <w:tcW w:w="1320" w:type="dxa"/>
            <w:vAlign w:val="bottom"/>
            <w:vMerge w:val="restart"/>
          </w:tcPr>
          <w:p>
            <w:pPr>
              <w:jc w:val="right"/>
              <w:ind w:right="1110"/>
              <w:spacing w:after="0"/>
              <w:rPr>
                <w:sz w:val="20"/>
                <w:szCs w:val="20"/>
                <w:color w:val="auto"/>
              </w:rPr>
            </w:pPr>
            <w:r>
              <w:rPr>
                <w:rFonts w:ascii="Arial" w:cs="Arial" w:eastAsia="Arial" w:hAnsi="Arial"/>
                <w:sz w:val="18"/>
                <w:szCs w:val="18"/>
                <w:color w:val="auto"/>
                <w:w w:val="99"/>
              </w:rPr>
              <w:t>$</w:t>
            </w:r>
          </w:p>
        </w:tc>
        <w:tc>
          <w:tcPr>
            <w:tcW w:w="760" w:type="dxa"/>
            <w:vAlign w:val="bottom"/>
            <w:gridSpan w:val="2"/>
            <w:vMerge w:val="restart"/>
          </w:tcPr>
          <w:p>
            <w:pPr>
              <w:jc w:val="right"/>
              <w:ind w:right="300"/>
              <w:spacing w:after="0"/>
              <w:rPr>
                <w:sz w:val="20"/>
                <w:szCs w:val="20"/>
                <w:color w:val="auto"/>
              </w:rPr>
            </w:pPr>
            <w:r>
              <w:rPr>
                <w:rFonts w:ascii="Arial" w:cs="Arial" w:eastAsia="Arial" w:hAnsi="Arial"/>
                <w:sz w:val="18"/>
                <w:szCs w:val="18"/>
                <w:color w:val="auto"/>
              </w:rPr>
              <w:t>—</w:t>
            </w:r>
          </w:p>
        </w:tc>
        <w:tc>
          <w:tcPr>
            <w:tcW w:w="460" w:type="dxa"/>
            <w:vAlign w:val="bottom"/>
            <w:vMerge w:val="restart"/>
          </w:tcPr>
          <w:p>
            <w:pPr>
              <w:jc w:val="right"/>
              <w:ind w:right="250"/>
              <w:spacing w:after="0"/>
              <w:rPr>
                <w:sz w:val="20"/>
                <w:szCs w:val="20"/>
                <w:color w:val="auto"/>
              </w:rPr>
            </w:pPr>
            <w:r>
              <w:rPr>
                <w:rFonts w:ascii="Arial" w:cs="Arial" w:eastAsia="Arial" w:hAnsi="Arial"/>
                <w:sz w:val="18"/>
                <w:szCs w:val="18"/>
                <w:color w:val="auto"/>
                <w:w w:val="99"/>
              </w:rPr>
              <w:t>$</w:t>
            </w:r>
          </w:p>
        </w:tc>
        <w:tc>
          <w:tcPr>
            <w:tcW w:w="1500" w:type="dxa"/>
            <w:vAlign w:val="bottom"/>
            <w:vMerge w:val="restart"/>
          </w:tcPr>
          <w:p>
            <w:pPr>
              <w:jc w:val="right"/>
              <w:ind w:right="90"/>
              <w:spacing w:after="0"/>
              <w:rPr>
                <w:sz w:val="20"/>
                <w:szCs w:val="20"/>
                <w:color w:val="auto"/>
              </w:rPr>
            </w:pPr>
            <w:r>
              <w:rPr>
                <w:rFonts w:ascii="Arial" w:cs="Arial" w:eastAsia="Arial" w:hAnsi="Arial"/>
                <w:sz w:val="18"/>
                <w:szCs w:val="18"/>
                <w:color w:val="auto"/>
              </w:rPr>
              <w:t>2.2</w:t>
            </w:r>
          </w:p>
        </w:tc>
        <w:tc>
          <w:tcPr>
            <w:tcW w:w="120" w:type="dxa"/>
            <w:vAlign w:val="bottom"/>
          </w:tcPr>
          <w:p>
            <w:pPr>
              <w:spacing w:after="0"/>
              <w:rPr>
                <w:sz w:val="18"/>
                <w:szCs w:val="18"/>
                <w:color w:val="auto"/>
              </w:rPr>
            </w:pPr>
          </w:p>
        </w:tc>
        <w:tc>
          <w:tcPr>
            <w:tcW w:w="460" w:type="dxa"/>
            <w:vAlign w:val="bottom"/>
            <w:vMerge w:val="restart"/>
          </w:tcPr>
          <w:p>
            <w:pPr>
              <w:jc w:val="right"/>
              <w:ind w:right="270"/>
              <w:spacing w:after="0"/>
              <w:rPr>
                <w:sz w:val="20"/>
                <w:szCs w:val="20"/>
                <w:color w:val="auto"/>
              </w:rPr>
            </w:pPr>
            <w:r>
              <w:rPr>
                <w:rFonts w:ascii="Arial" w:cs="Arial" w:eastAsia="Arial" w:hAnsi="Arial"/>
                <w:sz w:val="18"/>
                <w:szCs w:val="18"/>
                <w:color w:val="auto"/>
                <w:w w:val="79"/>
              </w:rPr>
              <w:t>$</w:t>
            </w:r>
          </w:p>
        </w:tc>
        <w:tc>
          <w:tcPr>
            <w:tcW w:w="1500" w:type="dxa"/>
            <w:vAlign w:val="bottom"/>
            <w:vMerge w:val="restart"/>
          </w:tcPr>
          <w:p>
            <w:pPr>
              <w:jc w:val="right"/>
              <w:ind w:right="9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4"/>
        </w:trPr>
        <w:tc>
          <w:tcPr>
            <w:tcW w:w="3220" w:type="dxa"/>
            <w:vAlign w:val="bottom"/>
          </w:tcPr>
          <w:p>
            <w:pPr>
              <w:ind w:left="280"/>
              <w:spacing w:after="0" w:line="244" w:lineRule="exact"/>
              <w:rPr>
                <w:sz w:val="20"/>
                <w:szCs w:val="20"/>
                <w:color w:val="auto"/>
              </w:rPr>
            </w:pPr>
            <w:r>
              <w:rPr>
                <w:rFonts w:ascii="Arial" w:cs="Arial" w:eastAsia="Arial" w:hAnsi="Arial"/>
                <w:sz w:val="18"/>
                <w:szCs w:val="18"/>
                <w:color w:val="auto"/>
              </w:rPr>
              <w:t>improvement allowances</w:t>
            </w:r>
            <w:r>
              <w:rPr>
                <w:rFonts w:ascii="Arial" w:cs="Arial" w:eastAsia="Arial" w:hAnsi="Arial"/>
                <w:sz w:val="25"/>
                <w:szCs w:val="25"/>
                <w:color w:val="auto"/>
                <w:vertAlign w:val="superscript"/>
              </w:rPr>
              <w:t>(1)</w:t>
            </w:r>
          </w:p>
        </w:tc>
        <w:tc>
          <w:tcPr>
            <w:tcW w:w="1260" w:type="dxa"/>
            <w:vAlign w:val="bottom"/>
            <w:vMerge w:val="continue"/>
          </w:tcPr>
          <w:p>
            <w:pPr>
              <w:spacing w:after="0"/>
              <w:rPr>
                <w:sz w:val="21"/>
                <w:szCs w:val="21"/>
                <w:color w:val="auto"/>
              </w:rPr>
            </w:pPr>
          </w:p>
        </w:tc>
        <w:tc>
          <w:tcPr>
            <w:tcW w:w="700" w:type="dxa"/>
            <w:vAlign w:val="bottom"/>
            <w:vMerge w:val="continue"/>
          </w:tcPr>
          <w:p>
            <w:pPr>
              <w:spacing w:after="0"/>
              <w:rPr>
                <w:sz w:val="21"/>
                <w:szCs w:val="21"/>
                <w:color w:val="auto"/>
              </w:rPr>
            </w:pPr>
          </w:p>
        </w:tc>
        <w:tc>
          <w:tcPr>
            <w:tcW w:w="120" w:type="dxa"/>
            <w:vAlign w:val="bottom"/>
          </w:tcPr>
          <w:p>
            <w:pPr>
              <w:spacing w:after="0"/>
              <w:rPr>
                <w:sz w:val="21"/>
                <w:szCs w:val="21"/>
                <w:color w:val="auto"/>
              </w:rPr>
            </w:pPr>
          </w:p>
        </w:tc>
        <w:tc>
          <w:tcPr>
            <w:tcW w:w="1320" w:type="dxa"/>
            <w:vAlign w:val="bottom"/>
            <w:vMerge w:val="continue"/>
          </w:tcPr>
          <w:p>
            <w:pPr>
              <w:spacing w:after="0"/>
              <w:rPr>
                <w:sz w:val="21"/>
                <w:szCs w:val="21"/>
                <w:color w:val="auto"/>
              </w:rPr>
            </w:pPr>
          </w:p>
        </w:tc>
        <w:tc>
          <w:tcPr>
            <w:tcW w:w="760" w:type="dxa"/>
            <w:vAlign w:val="bottom"/>
            <w:gridSpan w:val="2"/>
            <w:vMerge w:val="continue"/>
          </w:tcPr>
          <w:p>
            <w:pPr>
              <w:spacing w:after="0"/>
              <w:rPr>
                <w:sz w:val="21"/>
                <w:szCs w:val="21"/>
                <w:color w:val="auto"/>
              </w:rPr>
            </w:pPr>
          </w:p>
        </w:tc>
        <w:tc>
          <w:tcPr>
            <w:tcW w:w="460" w:type="dxa"/>
            <w:vAlign w:val="bottom"/>
            <w:vMerge w:val="continue"/>
          </w:tcPr>
          <w:p>
            <w:pPr>
              <w:spacing w:after="0"/>
              <w:rPr>
                <w:sz w:val="21"/>
                <w:szCs w:val="21"/>
                <w:color w:val="auto"/>
              </w:rPr>
            </w:pPr>
          </w:p>
        </w:tc>
        <w:tc>
          <w:tcPr>
            <w:tcW w:w="1500" w:type="dxa"/>
            <w:vAlign w:val="bottom"/>
            <w:vMerge w:val="continue"/>
          </w:tcPr>
          <w:p>
            <w:pPr>
              <w:spacing w:after="0"/>
              <w:rPr>
                <w:sz w:val="21"/>
                <w:szCs w:val="21"/>
                <w:color w:val="auto"/>
              </w:rPr>
            </w:pPr>
          </w:p>
        </w:tc>
        <w:tc>
          <w:tcPr>
            <w:tcW w:w="120" w:type="dxa"/>
            <w:vAlign w:val="bottom"/>
          </w:tcPr>
          <w:p>
            <w:pPr>
              <w:spacing w:after="0"/>
              <w:rPr>
                <w:sz w:val="21"/>
                <w:szCs w:val="21"/>
                <w:color w:val="auto"/>
              </w:rPr>
            </w:pPr>
          </w:p>
        </w:tc>
        <w:tc>
          <w:tcPr>
            <w:tcW w:w="460" w:type="dxa"/>
            <w:vAlign w:val="bottom"/>
            <w:vMerge w:val="continue"/>
          </w:tcPr>
          <w:p>
            <w:pPr>
              <w:spacing w:after="0"/>
              <w:rPr>
                <w:sz w:val="21"/>
                <w:szCs w:val="21"/>
                <w:color w:val="auto"/>
              </w:rPr>
            </w:pPr>
          </w:p>
        </w:tc>
        <w:tc>
          <w:tcPr>
            <w:tcW w:w="1500" w:type="dxa"/>
            <w:vAlign w:val="bottom"/>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3220" w:type="dxa"/>
            <w:vAlign w:val="bottom"/>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5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5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1" w:lineRule="exact"/>
        <w:rPr>
          <w:sz w:val="20"/>
          <w:szCs w:val="20"/>
          <w:color w:val="auto"/>
        </w:rPr>
      </w:pPr>
    </w:p>
    <w:p>
      <w:pPr>
        <w:ind w:right="440" w:firstLine="8"/>
        <w:spacing w:after="0" w:line="268" w:lineRule="auto"/>
        <w:tabs>
          <w:tab w:leader="none" w:pos="192" w:val="left"/>
        </w:tabs>
        <w:numPr>
          <w:ilvl w:val="0"/>
          <w:numId w:val="7"/>
        </w:numPr>
        <w:rPr>
          <w:rFonts w:ascii="Arial" w:cs="Arial" w:eastAsia="Arial" w:hAnsi="Arial"/>
          <w:sz w:val="22"/>
          <w:szCs w:val="22"/>
          <w:color w:val="auto"/>
          <w:vertAlign w:val="superscript"/>
        </w:rPr>
      </w:pPr>
      <w:r>
        <w:rPr>
          <w:rFonts w:ascii="Arial" w:cs="Arial" w:eastAsia="Arial" w:hAnsi="Arial"/>
          <w:sz w:val="16"/>
          <w:szCs w:val="16"/>
          <w:color w:val="auto"/>
        </w:rPr>
        <w:t>Capital expenditures include cash outflows related to the build-out of our new corporate headquarters in San Francisco, CA. Net cash provided by operating activities include tenant improvement allowances related to our new corporate headquarters, and represents cash received from our landlord to offset this build-out. These amounts are presented net in the table above. There was no cash received from our landlord related to our new corporate headquarters in the periods presented.</w:t>
      </w:r>
    </w:p>
    <w:p>
      <w:pPr>
        <w:sectPr>
          <w:pgSz w:w="11900" w:h="16838" w:orient="portrait"/>
          <w:cols w:equalWidth="0" w:num="1">
            <w:col w:w="11420"/>
          </w:cols>
          <w:pgMar w:left="240" w:top="575" w:right="239" w:bottom="1440" w:gutter="0" w:footer="0" w:header="0"/>
        </w:sectPr>
      </w:pPr>
    </w:p>
    <w:bookmarkStart w:id="13" w:name="page14"/>
    <w:bookmarkEnd w:id="13"/>
    <w:p>
      <w:pPr>
        <w:spacing w:after="0"/>
        <w:rPr>
          <w:sz w:val="20"/>
          <w:szCs w:val="20"/>
          <w:color w:val="auto"/>
        </w:rPr>
      </w:pPr>
      <w:r>
        <w:rPr>
          <w:rFonts w:ascii="Arial" w:cs="Arial" w:eastAsia="Arial" w:hAnsi="Arial"/>
          <w:sz w:val="18"/>
          <w:szCs w:val="18"/>
          <w:b w:val="1"/>
          <w:bCs w:val="1"/>
          <w:color w:val="auto"/>
        </w:rPr>
        <w:t>About Non-GAAP Financial Measures</w:t>
      </w:r>
    </w:p>
    <w:p>
      <w:pPr>
        <w:spacing w:after="0" w:line="229" w:lineRule="exact"/>
        <w:rPr>
          <w:sz w:val="20"/>
          <w:szCs w:val="20"/>
          <w:color w:val="auto"/>
        </w:rPr>
      </w:pPr>
    </w:p>
    <w:p>
      <w:pPr>
        <w:spacing w:after="0" w:line="268" w:lineRule="auto"/>
        <w:rPr>
          <w:sz w:val="20"/>
          <w:szCs w:val="20"/>
          <w:color w:val="auto"/>
        </w:rPr>
      </w:pPr>
      <w:r>
        <w:rPr>
          <w:rFonts w:ascii="Arial" w:cs="Arial" w:eastAsia="Arial" w:hAnsi="Arial"/>
          <w:sz w:val="17"/>
          <w:szCs w:val="17"/>
          <w:color w:val="auto"/>
        </w:rPr>
        <w:t>To provide investors and others with additional information regarding Dropbox's results, we have disclosed the following non-GAAP financial measures: non-GAAP cost of revenue, non-GAAP gross profit, non-GAAP operating expenses (including research and development, sales and marketing and general and administrative), non-GAAP income from operations, non-GAAP net income, free cash flow ("FCF") and non-GAAP diluted net income per share. Dropbox has provided a reconciliation of each non-GAAP financial measure used in this earnings release to the most directly comparable GAAP financial measure. Non-GAAP cost of revenue, gross profit, operating expenses, income from operations, and net income differs from GAAP in that it excludes stock-based compensation expense and employer payroll tax expense relating to the release of two-tier RSUs with respect to the three months ended March 31, 2018. Non-GAAP general and administrative expense also excludes expense related to a donation of common stock to the Dropbox Foundation with respect to the three months ended June 30, 2017. Non-GAAP net income also includes the income tax effect of these adjustments. The income tax effect of these adjustments is derived by calculating a non-GAAP tax rate by excluding the impact of our non-GAAP items from non-GAAP net income, and then applying GAAP standards, including our net operating losses, to the resulting non-GAAP net income. Free cash flow differs from GAAP net cash provided by operating activities in that it treats capital expenditures as a reduction to net cash provided by operating activities. Non-GAAP diluted net income per share differs from GAAP diluted net loss per share in that the numerator utilizes the non-GAAP net income as described above, and the weighted-average shares used in the computation include certain shares that are excluded from the GAAP diluted net loss per share calculation because their effect would have been anti-dilutive.</w:t>
      </w:r>
    </w:p>
    <w:p>
      <w:pPr>
        <w:spacing w:after="0" w:line="182" w:lineRule="exact"/>
        <w:rPr>
          <w:sz w:val="20"/>
          <w:szCs w:val="20"/>
          <w:color w:val="auto"/>
        </w:rPr>
      </w:pPr>
    </w:p>
    <w:p>
      <w:pPr>
        <w:ind w:right="80"/>
        <w:spacing w:after="0" w:line="254" w:lineRule="auto"/>
        <w:rPr>
          <w:sz w:val="20"/>
          <w:szCs w:val="20"/>
          <w:color w:val="auto"/>
        </w:rPr>
      </w:pPr>
      <w:r>
        <w:rPr>
          <w:rFonts w:ascii="Arial" w:cs="Arial" w:eastAsia="Arial" w:hAnsi="Arial"/>
          <w:sz w:val="18"/>
          <w:szCs w:val="18"/>
          <w:color w:val="auto"/>
        </w:rPr>
        <w:t>Dropbox's management uses these non-GAAP financial measures to understand and compare operating results across accounting periods, for internal budgeting and forecasting purposes, for short and long-term operating plans, and to evaluate Dropbox's financial performance and the ability to generate cash from operations. Management believes these non-GAAP financial measures reflect Dropbox's ongoing business in a manner that allows for meaningful period-to-period comparisons and analysis of trends in Dropbox's business, as they exclude expenses that are not reflective of ongoing operating results. Management also believes that these non-GAAP financial measures provide useful supplemental information to investors and others in understanding and evaluating Dropbox's operating results and future prospects in the same manner as management and in comparing financial results across accounting periods and to those of peer companies.</w:t>
      </w:r>
    </w:p>
    <w:p>
      <w:pPr>
        <w:spacing w:after="0" w:line="193" w:lineRule="exact"/>
        <w:rPr>
          <w:sz w:val="20"/>
          <w:szCs w:val="20"/>
          <w:color w:val="auto"/>
        </w:rPr>
      </w:pPr>
    </w:p>
    <w:p>
      <w:pPr>
        <w:ind w:right="200"/>
        <w:spacing w:after="0" w:line="263" w:lineRule="auto"/>
        <w:rPr>
          <w:sz w:val="20"/>
          <w:szCs w:val="20"/>
          <w:color w:val="auto"/>
        </w:rPr>
      </w:pPr>
      <w:r>
        <w:rPr>
          <w:rFonts w:ascii="Arial" w:cs="Arial" w:eastAsia="Arial" w:hAnsi="Arial"/>
          <w:sz w:val="18"/>
          <w:szCs w:val="18"/>
          <w:color w:val="auto"/>
        </w:rPr>
        <w:t>We believe that the non-GAAP financial measures non-GAAP cost of revenue, gross profit, operating expenses, income from operations, net income, and diluted net income per share are meaningful to investors because they help identify underlying trends in our business that could otherwise be masked by the effect of the expenses that we exclude.</w:t>
      </w:r>
    </w:p>
    <w:p>
      <w:pPr>
        <w:spacing w:after="0" w:line="183"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We believe that FCF is an indicator of our liquidity over the long term, and provides useful information regarding cash provided by operating activities and cash used for investments in property and equipment required to maintain and grow our business. FCF is presented for supplemental informational purposes only and should not be considered a substitute for financial information presented in accordance with GAAP. FCF has limitations as an analytical tool, and it should not be considered in isolation or as a substitute for analysis of other GAAP financial measures, such as net cash provided by operating activities. Some of the limitations of FCF are that FCF does not reflect our future contractual commitments, excludes investments made to acquire assets under capital leases, includes capital expenditures related to our new corporate headquarters, and may be calculated differently by other companies in our industry, limiting its usefulness as a comparative measure.</w:t>
      </w:r>
    </w:p>
    <w:p>
      <w:pPr>
        <w:spacing w:after="0" w:line="176" w:lineRule="exact"/>
        <w:rPr>
          <w:sz w:val="20"/>
          <w:szCs w:val="20"/>
          <w:color w:val="auto"/>
        </w:rPr>
      </w:pPr>
    </w:p>
    <w:p>
      <w:pPr>
        <w:ind w:right="40"/>
        <w:spacing w:after="0" w:line="290" w:lineRule="auto"/>
        <w:rPr>
          <w:sz w:val="20"/>
          <w:szCs w:val="20"/>
          <w:color w:val="auto"/>
        </w:rPr>
      </w:pPr>
      <w:r>
        <w:rPr>
          <w:rFonts w:ascii="Arial" w:cs="Arial" w:eastAsia="Arial" w:hAnsi="Arial"/>
          <w:sz w:val="16"/>
          <w:szCs w:val="16"/>
          <w:color w:val="auto"/>
        </w:rPr>
        <w:t>The use of non-GAAP cost of revenue, gross profit, operating expenses, income from operations, net income, free cash flow, and diluted net income per share measures has certain limitations as they do not reflect all items of income, expense, and cash expenditures, as applicable, that affect Dropbox's operations. Dropbox compensates for these limitations by reconciling the non-GAAP financial measures to the most comparable GAAP financial measures. Additionally, we have provided supplemental disclosures in our reconciliation of net cash provided by operating activities to free cash flow to include capital expenditures related to our new corporate headquarters, net of tenant improvement allowances. These non-GAAP financial measures should be considered in addition to, not as a substitute for or in isolation from, measures prepared in accordance with GAAP. Further, these non-GAAP measures may differ from the non-GAAP information used by other companies, including peer companies, and therefore comparability may be limited. Management encourages investors and others to review Dropbox's financial information in its entirety and not rely on a single financial measure.</w:t>
      </w:r>
    </w:p>
    <w:p>
      <w:pPr>
        <w:sectPr>
          <w:pgSz w:w="11900" w:h="16838" w:orient="portrait"/>
          <w:cols w:equalWidth="0" w:num="1">
            <w:col w:w="11420"/>
          </w:cols>
          <w:pgMar w:left="240" w:top="580" w:right="239" w:bottom="1440" w:gutter="0" w:footer="0" w:header="0"/>
        </w:sectPr>
      </w:pPr>
    </w:p>
    <w:bookmarkStart w:id="14" w:name="page15"/>
    <w:bookmarkEnd w:id="14"/>
    <w:p>
      <w:pPr>
        <w:spacing w:after="0"/>
        <w:rPr>
          <w:sz w:val="20"/>
          <w:szCs w:val="20"/>
          <w:color w:val="auto"/>
        </w:rPr>
      </w:pPr>
      <w:r>
        <w:rPr>
          <w:rFonts w:ascii="Arial" w:cs="Arial" w:eastAsia="Arial" w:hAnsi="Arial"/>
          <w:sz w:val="18"/>
          <w:szCs w:val="18"/>
          <w:b w:val="1"/>
          <w:bCs w:val="1"/>
          <w:color w:val="auto"/>
        </w:rPr>
        <w:t>Contacts</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Investors: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Darren Yip</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ir@dropbox.com</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or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Media:</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Saman Asheer</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press@dropbox.com</w:t>
      </w:r>
    </w:p>
    <w:sectPr>
      <w:pgSz w:w="11900" w:h="16838" w:orient="portrait"/>
      <w:cols w:equalWidth="0" w:num="1">
        <w:col w:w="10219"/>
      </w:cols>
      <w:pgMar w:left="240" w:top="58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25558EC"/>
    <w:multiLevelType w:val="hybridMultilevel"/>
    <w:lvl w:ilvl="0">
      <w:lvlJc w:val="left"/>
      <w:lvlText w:val="☐"/>
      <w:numFmt w:val="bullet"/>
      <w:start w:val="1"/>
    </w:lvl>
  </w:abstractNum>
  <w:abstractNum w:abstractNumId="1">
    <w:nsid w:val="238E1F29"/>
    <w:multiLevelType w:val="hybridMultilevel"/>
    <w:lvl w:ilvl="0">
      <w:lvlJc w:val="left"/>
      <w:lvlText w:val="(%1)"/>
      <w:numFmt w:val="decimal"/>
    </w:lvl>
    <w:lvl w:ilvl="1">
      <w:lvlJc w:val="left"/>
      <w:lvlText w:val="•"/>
      <w:numFmt w:val="bullet"/>
      <w:start w:val="1"/>
    </w:lvl>
  </w:abstractNum>
  <w:abstractNum w:abstractNumId="2">
    <w:nsid w:val="46E87CCD"/>
    <w:multiLevelType w:val="hybridMultilevel"/>
    <w:lvl w:ilvl="0">
      <w:lvlJc w:val="left"/>
      <w:lvlText w:val="•"/>
      <w:numFmt w:val="bullet"/>
      <w:start w:val="1"/>
    </w:lvl>
  </w:abstractNum>
  <w:abstractNum w:abstractNumId="3">
    <w:nsid w:val="3D1B58BA"/>
    <w:multiLevelType w:val="hybridMultilevel"/>
    <w:lvl w:ilvl="0">
      <w:lvlJc w:val="left"/>
      <w:lvlText w:val="•"/>
      <w:numFmt w:val="bullet"/>
      <w:start w:val="1"/>
    </w:lvl>
  </w:abstractNum>
  <w:abstractNum w:abstractNumId="4">
    <w:nsid w:val="507ED7AB"/>
    <w:multiLevelType w:val="hybridMultilevel"/>
    <w:lvl w:ilvl="0">
      <w:lvlJc w:val="left"/>
      <w:lvlText w:val="(%1)"/>
      <w:numFmt w:val="lowerRoman"/>
      <w:start w:val="3"/>
    </w:lvl>
  </w:abstractNum>
  <w:abstractNum w:abstractNumId="5">
    <w:nsid w:val="2EB141F2"/>
    <w:multiLevelType w:val="hybridMultilevel"/>
    <w:lvl w:ilvl="0">
      <w:lvlJc w:val="left"/>
      <w:lvlText w:val="(%1)"/>
      <w:numFmt w:val="decimal"/>
      <w:start w:val="1"/>
    </w:lvl>
  </w:abstractNum>
  <w:abstractNum w:abstractNumId="6">
    <w:nsid w:val="41B71EFB"/>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2019-12-28T20:05:34Z</dcterms:created>
  <dcterms:modified xsi:type="dcterms:W3CDTF">2019-12-28T20:05:34Z</dcterms:modified>
</cp:coreProperties>
</file>