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243840</wp:posOffset>
            </wp:positionV>
            <wp:extent cx="1430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44450</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August 9, 2018</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243840</wp:posOffset>
            </wp:positionV>
            <wp:extent cx="3143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DROPBOX,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21590</wp:posOffset>
            </wp:positionV>
            <wp:extent cx="3143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ectPr>
          <w:pgSz w:w="11900" w:h="16838" w:orient="portrait"/>
          <w:cols w:equalWidth="0" w:num="1">
            <w:col w:w="11520"/>
          </w:cols>
          <w:pgMar w:left="240" w:top="678" w:right="13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86" w:lineRule="exact"/>
        <w:rPr>
          <w:sz w:val="24"/>
          <w:szCs w:val="24"/>
          <w:color w:val="auto"/>
        </w:rPr>
      </w:pPr>
    </w:p>
    <w:p>
      <w:pPr>
        <w:sectPr>
          <w:pgSz w:w="11900" w:h="16838" w:orient="portrait"/>
          <w:cols w:equalWidth="0" w:num="3">
            <w:col w:w="4660" w:space="720"/>
            <w:col w:w="2540" w:space="720"/>
            <w:col w:w="2880"/>
          </w:cols>
          <w:pgMar w:left="240" w:top="678" w:right="13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 R. S. Employer Identification No.)</w:t>
      </w:r>
    </w:p>
    <w:p>
      <w:pPr>
        <w:spacing w:after="0" w:line="50" w:lineRule="exact"/>
        <w:rPr>
          <w:sz w:val="24"/>
          <w:szCs w:val="24"/>
          <w:color w:val="auto"/>
        </w:rPr>
      </w:pPr>
    </w:p>
    <w:p>
      <w:pPr>
        <w:sectPr>
          <w:pgSz w:w="11900" w:h="16838" w:orient="portrait"/>
          <w:cols w:equalWidth="0" w:num="3">
            <w:col w:w="4000" w:space="720"/>
            <w:col w:w="2220" w:space="720"/>
            <w:col w:w="3860"/>
          </w:cols>
          <w:pgMar w:left="240" w:top="678" w:right="139" w:bottom="1440" w:gutter="0" w:footer="0" w:header="0"/>
          <w:type w:val="continuous"/>
        </w:sectPr>
      </w:pPr>
    </w:p>
    <w:p>
      <w:pPr>
        <w:ind w:left="184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520"/>
          </w:cols>
          <w:pgMar w:left="240" w:top="678" w:right="139" w:bottom="1440" w:gutter="0" w:footer="0" w:header="0"/>
          <w:type w:val="continuous"/>
        </w:sectPr>
      </w:pP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333 Brannan St.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7"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7"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520"/>
          </w:cols>
          <w:pgMar w:left="240" w:top="678"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color w:val="auto"/>
        </w:rPr>
        <w:t>On August 9, 2018, Dropbox, Inc. (“Dropbox”) issued a press release and will hold a conference call announcing its financial results for the quarter ended June 30, 2018. A copy of the press release is attached as Exhibit 99.1 to this current report on Form 8-K and is incorporated by reference herein.</w:t>
      </w:r>
    </w:p>
    <w:p>
      <w:pPr>
        <w:spacing w:after="0" w:line="121" w:lineRule="exact"/>
        <w:rPr>
          <w:sz w:val="20"/>
          <w:szCs w:val="20"/>
          <w:color w:val="auto"/>
        </w:rPr>
      </w:pPr>
    </w:p>
    <w:p>
      <w:pPr>
        <w:ind w:right="340"/>
        <w:spacing w:after="0" w:line="281"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9, 2018, Dropbox announced that Dennis Woodside is stepping down as Chief Operating Officer. He’ll remain at the company until September 4, 2018 and will serve as an advisor through the end of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29"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On August 9, 2018,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2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Early Lock-Up Release Date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our initial public offering of Class A common stock (the “IPO”), all of our executive officers, directors and holders of our capital stock and securities convertible into or exchangeable for our capital stock as of the IPO entered into market standoff agreements with the Company or entered into lock-up agreements with the underwriters that restrict their ability to sell or transfer their shares for a period of 180 days after March 22, 2018. We refer to such period as the lock-up period.</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Pursuant to the lock-up agreements with the underwriters, if (i) at least 120 days have elapsed since March 22, 2018, (ii) we have publicly released our earnings results for the quarterly period during which our IPO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lock-up period is scheduled to end on September 18, 2018, which falls within our quarterly blackout period that commences at the close of trading on September 7, 2018. Therefore, in accordance with the lock-up agreements with the underwriters, the restricted period will end at the close of market on August 23, 2018, which is ten trading days prior to the commencement of our quarterly blackout period. We will also release our market standoff agreements when the restricted period expires.</w:t>
      </w:r>
    </w:p>
    <w:p>
      <w:pPr>
        <w:spacing w:after="0" w:line="18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estimate that up to approximately 358.2 million shares of Class A common stock may become eligible for sale in the public market after the close of market on August 23, 2018 (subject to continued vesting of any unvested equity awards as of such date), of which approximately 205.4 million shares would be held by affiliates and subject to the volume and other restrictions of Rule 144 of the Securities Act of 1933,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00"/>
          </w:cols>
          <w:pgMar w:left="240" w:top="796"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Press Release entitled “Dropbox Announces Fiscal 2018 Second Quarter Results” dated August 9, 2018</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6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2018</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31750</wp:posOffset>
            </wp:positionV>
            <wp:extent cx="2827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Ajay Vashee</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60"/>
          </w:cols>
          <w:pgMar w:left="240" w:top="580" w:right="39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Dropbox Announces Fiscal 2018 Second Quarter Results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Revenue of $339.2 million, Up 27% Year-Over-Year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Net Cash Provided by Operating Activities of $111.9 million and Free Cash Flow of $102.2 million</w:t>
      </w:r>
    </w:p>
    <w:p>
      <w:pPr>
        <w:spacing w:after="0" w:line="206"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August 9, 2018 - Dropbox, Inc. (NASDAQ: DBX), a leading global collaboration platform, today announced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its second fiscal quarter ended June 30, 2018.</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delivered another solid quarter of revenue growth in Q2, reflecting the strength of our unique business model,” said Dropbox Co-Founder and Chief Executive Officer Drew Houston. “We added over a dozen new product features to our user and admin experiences, and strengthened our infrastructure, all while driving a 30% free cash flow margin. With our massive scale and continued product innovation, we’re well on our way to advancing our mission of designing a more enlightened way of working.”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2018 Results</w:t>
      </w:r>
    </w:p>
    <w:p>
      <w:pPr>
        <w:spacing w:after="0" w:line="229"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$339.2 million, an increase of 27% from the same period last year.</w:t>
      </w:r>
    </w:p>
    <w:p>
      <w:pPr>
        <w:spacing w:after="0" w:line="224" w:lineRule="exact"/>
        <w:rPr>
          <w:rFonts w:ascii="Arial" w:cs="Arial" w:eastAsia="Arial" w:hAnsi="Arial"/>
          <w:sz w:val="18"/>
          <w:szCs w:val="18"/>
          <w:color w:val="auto"/>
        </w:rPr>
      </w:pPr>
    </w:p>
    <w:p>
      <w:pPr>
        <w:ind w:left="660" w:right="6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totaled 11.9 million, as compared to 9.9 million for the same period last year. Average revenue per paying user was $116.66, as compared to $111.19 for the same period last year.</w:t>
      </w:r>
    </w:p>
    <w:p>
      <w:pPr>
        <w:spacing w:after="0" w:line="169"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73.6%, as compared to 65.4% in the same period last year. Non-GAAP gross margin was 74.5%, as compared to 66.7% in the same period last year.</w:t>
      </w:r>
    </w:p>
    <w:p>
      <w:pPr>
        <w:spacing w:after="0" w:line="16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(2.1%), as compared to (10.0%) in the same period last year. Non-GAAP operating margin was 14.1%, as compared to 8.0% in the same period last year.</w:t>
      </w:r>
    </w:p>
    <w:p>
      <w:pPr>
        <w:spacing w:after="0" w:line="169" w:lineRule="exact"/>
        <w:rPr>
          <w:rFonts w:ascii="Arial" w:cs="Arial" w:eastAsia="Arial" w:hAnsi="Arial"/>
          <w:sz w:val="18"/>
          <w:szCs w:val="18"/>
          <w:color w:val="auto"/>
        </w:rPr>
      </w:pPr>
    </w:p>
    <w:p>
      <w:pPr>
        <w:ind w:left="660" w:right="60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loss was ($4.1) million, as compared to ($26.8) million in the same period last year. Non-GAAP net income was $48.0 million, as compared to $20.0 million in the same period last year.</w:t>
      </w:r>
    </w:p>
    <w:p>
      <w:pPr>
        <w:spacing w:after="0" w:line="169"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$111.9 million, as compared to $86.1 million in the same period last year. Free cash flow was $102.2 million, as compared to $82.4 million in the same period last year.</w:t>
      </w:r>
    </w:p>
    <w:p>
      <w:pPr>
        <w:spacing w:after="0" w:line="169" w:lineRule="exact"/>
        <w:rPr>
          <w:rFonts w:ascii="Arial" w:cs="Arial" w:eastAsia="Arial" w:hAnsi="Arial"/>
          <w:sz w:val="18"/>
          <w:szCs w:val="18"/>
          <w:color w:val="auto"/>
        </w:rPr>
      </w:pPr>
    </w:p>
    <w:p>
      <w:pPr>
        <w:ind w:left="660" w:hanging="328"/>
        <w:spacing w:after="0" w:line="281"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GAAP basic and diluted net loss per share was ($0.01), as compared to ($0.14) in the same period last year. Non-GAAP diluted net income per share was $0.11, as compared to $0.06 in the same period last year. </w:t>
      </w:r>
      <w:r>
        <w:rPr>
          <w:rFonts w:ascii="Arial" w:cs="Arial" w:eastAsia="Arial" w:hAnsi="Arial"/>
          <w:sz w:val="25"/>
          <w:szCs w:val="25"/>
          <w:color w:val="auto"/>
          <w:vertAlign w:val="superscript"/>
        </w:rPr>
        <w:t>(1)</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were $981.8 million at the end of the second quarter of 2018.</w:t>
      </w:r>
    </w:p>
    <w:p>
      <w:pPr>
        <w:spacing w:after="0" w:line="337" w:lineRule="exact"/>
        <w:rPr>
          <w:rFonts w:ascii="Arial" w:cs="Arial" w:eastAsia="Arial" w:hAnsi="Arial"/>
          <w:sz w:val="18"/>
          <w:szCs w:val="18"/>
          <w:color w:val="auto"/>
        </w:rPr>
      </w:pPr>
    </w:p>
    <w:p>
      <w:pPr>
        <w:ind w:right="180" w:firstLine="8"/>
        <w:spacing w:after="0" w:line="308" w:lineRule="auto"/>
        <w:tabs>
          <w:tab w:leader="none" w:pos="178"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Non-GAAP diluted net income per share is calculated based upon 423.1 million and 346.9 million diluted weighted-average shares of common stock for the three months ended June 30, 2018 and 2017, respectively.</w:t>
      </w:r>
    </w:p>
    <w:p>
      <w:pPr>
        <w:sectPr>
          <w:pgSz w:w="11900" w:h="16838" w:orient="portrait"/>
          <w:cols w:equalWidth="0" w:num="1">
            <w:col w:w="11380"/>
          </w:cols>
          <w:pgMar w:left="240" w:top="5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Dropbox will provide forward-looking guidance in connection with this quarterly earnings announcement on our conference call, webcast, and on our investor relations website at investors.dropbox.com.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 Transition</w:t>
      </w:r>
    </w:p>
    <w:p>
      <w:pPr>
        <w:spacing w:after="0" w:line="22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Dropbox also announced that Dennis Woodside is stepping down as Chief Operating Officer. He’ll remain at the company until early September and serve as an advisor through the end of the year.</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his time at Dropbox, Dennis helped build a strong leadership bench, and Dropbox is proud to announce the promotion of two of these senior leaders. They’ll join the executive team, which will be restructured to take on Dennis’ responsibilities and drive even greater focus on our customers and partners. As a result, the company does not plan to hire another COO.</w:t>
      </w:r>
    </w:p>
    <w:p>
      <w:pPr>
        <w:spacing w:after="0" w:line="183" w:lineRule="exact"/>
        <w:rPr>
          <w:sz w:val="20"/>
          <w:szCs w:val="20"/>
          <w:color w:val="auto"/>
        </w:rPr>
      </w:pPr>
    </w:p>
    <w:p>
      <w:pPr>
        <w:ind w:left="660" w:right="10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Yamini Rangan, currently VP of Business Strategy &amp; Operations, will become Chief Customer Officer reporting to CEO Drew Houston. In this new role, she’ll be responsible for customer-focused business functions, including Global Sales, Marketing, Customer Experience, Business Development, and Business Strategy &amp; Operations. Yamini joined Dropbox in 2016 and has 20 years of leadership experience across sales, marketing, and operations. Most recently, she led Global Sales Strategy and Operations at Workday, and prior to that, she held senior positions at Appirio and SAP.</w:t>
      </w:r>
    </w:p>
    <w:p>
      <w:pPr>
        <w:spacing w:after="0" w:line="191" w:lineRule="exact"/>
        <w:rPr>
          <w:rFonts w:ascii="Arial" w:cs="Arial" w:eastAsia="Arial" w:hAnsi="Arial"/>
          <w:sz w:val="18"/>
          <w:szCs w:val="18"/>
          <w:color w:val="auto"/>
        </w:rPr>
      </w:pPr>
    </w:p>
    <w:p>
      <w:pPr>
        <w:ind w:left="660" w:right="28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Lin-Hua Wu, VP of Communications, will also report to CEO Drew Houston. Lin joined Dropbox in 2016 and oversees external and internal communications, and analyst relations. Her role will help ensure the company has the right market context informing its decisions, and that its communications are fully aligned with business strategy. Lin brings more than two decades of experience to Dropbox, coming most recently from Square, where she led Corporate Communications, and Brunswick Group, where she was a partner.</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“I’ve had an amazing four years at Dropbox, and am proud of what we’ve accomplished together. It’s been an honor to work with such exceptionally talented people and help grow and scale our business,” said Dennis. “I couldn’t be happier for Yamini and Lin on their promotions, and am confident that the new executive team will take the company to even greater heights.”</w:t>
      </w:r>
    </w:p>
    <w:p>
      <w:pPr>
        <w:spacing w:after="0" w:line="1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“We’re grateful for everything Dennis has done for us,” said Drew. “He’s helped transform Dropbox into a publicly-traded company with over $1 billion in annual revenue and 12 offices around the world. Dennis will always be part of the Dropbox family, and we wish him all the best.”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Dropbox plans to host a conference call today to review its second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Eastern Time on August 16, 2018 at (855) 859-2056 from the United States or (404) 537-3406 internationally with recording access code 5483595.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25" w:lineRule="exact"/>
        <w:rPr>
          <w:sz w:val="20"/>
          <w:szCs w:val="20"/>
          <w:color w:val="auto"/>
        </w:rPr>
      </w:pPr>
    </w:p>
    <w:p>
      <w:pPr>
        <w:ind w:left="660" w:right="10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Dropbox to Present at KeyBanc Capital Markets 20th Annual Technology Leadership Forum: </w:t>
      </w:r>
      <w:r>
        <w:rPr>
          <w:rFonts w:ascii="Arial" w:cs="Arial" w:eastAsia="Arial" w:hAnsi="Arial"/>
          <w:sz w:val="18"/>
          <w:szCs w:val="18"/>
          <w:color w:val="auto"/>
        </w:rPr>
        <w:t>Ajay Vashee, Chief Financial Officer,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presenting at the KeyBanc Capital Markets 20th Annual Technology Leadership Forum in Vail, CO, on Monday, August 13, 2018 at 1:30 p.m. MT / 3:30 p.m. ET. At that time, a live webcast will be accessible from the Dropbox investor relations website at http://investors.dropbox.com. Following the event, a replay will be made available at the same location.</w:t>
      </w:r>
    </w:p>
    <w:p>
      <w:pPr>
        <w:spacing w:after="0" w:line="182" w:lineRule="exact"/>
        <w:rPr>
          <w:rFonts w:ascii="Arial" w:cs="Arial" w:eastAsia="Arial" w:hAnsi="Arial"/>
          <w:sz w:val="18"/>
          <w:szCs w:val="18"/>
          <w:color w:val="auto"/>
        </w:rPr>
      </w:pPr>
    </w:p>
    <w:p>
      <w:pPr>
        <w:ind w:left="660" w:hanging="328"/>
        <w:spacing w:after="0" w:line="27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Dropbox Lock-up Expiration: </w:t>
      </w:r>
      <w:r>
        <w:rPr>
          <w:rFonts w:ascii="Arial" w:cs="Arial" w:eastAsia="Arial" w:hAnsi="Arial"/>
          <w:sz w:val="17"/>
          <w:szCs w:val="17"/>
          <w:color w:val="auto"/>
        </w:rPr>
        <w:t>In connection with our initial public offering of Class A common stock (the “IPO”), all of our executive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holders of our capital stock and securities convertible into or exchangeable for our capital stock as of the IPO entered into market standoff agreements with the Company or entered into lock-up agreements (the “lock-up”) with the underwriters that restrict their ability to sell or transfer their shares. The lock-up period is scheduled to end on September 18, 2018, which falls within our quarterly blackout period that commences at the close of trading on September 7, 2018. Therefore, in accordance with the lock-up agreements with the underwriters, the restricted period will end at the close of market on August 23, 2018, which is ten trading days prior</w:t>
      </w:r>
    </w:p>
    <w:p>
      <w:pPr>
        <w:sectPr>
          <w:pgSz w:w="11900" w:h="16838" w:orient="portrait"/>
          <w:cols w:equalWidth="0" w:num="1">
            <w:col w:w="11420"/>
          </w:cols>
          <w:pgMar w:left="240" w:top="580"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to the commencement of our quarterly blackout period. We will also release our market standoff agreements when the restricted period expires.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Dropbox is a leading global collaboration platform that's transforming the way people work together, from the smallest business to the largest enterprise. With more than 500 million registered users across more than 180 countries, our products are designed to help unleash the world’s creative energy and establish a more enlightened way of working. Headquartered in San Francisco, CA, Dropbox has 12 offices around the world. For more information on our mission and products, visit dropbox.com.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among other things, statements regarding Dropbox's future operational performance, the demand for our platform, the benefits from new product experiences, and expectations regarding stock-based compensation expense.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w:t>
      </w:r>
    </w:p>
    <w:p>
      <w:pPr>
        <w:spacing w:after="0" w:line="1" w:lineRule="exact"/>
        <w:rPr>
          <w:sz w:val="20"/>
          <w:szCs w:val="20"/>
          <w:color w:val="auto"/>
        </w:rPr>
      </w:pPr>
    </w:p>
    <w:p>
      <w:pPr>
        <w:ind w:firstLine="8"/>
        <w:spacing w:after="0" w:line="285" w:lineRule="auto"/>
        <w:tabs>
          <w:tab w:leader="none" w:pos="314"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revenue growth rate; (iv) our history of net losses; (v) our liability for any unauthorized access to our data or our users’ content, including through privacy and data security breaches; (vi) significant disruption of service on our platform or loss of content; (vii) any decline in demand for our platform or for content collaboration solutions in general; (viii) changes in the interoperability of our platform across devices, operating systems, and third-party applications that we do not control; (ix) competition in our markets; (x) our ability to respond to rapid technological changes, extend our platform, or develop new features; (xi) our ability to manage our growth or plan for future growth; and (xii)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March 31, 2018. Additional information will be made available in our quarterly report on Form 10-Q and other future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420"/>
          </w:cols>
          <w:pgMar w:left="240" w:top="61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3"/>
              </w:rPr>
              <w:t>Net loss per share attributable to common stockholders,</w:t>
            </w:r>
          </w:p>
        </w:tc>
        <w:tc>
          <w:tcPr>
            <w:tcW w:w="1140" w:type="dxa"/>
            <w:vAlign w:val="bottom"/>
            <w:vMerge w:val="restart"/>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w w:val="91"/>
              </w:rPr>
              <w:t>Weighted-average shares used in computing net loss per</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w w:val="94"/>
              </w:rPr>
              <w:t>share attributable to common stockholders, basic and</w:t>
            </w:r>
          </w:p>
        </w:tc>
        <w:tc>
          <w:tcPr>
            <w:tcW w:w="1140" w:type="dxa"/>
            <w:vAlign w:val="bottom"/>
          </w:tcPr>
          <w:p>
            <w:pPr>
              <w:spacing w:after="0"/>
              <w:rPr>
                <w:sz w:val="18"/>
                <w:szCs w:val="18"/>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color w:val="auto"/>
              </w:rPr>
              <w:t>401.3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Includes stock-based compensation expense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Six Months Ended</w:t>
            </w:r>
          </w:p>
        </w:tc>
        <w:tc>
          <w:tcPr>
            <w:tcW w:w="104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4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200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6"/>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r>
      <w:tr>
        <w:trPr>
          <w:trHeight w:val="230"/>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Capital lease obligation</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Deferred rent, non-current</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Convertible preferred stock</w:t>
            </w:r>
          </w:p>
        </w:tc>
        <w:tc>
          <w:tcPr>
            <w:tcW w:w="36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615.3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533.1</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(1,049.7)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8"/>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282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auto"/>
                <w:w w:val="93"/>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2"/>
              </w:rPr>
              <w:t>Six Months Ended</w:t>
            </w:r>
          </w:p>
        </w:tc>
        <w:tc>
          <w:tcPr>
            <w:tcW w:w="960" w:type="dxa"/>
            <w:vAlign w:val="bottom"/>
          </w:tcPr>
          <w:p>
            <w:pPr>
              <w:spacing w:after="0"/>
              <w:rPr>
                <w:sz w:val="17"/>
                <w:szCs w:val="17"/>
                <w:color w:val="auto"/>
              </w:rPr>
            </w:pPr>
          </w:p>
        </w:tc>
      </w:tr>
      <w:tr>
        <w:trPr>
          <w:trHeight w:val="210"/>
        </w:trPr>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gridSpan w:val="3"/>
          </w:tcPr>
          <w:p>
            <w:pPr>
              <w:jc w:val="center"/>
              <w:ind w:right="399"/>
              <w:spacing w:after="0"/>
              <w:rPr>
                <w:sz w:val="20"/>
                <w:szCs w:val="20"/>
                <w:color w:val="auto"/>
              </w:rPr>
            </w:pPr>
            <w:r>
              <w:rPr>
                <w:rFonts w:ascii="Arial" w:cs="Arial" w:eastAsia="Arial" w:hAnsi="Arial"/>
                <w:sz w:val="16"/>
                <w:szCs w:val="16"/>
                <w:b w:val="1"/>
                <w:bCs w:val="1"/>
                <w:color w:val="auto"/>
                <w:w w:val="87"/>
              </w:rPr>
              <w:t>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87"/>
              </w:rPr>
              <w:t>June 30,</w:t>
            </w:r>
          </w:p>
        </w:tc>
        <w:tc>
          <w:tcPr>
            <w:tcW w:w="96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(469.6)</w:t>
            </w:r>
          </w:p>
        </w:tc>
        <w:tc>
          <w:tcPr>
            <w:tcW w:w="10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Adjustments to reconcile net loss to net cash provided by operating</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94.4</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Amortization of deferred commissions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Donation of common stock to charitable foundation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Trade and other receivables, net</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Accrued and other current liabilities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compensation and benefits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147.7</w:t>
            </w:r>
          </w:p>
        </w:tc>
      </w:tr>
      <w:tr>
        <w:trPr>
          <w:trHeight w:val="33"/>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3"/>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6"/>
        </w:trPr>
        <w:tc>
          <w:tcPr>
            <w:tcW w:w="46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sectPr>
          <w:pgSz w:w="11900" w:h="16838" w:orient="portrait"/>
          <w:cols w:equalWidth="0" w:num="1">
            <w:col w:w="11420"/>
          </w:cols>
          <w:pgMar w:left="240" w:top="584" w:right="239" w:bottom="1440" w:gutter="0" w:footer="0" w:header="0"/>
        </w:sectPr>
      </w:pPr>
    </w:p>
    <w:p>
      <w:pPr>
        <w:ind w:left="2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received from equipment rebates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maturities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sales of short-term investments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 from financing activities</w:t>
      </w:r>
    </w:p>
    <w:p>
      <w:pPr>
        <w:spacing w:after="0" w:line="90" w:lineRule="exact"/>
        <w:rPr>
          <w:sz w:val="20"/>
          <w:szCs w:val="20"/>
          <w:color w:val="auto"/>
        </w:rPr>
      </w:pPr>
    </w:p>
    <w:p>
      <w:pPr>
        <w:ind w:left="280"/>
        <w:spacing w:after="0" w:line="292" w:lineRule="auto"/>
        <w:rPr>
          <w:sz w:val="20"/>
          <w:szCs w:val="20"/>
          <w:color w:val="auto"/>
        </w:rPr>
      </w:pPr>
      <w:r>
        <w:rPr>
          <w:rFonts w:ascii="Arial" w:cs="Arial" w:eastAsia="Arial" w:hAnsi="Arial"/>
          <w:sz w:val="16"/>
          <w:szCs w:val="16"/>
          <w:color w:val="auto"/>
        </w:rPr>
        <w:t>Proceeds from initial public offering and private placement, net of underwriters' discounts and commissions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deferred offering costs</w:t>
      </w:r>
    </w:p>
    <w:p>
      <w:pPr>
        <w:spacing w:after="0" w:line="86" w:lineRule="exact"/>
        <w:rPr>
          <w:sz w:val="20"/>
          <w:szCs w:val="20"/>
          <w:color w:val="auto"/>
        </w:rPr>
      </w:pPr>
    </w:p>
    <w:p>
      <w:pPr>
        <w:ind w:left="280" w:right="160"/>
        <w:spacing w:after="0" w:line="292" w:lineRule="auto"/>
        <w:rPr>
          <w:sz w:val="20"/>
          <w:szCs w:val="20"/>
          <w:color w:val="auto"/>
        </w:rPr>
      </w:pPr>
      <w:r>
        <w:rPr>
          <w:rFonts w:ascii="Arial" w:cs="Arial" w:eastAsia="Arial" w:hAnsi="Arial"/>
          <w:sz w:val="16"/>
          <w:szCs w:val="16"/>
          <w:color w:val="auto"/>
        </w:rPr>
        <w:t>Shares repurchased for tax withholdings on release of restricted stock</w:t>
      </w:r>
    </w:p>
    <w:p>
      <w:pPr>
        <w:spacing w:after="0" w:line="11" w:lineRule="exact"/>
        <w:rPr>
          <w:sz w:val="20"/>
          <w:szCs w:val="20"/>
          <w:color w:val="auto"/>
        </w:rPr>
      </w:pPr>
    </w:p>
    <w:p>
      <w:pPr>
        <w:ind w:left="280" w:right="940"/>
        <w:spacing w:after="0" w:line="340" w:lineRule="auto"/>
        <w:rPr>
          <w:sz w:val="20"/>
          <w:szCs w:val="20"/>
          <w:color w:val="auto"/>
        </w:rPr>
      </w:pPr>
      <w:r>
        <w:rPr>
          <w:rFonts w:ascii="Arial" w:cs="Arial" w:eastAsia="Arial" w:hAnsi="Arial"/>
          <w:sz w:val="16"/>
          <w:szCs w:val="16"/>
          <w:color w:val="auto"/>
        </w:rPr>
        <w:t>Principal payments against capital lease obligations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70"/>
        </w:trPr>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(315.1)</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(495.9)</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620" w:type="dxa"/>
            <w:vAlign w:val="bottom"/>
          </w:tcPr>
          <w:p>
            <w:pPr>
              <w:jc w:val="right"/>
              <w:spacing w:after="0"/>
              <w:rPr>
                <w:sz w:val="20"/>
                <w:szCs w:val="20"/>
                <w:color w:val="auto"/>
              </w:rPr>
            </w:pPr>
            <w:r>
              <w:rPr>
                <w:rFonts w:ascii="Arial" w:cs="Arial" w:eastAsia="Arial" w:hAnsi="Arial"/>
                <w:sz w:val="16"/>
                <w:szCs w:val="16"/>
                <w:color w:val="auto"/>
              </w:rPr>
              <w:t>(304.5)</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(497.6)</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675"/>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24"/>
                <w:szCs w:val="2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746.6</w:t>
            </w:r>
          </w:p>
        </w:tc>
        <w:tc>
          <w:tcPr>
            <w:tcW w:w="10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62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4"/>
                <w:szCs w:val="2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(282.4)</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-2273935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-1931670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-1588770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-1246505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-783590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-321310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4560" w:space="120"/>
            <w:col w:w="674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17"/>
        </w:trPr>
        <w:tc>
          <w:tcPr>
            <w:tcW w:w="46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4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6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w:t>
            </w: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6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665.3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351.2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352.7</w:t>
            </w:r>
          </w:p>
        </w:tc>
      </w:tr>
      <w:tr>
        <w:trPr>
          <w:trHeight w:val="33"/>
        </w:trPr>
        <w:tc>
          <w:tcPr>
            <w:tcW w:w="4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equivalents—end of period</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data:</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3"/>
        </w:trPr>
        <w:tc>
          <w:tcPr>
            <w:tcW w:w="4680" w:type="dxa"/>
            <w:vAlign w:val="bottom"/>
          </w:tcPr>
          <w:p>
            <w:pPr>
              <w:ind w:left="280"/>
              <w:spacing w:after="0"/>
              <w:rPr>
                <w:sz w:val="20"/>
                <w:szCs w:val="20"/>
                <w:color w:val="auto"/>
              </w:rPr>
            </w:pPr>
            <w:r>
              <w:rPr>
                <w:rFonts w:ascii="Arial" w:cs="Arial" w:eastAsia="Arial" w:hAnsi="Arial"/>
                <w:sz w:val="16"/>
                <w:szCs w:val="16"/>
                <w:color w:val="auto"/>
              </w:rPr>
              <w:t>Property and equipment acquired under capital leases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9"/>
                <w:szCs w:val="19"/>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33"/>
        </w:trPr>
        <w:tc>
          <w:tcPr>
            <w:tcW w:w="4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June 30,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Donation of common</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Stock-based</w:t>
            </w:r>
          </w:p>
        </w:tc>
        <w:tc>
          <w:tcPr>
            <w:tcW w:w="14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stock to the Dropbox</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GAAP</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compensation</w:t>
            </w:r>
          </w:p>
        </w:tc>
        <w:tc>
          <w:tcPr>
            <w:tcW w:w="140" w:type="dxa"/>
            <w:vAlign w:val="bottom"/>
          </w:tcPr>
          <w:p>
            <w:pPr>
              <w:spacing w:after="0"/>
              <w:rPr>
                <w:sz w:val="20"/>
                <w:szCs w:val="20"/>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Foundation</w:t>
            </w:r>
          </w:p>
        </w:tc>
        <w:tc>
          <w:tcPr>
            <w:tcW w:w="32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3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3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3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3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3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June 30, 2017</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Donation of common</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Stock-based</w:t>
            </w:r>
          </w:p>
        </w:tc>
        <w:tc>
          <w:tcPr>
            <w:tcW w:w="16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stock to the Dropbox</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GAAP</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compensation</w:t>
            </w:r>
          </w:p>
        </w:tc>
        <w:tc>
          <w:tcPr>
            <w:tcW w:w="16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Foundation</w:t>
            </w:r>
          </w:p>
        </w:tc>
        <w:tc>
          <w:tcPr>
            <w:tcW w:w="3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88.9</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68.1</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57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 months ended June 30,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Employer payroll</w:t>
            </w: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Donation of</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taxes related to the</w:t>
            </w: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common stock to</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Stock-based</w:t>
            </w:r>
          </w:p>
        </w:tc>
        <w:tc>
          <w:tcPr>
            <w:tcW w:w="14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release of two-tier</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the Dropbox</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compensation</w:t>
            </w:r>
          </w:p>
        </w:tc>
        <w:tc>
          <w:tcPr>
            <w:tcW w:w="14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RSUs</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Foundation</w:t>
            </w:r>
          </w:p>
        </w:tc>
        <w:tc>
          <w:tcPr>
            <w:tcW w:w="24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Non-GAAP</w:t>
            </w:r>
          </w:p>
        </w:tc>
      </w:tr>
      <w:tr>
        <w:trPr>
          <w:trHeight w:val="27"/>
        </w:trPr>
        <w:tc>
          <w:tcPr>
            <w:tcW w:w="2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168.3</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487.2</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
        </w:trPr>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179.1</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i w:val="1"/>
                <w:iCs w:val="1"/>
                <w:color w:val="auto"/>
                <w:w w:val="96"/>
              </w:rPr>
              <w:t>Research and development margin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161.9</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i w:val="1"/>
                <w:iCs w:val="1"/>
                <w:color w:val="auto"/>
                <w:w w:val="98"/>
              </w:rPr>
              <w:t>General and administrative margin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82.4</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 months ended June 30, 2017</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Employer payroll</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taxes related to the</w:t>
            </w:r>
          </w:p>
        </w:tc>
        <w:tc>
          <w:tcPr>
            <w:tcW w:w="178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Donation of common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Stock-based</w:t>
            </w: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release of two-tier</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stock to the Dropbox</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compensation</w:t>
            </w: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RSUs</w:t>
            </w:r>
          </w:p>
        </w:tc>
        <w:tc>
          <w:tcPr>
            <w:tcW w:w="26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Foundation</w:t>
            </w:r>
          </w:p>
        </w:tc>
        <w:tc>
          <w:tcPr>
            <w:tcW w:w="24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Non-GAAP</w:t>
            </w:r>
          </w:p>
        </w:tc>
      </w:tr>
      <w:tr>
        <w:trPr>
          <w:trHeight w:val="27"/>
        </w:trPr>
        <w:tc>
          <w:tcPr>
            <w:tcW w:w="2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179.3</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335.3</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135.6</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i w:val="1"/>
                <w:iCs w:val="1"/>
                <w:color w:val="auto"/>
                <w:w w:val="97"/>
              </w:rPr>
              <w:t>Research and development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121.0</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51.9</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i w:val="1"/>
                <w:iCs w:val="1"/>
                <w:color w:val="auto"/>
                <w:w w:val="98"/>
              </w:rPr>
              <w:t>General and administrative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57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and six months ended June 30, 2018 and 2017</w:t>
      </w:r>
    </w:p>
    <w:p>
      <w:pPr>
        <w:jc w:val="center"/>
        <w:spacing w:after="0"/>
        <w:rPr>
          <w:sz w:val="20"/>
          <w:szCs w:val="20"/>
          <w:color w:val="auto"/>
        </w:rPr>
      </w:pPr>
      <w:r>
        <w:rPr>
          <w:rFonts w:ascii="Arial" w:cs="Arial" w:eastAsia="Arial" w:hAnsi="Arial"/>
          <w:sz w:val="20"/>
          <w:szCs w:val="20"/>
          <w:b w:val="1"/>
          <w:bCs w:val="1"/>
          <w:color w:val="auto"/>
        </w:rPr>
        <w:t>Reconciliation of GAAP net loss to Non-GAAP net income and Non-GAAP diluted net income per share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3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loss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Employer payroll taxes related to the release</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two-tier RSUs</w:t>
            </w:r>
          </w:p>
        </w:tc>
        <w:tc>
          <w:tcPr>
            <w:tcW w:w="1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320" w:type="dxa"/>
            <w:vAlign w:val="bottom"/>
          </w:tcPr>
          <w:p>
            <w:pPr>
              <w:ind w:left="40"/>
              <w:spacing w:after="0"/>
              <w:rPr>
                <w:sz w:val="20"/>
                <w:szCs w:val="20"/>
                <w:color w:val="auto"/>
              </w:rPr>
            </w:pPr>
            <w:r>
              <w:rPr>
                <w:rFonts w:ascii="Arial" w:cs="Arial" w:eastAsia="Arial" w:hAnsi="Arial"/>
                <w:sz w:val="18"/>
                <w:szCs w:val="18"/>
                <w:color w:val="auto"/>
                <w:w w:val="96"/>
              </w:rPr>
              <w:t>Donation of common stock to the Dropbox</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Foundation</w:t>
            </w:r>
          </w:p>
        </w:tc>
        <w:tc>
          <w:tcPr>
            <w:tcW w:w="13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effects of non-GAAP</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net income per share</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8"/>
                <w:szCs w:val="18"/>
                <w:color w:val="auto"/>
                <w:w w:val="94"/>
              </w:rPr>
              <w:t>Weighted-average shares used to compute</w:t>
            </w: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Non-GAAP diluted net income per share</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and six months ended June 30, 2018 and 2017</w:t>
      </w:r>
    </w:p>
    <w:p>
      <w:pPr>
        <w:jc w:val="center"/>
        <w:spacing w:after="0"/>
        <w:rPr>
          <w:sz w:val="20"/>
          <w:szCs w:val="20"/>
          <w:color w:val="auto"/>
        </w:rPr>
      </w:pPr>
      <w:r>
        <w:rPr>
          <w:rFonts w:ascii="Arial" w:cs="Arial" w:eastAsia="Arial" w:hAnsi="Arial"/>
          <w:sz w:val="20"/>
          <w:szCs w:val="20"/>
          <w:b w:val="1"/>
          <w:bCs w:val="1"/>
          <w:color w:val="auto"/>
        </w:rPr>
        <w:t>Reconciliation of free cash flow and supplemental cash flow disclosure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4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8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 reconciliation:</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w w:val="97"/>
              </w:rPr>
              <w:t>Net cash provided by operating activities</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i w:val="1"/>
                <w:iCs w:val="1"/>
                <w:color w:val="auto"/>
              </w:rPr>
              <w:t>Free cash flow margin</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220" w:type="dxa"/>
            <w:vAlign w:val="bottom"/>
          </w:tcPr>
          <w:p>
            <w:pPr>
              <w:ind w:left="280"/>
              <w:spacing w:after="0"/>
              <w:rPr>
                <w:sz w:val="20"/>
                <w:szCs w:val="20"/>
                <w:color w:val="auto"/>
              </w:rPr>
            </w:pPr>
            <w:r>
              <w:rPr>
                <w:rFonts w:ascii="Arial" w:cs="Arial" w:eastAsia="Arial" w:hAnsi="Arial"/>
                <w:sz w:val="18"/>
                <w:szCs w:val="18"/>
                <w:color w:val="auto"/>
                <w:w w:val="93"/>
              </w:rPr>
              <w:t>Capital expenditures related to our new</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80"/>
              <w:spacing w:after="0"/>
              <w:rPr>
                <w:sz w:val="20"/>
                <w:szCs w:val="20"/>
                <w:color w:val="auto"/>
              </w:rPr>
            </w:pPr>
            <w:r>
              <w:rPr>
                <w:rFonts w:ascii="Arial" w:cs="Arial" w:eastAsia="Arial" w:hAnsi="Arial"/>
                <w:sz w:val="18"/>
                <w:szCs w:val="18"/>
                <w:color w:val="auto"/>
                <w:w w:val="98"/>
              </w:rPr>
              <w:t>corporate headquarters, net of tenant</w:t>
            </w:r>
          </w:p>
        </w:tc>
        <w:tc>
          <w:tcPr>
            <w:tcW w:w="1260" w:type="dxa"/>
            <w:vAlign w:val="bottom"/>
            <w:vMerge w:val="restart"/>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320" w:type="dxa"/>
            <w:vAlign w:val="bottom"/>
            <w:vMerge w:val="restart"/>
          </w:tcPr>
          <w:p>
            <w:pPr>
              <w:jc w:val="right"/>
              <w:ind w:right="1110"/>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vMerge w:val="restart"/>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220" w:type="dxa"/>
            <w:vAlign w:val="bottom"/>
          </w:tcPr>
          <w:p>
            <w:pPr>
              <w:ind w:left="280"/>
              <w:spacing w:after="0" w:line="244" w:lineRule="exact"/>
              <w:rPr>
                <w:sz w:val="20"/>
                <w:szCs w:val="20"/>
                <w:color w:val="auto"/>
              </w:rPr>
            </w:pPr>
            <w:r>
              <w:rPr>
                <w:rFonts w:ascii="Arial" w:cs="Arial" w:eastAsia="Arial" w:hAnsi="Arial"/>
                <w:sz w:val="18"/>
                <w:szCs w:val="18"/>
                <w:color w:val="auto"/>
              </w:rPr>
              <w:t>improvement allowances</w:t>
            </w:r>
            <w:r>
              <w:rPr>
                <w:rFonts w:ascii="Arial" w:cs="Arial" w:eastAsia="Arial" w:hAnsi="Arial"/>
                <w:sz w:val="25"/>
                <w:szCs w:val="25"/>
                <w:color w:val="auto"/>
                <w:vertAlign w:val="superscript"/>
              </w:rPr>
              <w:t>(1)</w:t>
            </w:r>
          </w:p>
        </w:tc>
        <w:tc>
          <w:tcPr>
            <w:tcW w:w="12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40" w:firstLine="8"/>
        <w:spacing w:after="0" w:line="268" w:lineRule="auto"/>
        <w:tabs>
          <w:tab w:leader="none" w:pos="192"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offset this build-out. These amounts are presented net in the table above. There was no cash received from our landlord related to our new corporate headquarters in the periods presented.</w:t>
      </w:r>
    </w:p>
    <w:p>
      <w:pPr>
        <w:sectPr>
          <w:pgSz w:w="11900" w:h="16838" w:orient="portrait"/>
          <w:cols w:equalWidth="0" w:num="1">
            <w:col w:w="11420"/>
          </w:cols>
          <w:pgMar w:left="240" w:top="57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provide investors and others with additional information regarding Dropbox's results, we have disclosed the following non-GAAP financial measures: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and employer payroll tax expense relating to the release of two-tier RSUs with respect to the three months ended March 31, 2018. Non-GAAP general and administrative expense also excludes expense related to a donation of common stock to the Dropbox Foundation with respect to the three months ended June 30, 2017. Non-GAAP net income also includes the income tax effect of these adjustments. The income tax effect of these adjustments is derived by calculating a non-GAAP tax rate by excluding the impact of our non-GAAP items from non-GAAP net income, and then applying GAAP standards, including our net operating losses, to the resulting non-GAAP net income. Free cash flow differs from GAAP net cash provided by operating activities in that it treats capital expenditures as a reduction to net cash provided by operating activities. Non-GAAP diluted net income per share differs from GAAP diluted net loss per share in that the numerator utilizes the non-GAAP net income as described above, and the weighted-average shares used in the computation include certain shares that are excluded from the GAAP diluted net loss per share calculation because their effect would have been anti-dilutive.</w:t>
      </w:r>
    </w:p>
    <w:p>
      <w:pPr>
        <w:spacing w:after="0" w:line="1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9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includes capital expenditures related to our new corporate headquarters, and may be calculated differently by other companies in our industry, limiting its usefulness as a comparative measure.</w:t>
      </w:r>
    </w:p>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Yip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 Asheer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press@dropbox.com</w:t>
      </w:r>
    </w:p>
    <w:sectPr>
      <w:pgSz w:w="11900" w:h="16838" w:orient="portrait"/>
      <w:cols w:equalWidth="0" w:num="1">
        <w:col w:w="10219"/>
      </w:cols>
      <w:pgMar w:left="2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2019-12-28T20:05:34Z</dcterms:created>
  <dcterms:modified xsi:type="dcterms:W3CDTF">2019-12-28T20:05:34Z</dcterms:modified>
</cp:coreProperties>
</file>