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5304155</wp:posOffset>
            </wp:positionH>
            <wp:positionV relativeFrom="paragraph">
              <wp:posOffset>-603250</wp:posOffset>
            </wp:positionV>
            <wp:extent cx="8255" cy="6038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388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-611505</wp:posOffset>
            </wp:positionV>
            <wp:extent cx="8255" cy="6121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2140"/>
                    </a:xfrm>
                    <a:prstGeom prst="rect">
                      <a:avLst/>
                    </a:prstGeom>
                    <a:noFill/>
                  </pic:spPr>
                </pic:pic>
              </a:graphicData>
            </a:graphic>
          </wp:anchor>
        </w:drawing>
        <w:drawing>
          <wp:anchor simplePos="0" relativeHeight="251657728" behindDoc="1" locked="0" layoutInCell="0" allowOverlap="1">
            <wp:simplePos x="0" y="0"/>
            <wp:positionH relativeFrom="column">
              <wp:posOffset>4022725</wp:posOffset>
            </wp:positionH>
            <wp:positionV relativeFrom="paragraph">
              <wp:posOffset>-586740</wp:posOffset>
            </wp:positionV>
            <wp:extent cx="1264920" cy="563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4920" cy="5632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27940</wp:posOffset>
            </wp:positionV>
            <wp:extent cx="6968490" cy="18688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868805"/>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Regan Timothy</w:t>
        </w:r>
      </w:hyperlink>
    </w:p>
    <w:p>
      <w:pPr>
        <w:spacing w:after="0" w:line="30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05/15/2020</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1" w:right="640" w:hanging="1"/>
        <w:spacing w:after="0" w:line="237" w:lineRule="auto"/>
        <w:tabs>
          <w:tab w:leader="none" w:pos="14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1" w:type="dxa"/>
        <w:tblCellMar>
          <w:top w:w="0" w:type="dxa"/>
          <w:left w:w="0" w:type="dxa"/>
          <w:bottom w:w="0" w:type="dxa"/>
          <w:right w:w="0" w:type="dxa"/>
        </w:tblCellMar>
      </w:tblPr>
      <w:tr>
        <w:trPr>
          <w:trHeight w:val="154"/>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0"/>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721"/>
        <w:spacing w:after="0"/>
        <w:rPr>
          <w:sz w:val="20"/>
          <w:szCs w:val="20"/>
          <w:color w:val="auto"/>
        </w:rPr>
      </w:pPr>
      <w:r>
        <w:rPr>
          <w:rFonts w:ascii="Arial" w:cs="Arial" w:eastAsia="Arial" w:hAnsi="Arial"/>
          <w:sz w:val="17"/>
          <w:szCs w:val="17"/>
          <w:color w:val="0000FF"/>
        </w:rPr>
        <w:t>Chief Accounting Officer</w:t>
      </w:r>
    </w:p>
    <w:p>
      <w:pPr>
        <w:spacing w:after="0" w:line="536" w:lineRule="exact"/>
        <w:rPr>
          <w:sz w:val="24"/>
          <w:szCs w:val="24"/>
          <w:color w:val="auto"/>
        </w:rPr>
      </w:pPr>
    </w:p>
    <w:p>
      <w:pPr>
        <w:sectPr>
          <w:pgSz w:w="11900" w:h="16838" w:orient="portrait"/>
          <w:cols w:equalWidth="0" w:num="3">
            <w:col w:w="3180" w:space="720"/>
            <w:col w:w="3119" w:space="720"/>
            <w:col w:w="3341"/>
          </w:cols>
          <w:pgMar w:left="460" w:top="221" w:right="359" w:bottom="1440" w:gutter="0" w:footer="0" w:header="0"/>
          <w:type w:val="continuous"/>
        </w:sectPr>
      </w:pPr>
    </w:p>
    <w:p>
      <w:pPr>
        <w:spacing w:after="0" w:line="137"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2" w:lineRule="exact"/>
        <w:rPr>
          <w:sz w:val="24"/>
          <w:szCs w:val="24"/>
          <w:color w:val="auto"/>
        </w:rPr>
      </w:pPr>
    </w:p>
    <w:p>
      <w:pPr>
        <w:ind w:left="120" w:right="200"/>
        <w:spacing w:after="0"/>
        <w:rPr>
          <w:sz w:val="20"/>
          <w:szCs w:val="20"/>
          <w:color w:val="auto"/>
        </w:rPr>
      </w:pPr>
      <w:r>
        <w:rPr>
          <w:rFonts w:ascii="Arial" w:cs="Arial" w:eastAsia="Arial" w:hAnsi="Arial"/>
          <w:sz w:val="33"/>
          <w:szCs w:val="33"/>
          <w:color w:val="0000FF"/>
          <w:vertAlign w:val="superscript"/>
        </w:rPr>
        <w:t>SAN</w:t>
      </w:r>
      <w:r>
        <w:rPr>
          <w:rFonts w:ascii="Arial" w:cs="Arial" w:eastAsia="Arial" w:hAnsi="Arial"/>
          <w:sz w:val="17"/>
          <w:szCs w:val="17"/>
          <w:color w:val="0000FF"/>
        </w:rPr>
        <w:t xml:space="preserve"> CA 94158 FRANCISCO</w:t>
      </w:r>
    </w:p>
    <w:p>
      <w:pPr>
        <w:spacing w:after="0" w:line="34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16"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264795</wp:posOffset>
            </wp:positionV>
            <wp:extent cx="6968490" cy="1297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8490" cy="1297305"/>
                    </a:xfrm>
                    <a:prstGeom prst="rect">
                      <a:avLst/>
                    </a:prstGeom>
                    <a:noFill/>
                  </pic:spPr>
                </pic:pic>
              </a:graphicData>
            </a:graphic>
          </wp:anchor>
        </w:drawing>
      </w:r>
    </w:p>
    <w:p>
      <w:pPr>
        <w:spacing w:after="0" w:line="476" w:lineRule="exact"/>
        <w:rPr>
          <w:sz w:val="24"/>
          <w:szCs w:val="24"/>
          <w:color w:val="auto"/>
        </w:rPr>
      </w:pPr>
    </w:p>
    <w:p>
      <w:pPr>
        <w:sectPr>
          <w:pgSz w:w="11900" w:h="16838" w:orient="portrait"/>
          <w:cols w:equalWidth="0" w:num="2">
            <w:col w:w="3180" w:space="72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0"/>
                <w:szCs w:val="10"/>
                <w:color w:val="auto"/>
              </w:rPr>
            </w:pPr>
          </w:p>
        </w:tc>
        <w:tc>
          <w:tcPr>
            <w:tcW w:w="980" w:type="dxa"/>
            <w:vAlign w:val="bottom"/>
          </w:tcPr>
          <w:p>
            <w:pPr>
              <w:ind w:left="20"/>
              <w:spacing w:after="0" w:line="126"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Transaction</w:t>
            </w:r>
          </w:p>
        </w:tc>
        <w:tc>
          <w:tcPr>
            <w:tcW w:w="1880" w:type="dxa"/>
            <w:vAlign w:val="bottom"/>
            <w:gridSpan w:val="4"/>
          </w:tcPr>
          <w:p>
            <w:pPr>
              <w:ind w:left="10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tcBorders>
              <w:bottom w:val="single" w:sz="8" w:color="2C2C2C"/>
            </w:tcBorders>
            <w:gridSpan w:val="2"/>
          </w:tcPr>
          <w:p>
            <w:pPr>
              <w:ind w:left="900"/>
              <w:spacing w:after="0"/>
              <w:rPr>
                <w:sz w:val="20"/>
                <w:szCs w:val="20"/>
                <w:color w:val="auto"/>
              </w:rPr>
            </w:pPr>
            <w:r>
              <w:rPr>
                <w:rFonts w:ascii="Arial" w:cs="Arial" w:eastAsia="Arial" w:hAnsi="Arial"/>
                <w:sz w:val="17"/>
                <w:szCs w:val="17"/>
                <w:color w:val="0000FF"/>
              </w:rPr>
              <w:t>05/15/2020</w:t>
            </w:r>
          </w:p>
        </w:tc>
        <w:tc>
          <w:tcPr>
            <w:tcW w:w="9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C</w:t>
            </w:r>
          </w:p>
        </w:tc>
        <w:tc>
          <w:tcPr>
            <w:tcW w:w="70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80"/>
              </w:rPr>
              <w:t>4,088</w:t>
            </w:r>
            <w:r>
              <w:rPr>
                <w:rFonts w:ascii="Arial" w:cs="Arial" w:eastAsia="Arial" w:hAnsi="Arial"/>
                <w:sz w:val="21"/>
                <w:szCs w:val="21"/>
                <w:color w:val="008000"/>
                <w:w w:val="80"/>
                <w:vertAlign w:val="superscript"/>
              </w:rPr>
              <w:t>(1)</w:t>
            </w:r>
          </w:p>
        </w:tc>
        <w:tc>
          <w:tcPr>
            <w:tcW w:w="62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1300" w:type="dxa"/>
            <w:vAlign w:val="bottom"/>
            <w:tcBorders>
              <w:bottom w:val="single" w:sz="8" w:color="2C2C2C"/>
            </w:tcBorders>
            <w:gridSpan w:val="3"/>
          </w:tcPr>
          <w:p>
            <w:pPr>
              <w:ind w:left="340"/>
              <w:spacing w:after="0"/>
              <w:rPr>
                <w:sz w:val="20"/>
                <w:szCs w:val="20"/>
                <w:color w:val="auto"/>
              </w:rPr>
            </w:pPr>
            <w:r>
              <w:rPr>
                <w:rFonts w:ascii="Arial" w:cs="Arial" w:eastAsia="Arial" w:hAnsi="Arial"/>
                <w:sz w:val="17"/>
                <w:szCs w:val="17"/>
                <w:color w:val="0000FF"/>
              </w:rPr>
              <w:t>151,402</w:t>
            </w:r>
            <w:r>
              <w:rPr>
                <w:rFonts w:ascii="Arial" w:cs="Arial" w:eastAsia="Arial" w:hAnsi="Arial"/>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tcBorders>
              <w:bottom w:val="single" w:sz="8" w:color="2C2C2C"/>
            </w:tcBorders>
            <w:gridSpan w:val="2"/>
          </w:tcPr>
          <w:p>
            <w:pPr>
              <w:ind w:left="900"/>
              <w:spacing w:after="0"/>
              <w:rPr>
                <w:sz w:val="20"/>
                <w:szCs w:val="20"/>
                <w:color w:val="auto"/>
              </w:rPr>
            </w:pPr>
            <w:r>
              <w:rPr>
                <w:rFonts w:ascii="Arial" w:cs="Arial" w:eastAsia="Arial" w:hAnsi="Arial"/>
                <w:sz w:val="17"/>
                <w:szCs w:val="17"/>
                <w:color w:val="0000FF"/>
              </w:rPr>
              <w:t>05/15/2020</w:t>
            </w:r>
          </w:p>
        </w:tc>
        <w:tc>
          <w:tcPr>
            <w:tcW w:w="9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0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80"/>
              </w:rPr>
              <w:t>3,356</w:t>
            </w:r>
            <w:r>
              <w:rPr>
                <w:rFonts w:ascii="Arial" w:cs="Arial" w:eastAsia="Arial" w:hAnsi="Arial"/>
                <w:sz w:val="21"/>
                <w:szCs w:val="21"/>
                <w:color w:val="008000"/>
                <w:w w:val="80"/>
                <w:vertAlign w:val="superscript"/>
              </w:rPr>
              <w:t>(3)</w:t>
            </w:r>
          </w:p>
        </w:tc>
        <w:tc>
          <w:tcPr>
            <w:tcW w:w="62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5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21.5</w:t>
            </w:r>
          </w:p>
        </w:tc>
        <w:tc>
          <w:tcPr>
            <w:tcW w:w="1300" w:type="dxa"/>
            <w:vAlign w:val="bottom"/>
            <w:tcBorders>
              <w:bottom w:val="single" w:sz="8" w:color="2C2C2C"/>
            </w:tcBorders>
            <w:gridSpan w:val="3"/>
          </w:tcPr>
          <w:p>
            <w:pPr>
              <w:ind w:left="340"/>
              <w:spacing w:after="0"/>
              <w:rPr>
                <w:sz w:val="20"/>
                <w:szCs w:val="20"/>
                <w:color w:val="auto"/>
              </w:rPr>
            </w:pPr>
            <w:r>
              <w:rPr>
                <w:rFonts w:ascii="Arial" w:cs="Arial" w:eastAsia="Arial" w:hAnsi="Arial"/>
                <w:sz w:val="17"/>
                <w:szCs w:val="17"/>
                <w:color w:val="0000FF"/>
              </w:rPr>
              <w:t>148,046</w:t>
            </w:r>
            <w:r>
              <w:rPr>
                <w:rFonts w:ascii="Arial" w:cs="Arial" w:eastAsia="Arial" w:hAnsi="Arial"/>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9"/>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4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ind w:left="240"/>
              <w:spacing w:after="0"/>
              <w:rPr>
                <w:sz w:val="20"/>
                <w:szCs w:val="20"/>
                <w:color w:val="auto"/>
              </w:rPr>
            </w:pPr>
            <w:r>
              <w:rPr>
                <w:rFonts w:ascii="Arial" w:cs="Arial" w:eastAsia="Arial" w:hAnsi="Arial"/>
                <w:sz w:val="11"/>
                <w:szCs w:val="11"/>
                <w:color w:val="008000"/>
              </w:rPr>
              <w:t>(1)</w:t>
            </w:r>
          </w:p>
        </w:tc>
        <w:tc>
          <w:tcPr>
            <w:tcW w:w="620" w:type="dxa"/>
            <w:vAlign w:val="bottom"/>
          </w:tcPr>
          <w:p>
            <w:pPr>
              <w:jc w:val="center"/>
              <w:ind w:right="37"/>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4,088</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gridSpan w:val="2"/>
            <w:vMerge w:val="restart"/>
          </w:tcPr>
          <w:p>
            <w:pPr>
              <w:ind w:left="160"/>
              <w:spacing w:after="0"/>
              <w:rPr>
                <w:sz w:val="20"/>
                <w:szCs w:val="20"/>
                <w:color w:val="auto"/>
              </w:rPr>
            </w:pPr>
            <w:r>
              <w:rPr>
                <w:rFonts w:ascii="Arial" w:cs="Arial" w:eastAsia="Arial" w:hAnsi="Arial"/>
                <w:sz w:val="13"/>
                <w:szCs w:val="13"/>
                <w:color w:val="0000FF"/>
              </w:rPr>
              <w:t>14,662</w:t>
            </w:r>
            <w:r>
              <w:rPr>
                <w:rFonts w:ascii="Arial" w:cs="Arial" w:eastAsia="Arial" w:hAnsi="Arial"/>
                <w:sz w:val="21"/>
                <w:szCs w:val="21"/>
                <w:color w:val="008000"/>
                <w:vertAlign w:val="superscript"/>
              </w:rPr>
              <w:t>(4)</w:t>
            </w: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jc w:val="right"/>
              <w:ind w:right="140"/>
              <w:spacing w:after="0" w:line="141" w:lineRule="exact"/>
              <w:rPr>
                <w:sz w:val="20"/>
                <w:szCs w:val="20"/>
                <w:color w:val="auto"/>
              </w:rPr>
            </w:pPr>
            <w:r>
              <w:rPr>
                <w:rFonts w:ascii="Arial" w:cs="Arial" w:eastAsia="Arial" w:hAnsi="Arial"/>
                <w:sz w:val="13"/>
                <w:szCs w:val="13"/>
                <w:color w:val="0000FF"/>
              </w:rPr>
              <w:t>05/15/2020</w:t>
            </w:r>
          </w:p>
        </w:tc>
        <w:tc>
          <w:tcPr>
            <w:tcW w:w="1120" w:type="dxa"/>
            <w:vAlign w:val="bottom"/>
          </w:tcPr>
          <w:p>
            <w:pPr>
              <w:spacing w:after="0"/>
              <w:rPr>
                <w:sz w:val="12"/>
                <w:szCs w:val="12"/>
                <w:color w:val="auto"/>
              </w:rPr>
            </w:pPr>
          </w:p>
        </w:tc>
        <w:tc>
          <w:tcPr>
            <w:tcW w:w="740" w:type="dxa"/>
            <w:vAlign w:val="bottom"/>
          </w:tcPr>
          <w:p>
            <w:pPr>
              <w:ind w:left="160"/>
              <w:spacing w:after="0" w:line="141" w:lineRule="exact"/>
              <w:rPr>
                <w:sz w:val="20"/>
                <w:szCs w:val="20"/>
                <w:color w:val="auto"/>
              </w:rPr>
            </w:pPr>
            <w:r>
              <w:rPr>
                <w:rFonts w:ascii="Arial" w:cs="Arial" w:eastAsia="Arial" w:hAnsi="Arial"/>
                <w:sz w:val="13"/>
                <w:szCs w:val="13"/>
                <w:color w:val="0000FF"/>
              </w:rPr>
              <w:t>C</w:t>
            </w:r>
          </w:p>
        </w:tc>
        <w:tc>
          <w:tcPr>
            <w:tcW w:w="980" w:type="dxa"/>
            <w:vAlign w:val="bottom"/>
          </w:tcPr>
          <w:p>
            <w:pPr>
              <w:jc w:val="right"/>
              <w:ind w:right="141"/>
              <w:spacing w:after="0" w:line="141" w:lineRule="exact"/>
              <w:rPr>
                <w:sz w:val="20"/>
                <w:szCs w:val="20"/>
                <w:color w:val="auto"/>
              </w:rPr>
            </w:pPr>
            <w:r>
              <w:rPr>
                <w:rFonts w:ascii="Arial" w:cs="Arial" w:eastAsia="Arial" w:hAnsi="Arial"/>
                <w:sz w:val="13"/>
                <w:szCs w:val="13"/>
                <w:color w:val="0000FF"/>
              </w:rPr>
              <w:t>4,088</w:t>
            </w: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20" w:type="dxa"/>
            <w:vAlign w:val="bottom"/>
          </w:tcPr>
          <w:p>
            <w:pPr>
              <w:ind w:left="20"/>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60" w:type="dxa"/>
            <w:vAlign w:val="bottom"/>
            <w:gridSpan w:val="2"/>
            <w:vMerge w:val="continue"/>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jc w:val="center"/>
              <w:ind w:right="37"/>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vMerge w:val="restart"/>
          </w:tcPr>
          <w:p>
            <w:pPr>
              <w:jc w:val="center"/>
              <w:ind w:right="61"/>
              <w:spacing w:after="0"/>
              <w:rPr>
                <w:sz w:val="20"/>
                <w:szCs w:val="20"/>
                <w:color w:val="auto"/>
              </w:rPr>
            </w:pPr>
            <w:r>
              <w:rPr>
                <w:rFonts w:ascii="Arial" w:cs="Arial" w:eastAsia="Arial" w:hAnsi="Arial"/>
                <w:sz w:val="13"/>
                <w:szCs w:val="13"/>
                <w:color w:val="0000FF"/>
              </w:rPr>
              <w:t>2,162</w:t>
            </w:r>
            <w:r>
              <w:rPr>
                <w:rFonts w:ascii="Arial" w:cs="Arial" w:eastAsia="Arial" w:hAnsi="Arial"/>
                <w:sz w:val="21"/>
                <w:szCs w:val="21"/>
                <w:color w:val="008000"/>
                <w:vertAlign w:val="superscript"/>
              </w:rPr>
              <w:t>(3)</w:t>
            </w:r>
          </w:p>
        </w:tc>
        <w:tc>
          <w:tcPr>
            <w:tcW w:w="780" w:type="dxa"/>
            <w:vAlign w:val="bottom"/>
            <w:gridSpan w:val="2"/>
            <w:vMerge w:val="restart"/>
          </w:tcPr>
          <w:p>
            <w:pPr>
              <w:ind w:left="260"/>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ind w:left="240"/>
              <w:spacing w:after="0"/>
              <w:rPr>
                <w:sz w:val="20"/>
                <w:szCs w:val="20"/>
                <w:color w:val="auto"/>
              </w:rPr>
            </w:pPr>
            <w:r>
              <w:rPr>
                <w:rFonts w:ascii="Arial" w:cs="Arial" w:eastAsia="Arial" w:hAnsi="Arial"/>
                <w:sz w:val="11"/>
                <w:szCs w:val="11"/>
                <w:color w:val="008000"/>
              </w:rPr>
              <w:t>(5)</w:t>
            </w:r>
          </w:p>
        </w:tc>
        <w:tc>
          <w:tcPr>
            <w:tcW w:w="620" w:type="dxa"/>
            <w:vAlign w:val="bottom"/>
          </w:tcPr>
          <w:p>
            <w:pPr>
              <w:jc w:val="center"/>
              <w:ind w:right="37"/>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2,162</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gridSpan w:val="2"/>
            <w:vMerge w:val="restart"/>
          </w:tcPr>
          <w:p>
            <w:pPr>
              <w:ind w:left="160"/>
              <w:spacing w:after="0"/>
              <w:rPr>
                <w:sz w:val="20"/>
                <w:szCs w:val="20"/>
                <w:color w:val="auto"/>
              </w:rPr>
            </w:pPr>
            <w:r>
              <w:rPr>
                <w:rFonts w:ascii="Arial" w:cs="Arial" w:eastAsia="Arial" w:hAnsi="Arial"/>
                <w:sz w:val="13"/>
                <w:szCs w:val="13"/>
                <w:color w:val="0000FF"/>
              </w:rPr>
              <w:t>12,500</w:t>
            </w:r>
            <w:r>
              <w:rPr>
                <w:rFonts w:ascii="Arial" w:cs="Arial" w:eastAsia="Arial" w:hAnsi="Arial"/>
                <w:sz w:val="21"/>
                <w:szCs w:val="21"/>
                <w:color w:val="008000"/>
                <w:vertAlign w:val="superscript"/>
              </w:rPr>
              <w:t>(4)</w:t>
            </w: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jc w:val="right"/>
              <w:ind w:right="140"/>
              <w:spacing w:after="0" w:line="141" w:lineRule="exact"/>
              <w:rPr>
                <w:sz w:val="20"/>
                <w:szCs w:val="20"/>
                <w:color w:val="auto"/>
              </w:rPr>
            </w:pPr>
            <w:r>
              <w:rPr>
                <w:rFonts w:ascii="Arial" w:cs="Arial" w:eastAsia="Arial" w:hAnsi="Arial"/>
                <w:sz w:val="13"/>
                <w:szCs w:val="13"/>
                <w:color w:val="0000FF"/>
              </w:rPr>
              <w:t>05/15/2020</w:t>
            </w:r>
          </w:p>
        </w:tc>
        <w:tc>
          <w:tcPr>
            <w:tcW w:w="1120" w:type="dxa"/>
            <w:vAlign w:val="bottom"/>
          </w:tcPr>
          <w:p>
            <w:pPr>
              <w:spacing w:after="0"/>
              <w:rPr>
                <w:sz w:val="12"/>
                <w:szCs w:val="12"/>
                <w:color w:val="auto"/>
              </w:rPr>
            </w:pPr>
          </w:p>
        </w:tc>
        <w:tc>
          <w:tcPr>
            <w:tcW w:w="740" w:type="dxa"/>
            <w:vAlign w:val="bottom"/>
          </w:tcPr>
          <w:p>
            <w:pPr>
              <w:ind w:left="180"/>
              <w:spacing w:after="0" w:line="141" w:lineRule="exact"/>
              <w:rPr>
                <w:sz w:val="20"/>
                <w:szCs w:val="20"/>
                <w:color w:val="auto"/>
              </w:rPr>
            </w:pPr>
            <w:r>
              <w:rPr>
                <w:rFonts w:ascii="Arial" w:cs="Arial" w:eastAsia="Arial" w:hAnsi="Arial"/>
                <w:sz w:val="13"/>
                <w:szCs w:val="13"/>
                <w:color w:val="0000FF"/>
              </w:rPr>
              <w:t>F</w:t>
            </w:r>
          </w:p>
        </w:tc>
        <w:tc>
          <w:tcPr>
            <w:tcW w:w="98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20" w:type="dxa"/>
            <w:vAlign w:val="bottom"/>
          </w:tcPr>
          <w:p>
            <w:pPr>
              <w:ind w:left="20"/>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21.5</w:t>
            </w:r>
          </w:p>
        </w:tc>
        <w:tc>
          <w:tcPr>
            <w:tcW w:w="860" w:type="dxa"/>
            <w:vAlign w:val="bottom"/>
            <w:gridSpan w:val="2"/>
            <w:vMerge w:val="continue"/>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jc w:val="center"/>
              <w:ind w:right="37"/>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-2145030</wp:posOffset>
            </wp:positionV>
            <wp:extent cx="7033895" cy="2186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186940"/>
                    </a:xfrm>
                    <a:prstGeom prst="rect">
                      <a:avLst/>
                    </a:prstGeom>
                    <a:noFill/>
                  </pic:spPr>
                </pic:pic>
              </a:graphicData>
            </a:graphic>
          </wp:anchor>
        </w:drawing>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4,088 shares of Class B Common Stock were converted into 4,088 shares of Class A Common Stock at the election of the Reporting Person and had no expiration date.</w:t>
      </w:r>
    </w:p>
    <w:p>
      <w:pPr>
        <w:spacing w:after="0" w:line="43" w:lineRule="exact"/>
        <w:rPr>
          <w:rFonts w:ascii="Arial" w:cs="Arial" w:eastAsia="Arial" w:hAnsi="Arial"/>
          <w:sz w:val="13"/>
          <w:szCs w:val="13"/>
          <w:color w:val="008000"/>
        </w:rPr>
      </w:pPr>
    </w:p>
    <w:p>
      <w:pPr>
        <w:ind w:left="40" w:right="240" w:firstLine="1"/>
        <w:spacing w:after="0" w:line="288" w:lineRule="auto"/>
        <w:tabs>
          <w:tab w:leader="none" w:pos="16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Certain of these securities are restricted stock units. Each restricted stock unit represents the Reporting Person's right to receive one share of Class A Common Stock, subject to the applicable vesting schedule through February 15, 2024. In the event the Reporting Person ceases to be a Service Provider, the unvested restricted stock units will be cancelled by the Issuer.</w:t>
      </w:r>
    </w:p>
    <w:p>
      <w:pPr>
        <w:spacing w:after="0" w:line="2" w:lineRule="exact"/>
        <w:rPr>
          <w:rFonts w:ascii="Arial" w:cs="Arial" w:eastAsia="Arial" w:hAnsi="Arial"/>
          <w:sz w:val="12"/>
          <w:szCs w:val="12"/>
          <w:color w:val="008000"/>
        </w:rPr>
      </w:pPr>
    </w:p>
    <w:p>
      <w:pPr>
        <w:ind w:left="40" w:right="540" w:firstLine="1"/>
        <w:spacing w:after="0" w:line="247"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that have been withheld by the Issuer to satisfy income tax withholding and remittance obligations in connection with the vesting and net settlement of restricted stock units previously reported.</w:t>
      </w:r>
    </w:p>
    <w:p>
      <w:pPr>
        <w:spacing w:after="0" w:line="26" w:lineRule="exact"/>
        <w:rPr>
          <w:rFonts w:ascii="Arial" w:cs="Arial" w:eastAsia="Arial" w:hAnsi="Arial"/>
          <w:sz w:val="13"/>
          <w:szCs w:val="13"/>
          <w:color w:val="008000"/>
        </w:rPr>
      </w:pPr>
    </w:p>
    <w:p>
      <w:pPr>
        <w:ind w:left="40" w:right="320" w:firstLine="1"/>
        <w:spacing w:after="0" w:line="247"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are restricted stock units. Each restricted stock unit represents the Reporting Person's right to receive one share of Class B Common Stock, subject to the applicable vesting schedule through November 15, 2020. In the event the Reporting Person ceases to be a Service Provider, any then unvested restricted stock units will be cancelled by the Issuer.</w:t>
      </w:r>
    </w:p>
    <w:p>
      <w:pPr>
        <w:spacing w:after="0" w:line="26"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Issuer's Class B Common Stock is convertible into the Issuer's Class A Common Stock on a one-for-one basis at the Reporting Person's election and has no expiration date.</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w w:val="99"/>
              </w:rPr>
              <w:t>/s/ Bart E. Volkmer, Attorney-</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05/19/2020</w:t>
            </w:r>
          </w:p>
        </w:tc>
        <w:tc>
          <w:tcPr>
            <w:tcW w:w="0" w:type="dxa"/>
            <w:vAlign w:val="bottom"/>
          </w:tcPr>
          <w:p>
            <w:pPr>
              <w:spacing w:after="0"/>
              <w:rPr>
                <w:sz w:val="1"/>
                <w:szCs w:val="1"/>
                <w:color w:val="auto"/>
              </w:rPr>
            </w:pPr>
          </w:p>
        </w:tc>
      </w:tr>
      <w:tr>
        <w:trPr>
          <w:trHeight w:val="88"/>
        </w:trPr>
        <w:tc>
          <w:tcPr>
            <w:tcW w:w="480" w:type="dxa"/>
            <w:vAlign w:val="bottom"/>
            <w:tcBorders>
              <w:top w:val="single" w:sz="8" w:color="auto"/>
              <w:bottom w:val="single" w:sz="8" w:color="auto"/>
            </w:tcBorders>
            <w:vMerge w:val="restart"/>
          </w:tcPr>
          <w:p>
            <w:pPr>
              <w:spacing w:after="0" w:line="185" w:lineRule="exact"/>
              <w:rPr>
                <w:sz w:val="20"/>
                <w:szCs w:val="20"/>
                <w:color w:val="auto"/>
              </w:rPr>
            </w:pPr>
            <w:r>
              <w:rPr>
                <w:rFonts w:ascii="Arial" w:cs="Arial" w:eastAsia="Arial" w:hAnsi="Arial"/>
                <w:sz w:val="17"/>
                <w:szCs w:val="17"/>
                <w:color w:val="0000FF"/>
                <w:w w:val="86"/>
              </w:rPr>
              <w:t>In-Fact</w:t>
            </w:r>
          </w:p>
        </w:tc>
        <w:tc>
          <w:tcPr>
            <w:tcW w:w="152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480" w:type="dxa"/>
            <w:vAlign w:val="bottom"/>
            <w:tcBorders>
              <w:bottom w:val="single" w:sz="8" w:color="auto"/>
            </w:tcBorders>
            <w:vMerge w:val="continue"/>
          </w:tcPr>
          <w:p>
            <w:pPr>
              <w:spacing w:after="0"/>
              <w:rPr>
                <w:sz w:val="7"/>
                <w:szCs w:val="7"/>
                <w:color w:val="auto"/>
              </w:rPr>
            </w:pPr>
          </w:p>
        </w:tc>
        <w:tc>
          <w:tcPr>
            <w:tcW w:w="15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1"/>
        <w:spacing w:after="0" w:line="333"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34440"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2020-05-19T19:37:34Z</dcterms:created>
  <dcterms:modified xsi:type="dcterms:W3CDTF">2020-05-19T19:37:34Z</dcterms:modified>
</cp:coreProperties>
</file>