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2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July 1, 2022</w:t>
      </w:r>
    </w:p>
    <w:p>
      <w:pPr>
        <w:spacing w:after="0" w:line="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2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40"/>
          </w:cols>
          <w:pgMar w:left="320" w:top="849" w:right="239" w:bottom="1440" w:gutter="0" w:footer="0" w:header="0"/>
        </w:sectPr>
      </w:pPr>
    </w:p>
    <w:p>
      <w:pPr>
        <w:spacing w:after="0" w:line="103"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20" w:lineRule="exact"/>
        <w:rPr>
          <w:sz w:val="24"/>
          <w:szCs w:val="24"/>
          <w:color w:val="auto"/>
        </w:rPr>
      </w:pPr>
    </w:p>
    <w:p>
      <w:pPr>
        <w:sectPr>
          <w:pgSz w:w="11900" w:h="16838" w:orient="portrait"/>
          <w:cols w:equalWidth="0" w:num="3">
            <w:col w:w="3860" w:space="720"/>
            <w:col w:w="2200" w:space="720"/>
            <w:col w:w="3840"/>
          </w:cols>
          <w:pgMar w:left="320" w:top="849" w:right="2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340"/>
          </w:cols>
          <w:pgMar w:left="320" w:top="849" w:right="239" w:bottom="1440" w:gutter="0" w:footer="0" w:header="0"/>
          <w:type w:val="continuous"/>
        </w:sectPr>
      </w:pPr>
    </w:p>
    <w:p>
      <w:pPr>
        <w:spacing w:after="0" w:line="31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857-6800</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5" w:lineRule="exact"/>
        <w:rPr>
          <w:sz w:val="24"/>
          <w:szCs w:val="24"/>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84"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82550</wp:posOffset>
            </wp:positionV>
            <wp:extent cx="6258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8560" cy="8255"/>
                    </a:xfrm>
                    <a:prstGeom prst="rect">
                      <a:avLst/>
                    </a:prstGeom>
                    <a:noFill/>
                  </pic:spPr>
                </pic:pic>
              </a:graphicData>
            </a:graphic>
          </wp:anchor>
        </w:drawing>
      </w:r>
    </w:p>
    <w:p>
      <w:pPr>
        <w:spacing w:after="0" w:line="148"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80" w:type="dxa"/>
            <w:vAlign w:val="bottom"/>
          </w:tcPr>
          <w:p>
            <w:pPr>
              <w:spacing w:after="0"/>
              <w:rPr>
                <w:sz w:val="13"/>
                <w:szCs w:val="13"/>
                <w:color w:val="auto"/>
              </w:rPr>
            </w:pPr>
          </w:p>
        </w:tc>
        <w:tc>
          <w:tcPr>
            <w:tcW w:w="19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10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08"/>
        </w:trPr>
        <w:tc>
          <w:tcPr>
            <w:tcW w:w="426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DBX</w:t>
            </w:r>
          </w:p>
        </w:tc>
        <w:tc>
          <w:tcPr>
            <w:tcW w:w="7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9"/>
        </w:trPr>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91"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46" w:lineRule="exact"/>
        <w:rPr>
          <w:sz w:val="24"/>
          <w:szCs w:val="24"/>
          <w:color w:val="auto"/>
        </w:rPr>
      </w:pPr>
    </w:p>
    <w:p>
      <w:pPr>
        <w:ind w:right="260"/>
        <w:spacing w:after="0" w:line="25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439420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type w:val="continuous"/>
        </w:sectPr>
      </w:pPr>
    </w:p>
    <w:bookmarkStart w:id="1" w:name="page2"/>
    <w:bookmarkEnd w:id="1"/>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00" w:lineRule="exact"/>
        <w:rPr>
          <w:sz w:val="20"/>
          <w:szCs w:val="20"/>
          <w:color w:val="auto"/>
        </w:rPr>
      </w:pPr>
    </w:p>
    <w:p>
      <w:pPr>
        <w:spacing w:after="0" w:line="272" w:lineRule="exact"/>
        <w:rPr>
          <w:sz w:val="20"/>
          <w:szCs w:val="20"/>
          <w:color w:val="auto"/>
        </w:rPr>
      </w:pPr>
    </w:p>
    <w:p>
      <w:pPr>
        <w:jc w:val="both"/>
        <w:ind w:right="480"/>
        <w:spacing w:after="0" w:line="304" w:lineRule="auto"/>
        <w:rPr>
          <w:sz w:val="20"/>
          <w:szCs w:val="20"/>
          <w:color w:val="auto"/>
        </w:rPr>
      </w:pPr>
      <w:r>
        <w:rPr>
          <w:rFonts w:ascii="Times New Roman" w:cs="Times New Roman" w:eastAsia="Times New Roman" w:hAnsi="Times New Roman"/>
          <w:sz w:val="17"/>
          <w:szCs w:val="17"/>
          <w:color w:val="auto"/>
        </w:rPr>
        <w:t>On June 10, 2022, Andrew Houston, the CEO, co-founder, and chair of the board of Dropbox, Inc. (“Dropbox” or the “company”), adopted a new stock trading plan in accordance with guidelines specified under Rule 10b5-1 of the Securities and Exchange Act of 1934, as amended (the “Exchange Act”).</w:t>
      </w:r>
    </w:p>
    <w:p>
      <w:pPr>
        <w:spacing w:after="0" w:line="16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This pre-arranged trading plan was adopted in order to allow Mr. Houston to sell a portion of his Dropbox stock over time as part of his long-term strategy for individual asset diversification and liquidity. In addition, Mr. Houston recently married and intends to purchase a home.</w:t>
      </w:r>
    </w:p>
    <w:p>
      <w:pPr>
        <w:spacing w:after="0" w:line="19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plan, Mr. Houston’s stock trades will be spread out over a period of approximately one year beginning in October 2022 to reduce market impact on any given day. All sales of shares under Mr. Houston’s trading plan are subject to volume limitations, pursuant to Rule 144, which limits the amount of shares that can be sold in any three-month period.</w:t>
      </w:r>
    </w:p>
    <w:p>
      <w:pPr>
        <w:spacing w:after="0" w:line="20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As of the date he entered into the plan, Mr. Houston held approximately 81,132,337 Class B shares and 10,513,845 Class A shares, representing approximately 73.31% of the voting power of the company. Under the terms of Mr. Houston’s new trading plan, he intends to sell up to approximately 1,600,000 Class B shares (with such shares converting into Class A shares prior to sale) and 1,530,451 Class A shares. If Mr. Houston completes such planned sales under his trading plan, he would continue to own approximately 79,532,337 Class B shares and approximately 8,983,394 Class A shares, which would represent approximately 71.75% of the company’s voting power (assuming no other issuances, repurchases, sales or conversions of Dropbox’s capital stock occur). Additionally, to the extent Mr. Houston vests into additional tranches of his co-founder RSA award, his trading plan provides that a portion of any issued shares will be sold to satisfy related income taxes. Each Class B share is entitled to ten votes and each Class A share is entitled to one vote.</w:t>
      </w:r>
    </w:p>
    <w:p>
      <w:pPr>
        <w:spacing w:after="0" w:line="20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information in this Current Report on Form 8-K is furnished to comply with Item 7.01 of Form 8-K, and shall not be deemed “filed” for purposes of Section 18 of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523875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 2022</w:t>
      </w:r>
    </w:p>
    <w:p>
      <w:pPr>
        <w:spacing w:after="0" w:line="28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11430</wp:posOffset>
            </wp:positionV>
            <wp:extent cx="2780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Bart Volkmer</w:t>
      </w:r>
    </w:p>
    <w:p>
      <w:pPr>
        <w:spacing w:after="0" w:line="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Chief Legal Officer</w:t>
      </w:r>
    </w:p>
    <w:sectPr>
      <w:pgSz w:w="11900" w:h="16838" w:orient="portrait"/>
      <w:cols w:equalWidth="0" w:num="1">
        <w:col w:w="11080"/>
      </w:cols>
      <w:pgMar w:left="320" w:top="87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2022-07-01T15:08:44Z</dcterms:created>
  <dcterms:modified xsi:type="dcterms:W3CDTF">2022-07-01T15:08:44Z</dcterms:modified>
</cp:coreProperties>
</file>