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Ferdowsi Arash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OWENS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DROPBOX,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DBX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62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1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Co-Founder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94158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42,219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66,119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66,119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17.0335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39,521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39,521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39,521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17.0348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4,400,000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(7)</w:t>
            </w: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42,219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42,219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28,544,364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39,521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39,521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28,504,843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-4827270</wp:posOffset>
            </wp:positionV>
            <wp:extent cx="7033895" cy="4828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4828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42,219 shares of Class B Common Stock were converted into 42,219 shares of Class A Common Stock at the election of the Reporting Person and had no expiration date.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Arash Ferdowsi Revocable Trust u/a/d 4/20/2012, for which the Reporting Person serves as trustee.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pursuant to a Rule 10b5-1 trading plan entered into by the Reporting Person.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$17.00 to $17.11.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39,521 shares of Class B Common Stock were converted into 39,521 shares of Class A Common Stock at the election of the Reporting Person and had no expiration date.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$17.00 to $17.125.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Issuer's Class B Common Stock is convertible into the Issuer's Class A Common Stock on a one-for-one basis at the Reporting Person's election and has no expiration date.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Mary Anne Becking,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4434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2020-03-19T15:49:57Z</dcterms:created>
  <dcterms:modified xsi:type="dcterms:W3CDTF">2020-03-19T15:49:57Z</dcterms:modified>
</cp:coreProperties>
</file>