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DROPBOX INC</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#26210C104</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#26210C104</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260" w:type="dxa"/>
            <w:vAlign w:val="bottom"/>
          </w:tcPr>
          <w:p>
            <w:pPr>
              <w:jc w:val="right"/>
              <w:ind w:right="2852"/>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3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3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333,837</w:t>
            </w:r>
          </w:p>
        </w:tc>
        <w:tc>
          <w:tcPr>
            <w:tcW w:w="3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3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10,292,493</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3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10,292,493</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8.555%</w:t>
            </w:r>
          </w:p>
        </w:tc>
        <w:tc>
          <w:tcPr>
            <w:tcW w:w="3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3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#26210C104</w:t>
            </w:r>
          </w:p>
        </w:tc>
        <w:tc>
          <w:tcPr>
            <w:tcW w:w="90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3260" w:type="dxa"/>
            <w:vAlign w:val="bottom"/>
          </w:tcPr>
          <w:p>
            <w:pPr>
              <w:jc w:val="right"/>
              <w:ind w:right="2852"/>
              <w:spacing w:after="0" w:line="203" w:lineRule="exact"/>
              <w:rPr>
                <w:sz w:val="20"/>
                <w:szCs w:val="20"/>
                <w:color w:val="auto"/>
              </w:rPr>
            </w:pPr>
            <w:r>
              <w:rPr>
                <w:rFonts w:ascii="Courier New" w:cs="Courier New" w:eastAsia="Courier New" w:hAnsi="Courier New"/>
                <w:sz w:val="18"/>
                <w:szCs w:val="18"/>
                <w:color w:val="auto"/>
                <w:w w:val="92"/>
              </w:rPr>
              <w:t>[ ]</w:t>
            </w: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3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3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3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10,292,493</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3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10,292,493</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8.555%</w:t>
            </w:r>
          </w:p>
        </w:tc>
        <w:tc>
          <w:tcPr>
            <w:tcW w:w="3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3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8,253,238 of the shares</w:t>
            </w:r>
          </w:p>
        </w:tc>
        <w:tc>
          <w:tcPr>
            <w:tcW w:w="4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of Class A Common Stock of DROPBOX INC.</w:t>
            </w:r>
          </w:p>
        </w:tc>
      </w:tr>
    </w:tbl>
    <w:p>
      <w:pPr>
        <w:spacing w:after="0" w:line="238" w:lineRule="auto"/>
        <w:rPr>
          <w:sz w:val="20"/>
          <w:szCs w:val="20"/>
          <w:color w:val="auto"/>
        </w:rPr>
      </w:pPr>
      <w:r>
        <w:rPr>
          <w:rFonts w:ascii="Courier New" w:cs="Courier New" w:eastAsia="Courier New" w:hAnsi="Courier New"/>
          <w:sz w:val="18"/>
          <w:szCs w:val="18"/>
          <w:color w:val="auto"/>
        </w:rPr>
        <w:t>reported as being beneficially owned by the reporting persons at</w:t>
      </w:r>
    </w:p>
    <w:p>
      <w:pPr>
        <w:spacing w:after="0" w:line="5" w:lineRule="exact"/>
        <w:rPr>
          <w:sz w:val="24"/>
          <w:szCs w:val="24"/>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August 31, 2018, are included in this Schedule 13G because the reporting persons are deemed to beneficially own such shares as a result of the direct ownership of 8,253,238 shares of Class B Common Stock of DROPBOX INC. by investment companies and/or other accounts advised by FMR CO., INC.</w:t>
      </w:r>
    </w:p>
    <w:p>
      <w:pPr>
        <w:spacing w:after="0" w:line="234" w:lineRule="auto"/>
        <w:rPr>
          <w:sz w:val="20"/>
          <w:szCs w:val="20"/>
          <w:color w:val="auto"/>
        </w:rPr>
      </w:pPr>
      <w:r>
        <w:rPr>
          <w:rFonts w:ascii="Courier New" w:cs="Courier New" w:eastAsia="Courier New" w:hAnsi="Courier New"/>
          <w:sz w:val="18"/>
          <w:szCs w:val="18"/>
          <w:color w:val="auto"/>
        </w:rPr>
        <w:t>and FIAM LLC, both of which are indirect wholly-owned subsidiaries of</w:t>
      </w:r>
    </w:p>
    <w:p>
      <w:pPr>
        <w:spacing w:after="0" w:line="238" w:lineRule="auto"/>
        <w:rPr>
          <w:sz w:val="20"/>
          <w:szCs w:val="20"/>
          <w:color w:val="auto"/>
        </w:rPr>
      </w:pPr>
      <w:r>
        <w:rPr>
          <w:rFonts w:ascii="Courier New" w:cs="Courier New" w:eastAsia="Courier New" w:hAnsi="Courier New"/>
          <w:sz w:val="18"/>
          <w:szCs w:val="18"/>
          <w:color w:val="auto"/>
        </w:rPr>
        <w:t>FMR LLC, which shares of Class B Common Stock are convertible into shares</w:t>
      </w:r>
    </w:p>
    <w:p>
      <w:pPr>
        <w:spacing w:after="0"/>
        <w:tabs>
          <w:tab w:leader="none" w:pos="1260" w:val="left"/>
        </w:tabs>
        <w:rPr>
          <w:sz w:val="20"/>
          <w:szCs w:val="20"/>
          <w:color w:val="auto"/>
        </w:rPr>
      </w:pPr>
      <w:r>
        <w:rPr>
          <w:rFonts w:ascii="Courier New" w:cs="Courier New" w:eastAsia="Courier New" w:hAnsi="Courier New"/>
          <w:sz w:val="18"/>
          <w:szCs w:val="18"/>
          <w:color w:val="auto"/>
        </w:rPr>
        <w:t>of Class A</w:t>
      </w:r>
      <w:r>
        <w:rPr>
          <w:sz w:val="20"/>
          <w:szCs w:val="20"/>
          <w:color w:val="auto"/>
        </w:rPr>
        <w:tab/>
      </w:r>
      <w:r>
        <w:rPr>
          <w:rFonts w:ascii="Courier New" w:cs="Courier New" w:eastAsia="Courier New" w:hAnsi="Courier New"/>
          <w:sz w:val="16"/>
          <w:szCs w:val="16"/>
          <w:color w:val="auto"/>
        </w:rPr>
        <w:t>Common Stock at the election of the holder at an exchange rate</w:t>
      </w:r>
    </w:p>
    <w:p>
      <w:pPr>
        <w:spacing w:after="0" w:line="237" w:lineRule="auto"/>
        <w:rPr>
          <w:sz w:val="20"/>
          <w:szCs w:val="20"/>
          <w:color w:val="auto"/>
        </w:rPr>
      </w:pPr>
      <w:r>
        <w:rPr>
          <w:rFonts w:ascii="Courier New" w:cs="Courier New" w:eastAsia="Courier New" w:hAnsi="Courier New"/>
          <w:sz w:val="18"/>
          <w:szCs w:val="18"/>
          <w:color w:val="auto"/>
        </w:rPr>
        <w:t>of 1:1. Such shares of Class B Common Stock represent 2.84% of the</w:t>
      </w:r>
    </w:p>
    <w:tbl>
      <w:tblPr>
        <w:tblLayout w:type="fixed"/>
        <w:tblInd w:w="0" w:type="dxa"/>
        <w:tblCellMar>
          <w:top w:w="0" w:type="dxa"/>
          <w:left w:w="0" w:type="dxa"/>
          <w:bottom w:w="0" w:type="dxa"/>
          <w:right w:w="0" w:type="dxa"/>
        </w:tblCellMar>
      </w:tblPr>
      <w:tr>
        <w:trPr>
          <w:trHeight w:val="203"/>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outstanding</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420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8"/>
              </w:rPr>
              <w:t>B Common Stock. Assuming the conversion</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of</w:t>
            </w:r>
          </w:p>
        </w:tc>
        <w:tc>
          <w:tcPr>
            <w:tcW w:w="1580" w:type="dxa"/>
            <w:vAlign w:val="bottom"/>
          </w:tcPr>
          <w:p>
            <w:pPr>
              <w:spacing w:after="0"/>
              <w:rPr>
                <w:sz w:val="20"/>
                <w:szCs w:val="20"/>
                <w:color w:val="auto"/>
              </w:rPr>
            </w:pPr>
            <w:r>
              <w:rPr>
                <w:rFonts w:ascii="Courier New" w:cs="Courier New" w:eastAsia="Courier New" w:hAnsi="Courier New"/>
                <w:sz w:val="18"/>
                <w:szCs w:val="18"/>
                <w:color w:val="auto"/>
                <w:w w:val="96"/>
              </w:rPr>
              <w:t>all outstanding</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Class B</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into Class A Common Stock,</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10,292,493</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Class A</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reported as being beneficially</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 by the</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reporting persons</w:t>
            </w:r>
          </w:p>
        </w:tc>
        <w:tc>
          <w:tcPr>
            <w:tcW w:w="45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in this Schedule 13G would represent 2.56%</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4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 Common Stock.</w:t>
            </w: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200" w:lineRule="exact"/>
        <w:rPr>
          <w:sz w:val="24"/>
          <w:szCs w:val="24"/>
          <w:color w:val="auto"/>
        </w:rPr>
      </w:pPr>
    </w:p>
    <w:p>
      <w:pPr>
        <w:sectPr>
          <w:pgSz w:w="11900" w:h="16838" w:orient="portrait"/>
          <w:cols w:equalWidth="0" w:num="1">
            <w:col w:w="10219"/>
          </w:cols>
          <w:pgMar w:left="24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820" w:space="720"/>
            <w:col w:w="7679"/>
          </w:cols>
          <w:pgMar w:left="240" w:top="244" w:right="1440" w:bottom="0" w:gutter="0" w:footer="0" w:header="0"/>
          <w:type w:val="continuous"/>
        </w:sectPr>
      </w:pPr>
    </w:p>
    <w:p>
      <w:pPr>
        <w:spacing w:after="0" w:line="24"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DROPBOX INC</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4"/>
          <w:szCs w:val="24"/>
          <w:color w:val="auto"/>
        </w:rPr>
      </w:pPr>
    </w:p>
    <w:p>
      <w:pPr>
        <w:sectPr>
          <w:pgSz w:w="11900" w:h="16838" w:orient="portrait"/>
          <w:cols w:equalWidth="0" w:num="2">
            <w:col w:w="1820" w:space="720"/>
            <w:col w:w="7679"/>
          </w:cols>
          <w:pgMar w:left="240" w:top="244" w:right="1440" w:bottom="0" w:gutter="0" w:footer="0" w:header="0"/>
          <w:type w:val="continuous"/>
        </w:sectPr>
      </w:pPr>
    </w:p>
    <w:p>
      <w:pPr>
        <w:spacing w:after="0" w:line="1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333 BRANNAN STREET</w:t>
      </w:r>
    </w:p>
    <w:p>
      <w:pPr>
        <w:spacing w:after="0" w:line="4"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SAN FRANCISCO, CA 94107</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US</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920" w:space="720"/>
            <w:col w:w="7579"/>
          </w:cols>
          <w:pgMar w:left="240" w:top="244" w:right="1440" w:bottom="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FMR LLC</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38" w:orient="portrait"/>
          <w:cols w:equalWidth="0" w:num="2">
            <w:col w:w="1920" w:space="720"/>
            <w:col w:w="7579"/>
          </w:cols>
          <w:pgMar w:left="240" w:top="244" w:right="1440" w:bottom="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245 Summer Street, Boston, Massachusetts 02210</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920" w:space="720"/>
            <w:col w:w="7579"/>
          </w:cols>
          <w:pgMar w:left="240" w:top="244" w:right="1440" w:bottom="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920" w:space="720"/>
            <w:col w:w="7579"/>
          </w:cols>
          <w:pgMar w:left="240" w:top="244" w:right="1440" w:bottom="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CLASS A COMMON STOCK</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920" w:space="720"/>
            <w:col w:w="7579"/>
          </w:cols>
          <w:pgMar w:left="240" w:top="244" w:right="1440" w:bottom="0" w:gutter="0" w:footer="0" w:header="0"/>
          <w:type w:val="continuous"/>
        </w:sectPr>
      </w:pPr>
    </w:p>
    <w:bookmarkStart w:id="1" w:name="page2"/>
    <w:bookmarkEnd w:id="1"/>
    <w:p>
      <w:pPr>
        <w:ind w:left="3480"/>
        <w:spacing w:after="0"/>
        <w:rPr>
          <w:sz w:val="20"/>
          <w:szCs w:val="20"/>
          <w:color w:val="auto"/>
        </w:rPr>
      </w:pPr>
      <w:r>
        <w:rPr>
          <w:rFonts w:ascii="Courier New" w:cs="Courier New" w:eastAsia="Courier New" w:hAnsi="Courier New"/>
          <w:sz w:val="18"/>
          <w:szCs w:val="18"/>
          <w:color w:val="auto"/>
        </w:rPr>
        <w:t>26210C104</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This statement is filed pursuant to Rule 13d-1(b) or 13d-2(b)</w:t>
      </w:r>
    </w:p>
    <w:p>
      <w:pPr>
        <w:spacing w:after="0" w:line="238" w:lineRule="auto"/>
        <w:rPr>
          <w:sz w:val="20"/>
          <w:szCs w:val="20"/>
          <w:color w:val="auto"/>
        </w:rPr>
      </w:pPr>
      <w:r>
        <w:rPr>
          <w:rFonts w:ascii="Courier New" w:cs="Courier New" w:eastAsia="Courier New" w:hAnsi="Courier New"/>
          <w:sz w:val="18"/>
          <w:szCs w:val="18"/>
          <w:color w:val="auto"/>
        </w:rPr>
        <w:t>or (c) and the</w:t>
      </w:r>
    </w:p>
    <w:p>
      <w:pPr>
        <w:spacing w:after="0"/>
        <w:rPr>
          <w:sz w:val="20"/>
          <w:szCs w:val="20"/>
          <w:color w:val="auto"/>
        </w:rPr>
      </w:pPr>
      <w:r>
        <w:rPr>
          <w:rFonts w:ascii="Courier New" w:cs="Courier New" w:eastAsia="Courier New" w:hAnsi="Courier New"/>
          <w:sz w:val="18"/>
          <w:szCs w:val="18"/>
          <w:color w:val="auto"/>
        </w:rPr>
        <w:t>person filing, FMR LLC, is a parent holding company in accordance with</w:t>
      </w:r>
    </w:p>
    <w:p>
      <w:pPr>
        <w:spacing w:after="0"/>
        <w:tabs>
          <w:tab w:leader="none" w:pos="3560" w:val="left"/>
          <w:tab w:leader="none" w:pos="4420" w:val="left"/>
        </w:tabs>
        <w:rPr>
          <w:sz w:val="20"/>
          <w:szCs w:val="20"/>
          <w:color w:val="auto"/>
        </w:rPr>
      </w:pPr>
      <w:r>
        <w:rPr>
          <w:rFonts w:ascii="Courier New" w:cs="Courier New" w:eastAsia="Courier New" w:hAnsi="Courier New"/>
          <w:sz w:val="18"/>
          <w:szCs w:val="18"/>
          <w:color w:val="auto"/>
        </w:rPr>
        <w:t>Section 240.13d-1(b)(1)(ii)(G).</w:t>
        <w:tab/>
        <w:t>(Note:</w:t>
      </w:r>
      <w:r>
        <w:rPr>
          <w:sz w:val="20"/>
          <w:szCs w:val="20"/>
          <w:color w:val="auto"/>
        </w:rPr>
        <w:tab/>
      </w:r>
      <w:r>
        <w:rPr>
          <w:rFonts w:ascii="Courier New" w:cs="Courier New" w:eastAsia="Courier New" w:hAnsi="Courier New"/>
          <w:sz w:val="16"/>
          <w:szCs w:val="16"/>
          <w:color w:val="auto"/>
        </w:rPr>
        <w:t>See Exhibit A).</w:t>
      </w:r>
    </w:p>
    <w:p>
      <w:pPr>
        <w:sectPr>
          <w:pgSz w:w="11900" w:h="16838" w:orient="portrait"/>
          <w:cols w:equalWidth="0" w:num="1">
            <w:col w:w="10219"/>
          </w:cols>
          <w:pgMar w:left="240" w:top="339" w:right="1440" w:bottom="111"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820" w:space="720"/>
            <w:col w:w="7679"/>
          </w:cols>
          <w:pgMar w:left="240" w:top="339" w:right="1440" w:bottom="111" w:gutter="0" w:footer="0" w:header="0"/>
          <w:type w:val="continuous"/>
        </w:sectPr>
      </w:pPr>
    </w:p>
    <w:p>
      <w:pPr>
        <w:spacing w:after="0" w:line="24" w:lineRule="exact"/>
        <w:rPr>
          <w:sz w:val="20"/>
          <w:szCs w:val="20"/>
          <w:color w:val="auto"/>
        </w:rPr>
      </w:pPr>
    </w:p>
    <w:p>
      <w:pPr>
        <w:ind w:left="2540"/>
        <w:spacing w:after="0"/>
        <w:tabs>
          <w:tab w:leader="none" w:pos="32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10,292,493</w:t>
      </w:r>
    </w:p>
    <w:p>
      <w:pPr>
        <w:spacing w:after="0" w:line="200" w:lineRule="exact"/>
        <w:rPr>
          <w:sz w:val="20"/>
          <w:szCs w:val="20"/>
          <w:color w:val="auto"/>
        </w:rPr>
      </w:pPr>
    </w:p>
    <w:p>
      <w:pPr>
        <w:sectPr>
          <w:pgSz w:w="11900" w:h="16838" w:orient="portrait"/>
          <w:cols w:equalWidth="0" w:num="2">
            <w:col w:w="6040" w:space="720"/>
            <w:col w:w="3459"/>
          </w:cols>
          <w:pgMar w:left="240" w:top="339" w:right="1440" w:bottom="111" w:gutter="0" w:footer="0" w:header="0"/>
          <w:type w:val="continuous"/>
        </w:sectPr>
      </w:pPr>
    </w:p>
    <w:p>
      <w:pPr>
        <w:spacing w:after="0" w:line="24" w:lineRule="exact"/>
        <w:rPr>
          <w:sz w:val="20"/>
          <w:szCs w:val="20"/>
          <w:color w:val="auto"/>
        </w:rPr>
      </w:pPr>
    </w:p>
    <w:p>
      <w:pPr>
        <w:ind w:left="2540"/>
        <w:spacing w:after="0"/>
        <w:tabs>
          <w:tab w:leader="none" w:pos="326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Percent of Class: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8.555%</w:t>
      </w:r>
    </w:p>
    <w:p>
      <w:pPr>
        <w:spacing w:after="0" w:line="200" w:lineRule="exact"/>
        <w:rPr>
          <w:sz w:val="20"/>
          <w:szCs w:val="20"/>
          <w:color w:val="auto"/>
        </w:rPr>
      </w:pPr>
    </w:p>
    <w:p>
      <w:pPr>
        <w:sectPr>
          <w:pgSz w:w="11900" w:h="16838" w:orient="portrait"/>
          <w:cols w:equalWidth="0" w:num="2">
            <w:col w:w="5180" w:space="720"/>
            <w:col w:w="4319"/>
          </w:cols>
          <w:pgMar w:left="240" w:top="339" w:right="1440" w:bottom="111" w:gutter="0" w:footer="0" w:header="0"/>
          <w:type w:val="continuous"/>
        </w:sectPr>
      </w:pPr>
    </w:p>
    <w:p>
      <w:pPr>
        <w:spacing w:after="0" w:line="18"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38" w:lineRule="auto"/>
        <w:rPr>
          <w:sz w:val="20"/>
          <w:szCs w:val="20"/>
          <w:color w:val="auto"/>
        </w:rPr>
      </w:pPr>
      <w:r>
        <w:rPr>
          <w:rFonts w:ascii="Courier New" w:cs="Courier New" w:eastAsia="Courier New" w:hAnsi="Courier New"/>
          <w:sz w:val="18"/>
          <w:szCs w:val="18"/>
          <w:color w:val="auto"/>
        </w:rPr>
        <w:t>333,837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(ii)</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(iii)</w:t>
            </w:r>
          </w:p>
        </w:tc>
        <w:tc>
          <w:tcPr>
            <w:tcW w:w="4840" w:type="dxa"/>
            <w:vAlign w:val="bottom"/>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10,292,493</w:t>
            </w:r>
          </w:p>
        </w:tc>
        <w:tc>
          <w:tcPr>
            <w:tcW w:w="4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shared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960" w:type="dxa"/>
            <w:vAlign w:val="bottom"/>
            <w:gridSpan w:val="4"/>
          </w:tcPr>
          <w:p>
            <w:pPr>
              <w:spacing w:after="0"/>
              <w:rPr>
                <w:sz w:val="20"/>
                <w:szCs w:val="20"/>
                <w:color w:val="auto"/>
              </w:rPr>
            </w:pPr>
            <w:r>
              <w:rPr>
                <w:rFonts w:ascii="Courier New" w:cs="Courier New" w:eastAsia="Courier New" w:hAnsi="Courier New"/>
                <w:sz w:val="18"/>
                <w:szCs w:val="18"/>
                <w:color w:val="auto"/>
              </w:rPr>
              <w:t>8,253,238 of the shares of Class A Common Stock of DROPBOX INC.</w:t>
            </w:r>
          </w:p>
        </w:tc>
        <w:tc>
          <w:tcPr>
            <w:tcW w:w="420" w:type="dxa"/>
            <w:vAlign w:val="bottom"/>
          </w:tcPr>
          <w:p>
            <w:pPr>
              <w:spacing w:after="0"/>
              <w:rPr>
                <w:sz w:val="24"/>
                <w:szCs w:val="24"/>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reported as being beneficially</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owned by the reporting persons at</w:t>
            </w:r>
          </w:p>
        </w:tc>
        <w:tc>
          <w:tcPr>
            <w:tcW w:w="420" w:type="dxa"/>
            <w:vAlign w:val="bottom"/>
          </w:tcPr>
          <w:p>
            <w:pPr>
              <w:spacing w:after="0"/>
              <w:rPr>
                <w:sz w:val="17"/>
                <w:szCs w:val="17"/>
                <w:color w:val="auto"/>
              </w:rPr>
            </w:pPr>
          </w:p>
        </w:tc>
      </w:tr>
      <w:tr>
        <w:trPr>
          <w:trHeight w:val="203"/>
        </w:trPr>
        <w:tc>
          <w:tcPr>
            <w:tcW w:w="8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August 31, 2018, are included in this Schedule 13G because the reporting</w:t>
            </w:r>
          </w:p>
        </w:tc>
        <w:tc>
          <w:tcPr>
            <w:tcW w:w="420" w:type="dxa"/>
            <w:vAlign w:val="bottom"/>
          </w:tcPr>
          <w:p>
            <w:pPr>
              <w:spacing w:after="0"/>
              <w:rPr>
                <w:sz w:val="17"/>
                <w:szCs w:val="17"/>
                <w:color w:val="auto"/>
              </w:rPr>
            </w:pPr>
          </w:p>
        </w:tc>
      </w:tr>
      <w:tr>
        <w:trPr>
          <w:trHeight w:val="203"/>
        </w:trPr>
        <w:tc>
          <w:tcPr>
            <w:tcW w:w="8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persons are deemed to beneficially own such shares as a result of the direct</w:t>
            </w:r>
          </w:p>
        </w:tc>
        <w:tc>
          <w:tcPr>
            <w:tcW w:w="420" w:type="dxa"/>
            <w:vAlign w:val="bottom"/>
          </w:tcPr>
          <w:p>
            <w:pPr>
              <w:spacing w:after="0"/>
              <w:rPr>
                <w:sz w:val="17"/>
                <w:szCs w:val="17"/>
                <w:color w:val="auto"/>
              </w:rPr>
            </w:pPr>
          </w:p>
        </w:tc>
      </w:tr>
      <w:tr>
        <w:trPr>
          <w:trHeight w:val="203"/>
        </w:trPr>
        <w:tc>
          <w:tcPr>
            <w:tcW w:w="8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ownership of 8,253,238 shares of Class B Common Stock of DROPBOX INC.</w:t>
            </w:r>
          </w:p>
        </w:tc>
        <w:tc>
          <w:tcPr>
            <w:tcW w:w="420" w:type="dxa"/>
            <w:vAlign w:val="bottom"/>
          </w:tcPr>
          <w:p>
            <w:pPr>
              <w:spacing w:after="0"/>
              <w:rPr>
                <w:sz w:val="17"/>
                <w:szCs w:val="17"/>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by investment companies and/or</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other accounts advised by FMR CO., INC.</w:t>
            </w:r>
          </w:p>
        </w:tc>
        <w:tc>
          <w:tcPr>
            <w:tcW w:w="420" w:type="dxa"/>
            <w:vAlign w:val="bottom"/>
          </w:tcPr>
          <w:p>
            <w:pPr>
              <w:spacing w:after="0"/>
              <w:rPr>
                <w:sz w:val="17"/>
                <w:szCs w:val="17"/>
                <w:color w:val="auto"/>
              </w:rPr>
            </w:pPr>
          </w:p>
        </w:tc>
      </w:tr>
      <w:tr>
        <w:trPr>
          <w:trHeight w:val="203"/>
        </w:trPr>
        <w:tc>
          <w:tcPr>
            <w:tcW w:w="8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and FIAM LLC, both of which are indirect wholly-owned subsidiaries of</w:t>
            </w:r>
          </w:p>
        </w:tc>
        <w:tc>
          <w:tcPr>
            <w:tcW w:w="420" w:type="dxa"/>
            <w:vAlign w:val="bottom"/>
          </w:tcPr>
          <w:p>
            <w:pPr>
              <w:spacing w:after="0"/>
              <w:rPr>
                <w:sz w:val="17"/>
                <w:szCs w:val="17"/>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FMR LLC, which shares of Class</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 Common Stock are convertible into shares</w:t>
            </w:r>
          </w:p>
        </w:tc>
        <w:tc>
          <w:tcPr>
            <w:tcW w:w="420" w:type="dxa"/>
            <w:vAlign w:val="bottom"/>
          </w:tcPr>
          <w:p>
            <w:pPr>
              <w:spacing w:after="0"/>
              <w:rPr>
                <w:sz w:val="17"/>
                <w:szCs w:val="17"/>
                <w:color w:val="auto"/>
              </w:rPr>
            </w:pPr>
          </w:p>
        </w:tc>
      </w:tr>
      <w:tr>
        <w:trPr>
          <w:trHeight w:val="203"/>
        </w:trPr>
        <w:tc>
          <w:tcPr>
            <w:tcW w:w="8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of Class A  Common Stock at the election of the holder at an exchange rate</w:t>
            </w:r>
          </w:p>
        </w:tc>
        <w:tc>
          <w:tcPr>
            <w:tcW w:w="420" w:type="dxa"/>
            <w:vAlign w:val="bottom"/>
          </w:tcPr>
          <w:p>
            <w:pPr>
              <w:spacing w:after="0"/>
              <w:rPr>
                <w:sz w:val="17"/>
                <w:szCs w:val="17"/>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1:1. Such shares of Class B</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Common Stock represent 2.84% of the</w:t>
            </w:r>
          </w:p>
        </w:tc>
        <w:tc>
          <w:tcPr>
            <w:tcW w:w="420" w:type="dxa"/>
            <w:vAlign w:val="bottom"/>
          </w:tcPr>
          <w:p>
            <w:pPr>
              <w:spacing w:after="0"/>
              <w:rPr>
                <w:sz w:val="17"/>
                <w:szCs w:val="17"/>
                <w:color w:val="auto"/>
              </w:rPr>
            </w:pPr>
          </w:p>
        </w:tc>
      </w:tr>
      <w:tr>
        <w:trPr>
          <w:trHeight w:val="203"/>
        </w:trPr>
        <w:tc>
          <w:tcPr>
            <w:tcW w:w="8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outstanding Class B Common Stock. Assuming the conversion of all outstanding</w:t>
            </w:r>
          </w:p>
        </w:tc>
        <w:tc>
          <w:tcPr>
            <w:tcW w:w="420" w:type="dxa"/>
            <w:vAlign w:val="bottom"/>
          </w:tcPr>
          <w:p>
            <w:pPr>
              <w:spacing w:after="0"/>
              <w:rPr>
                <w:sz w:val="17"/>
                <w:szCs w:val="17"/>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shares of Class B Common Stock</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into Class A Common Stock, the 10,292,493</w:t>
            </w:r>
          </w:p>
        </w:tc>
        <w:tc>
          <w:tcPr>
            <w:tcW w:w="420" w:type="dxa"/>
            <w:vAlign w:val="bottom"/>
          </w:tcPr>
          <w:p>
            <w:pPr>
              <w:spacing w:after="0"/>
              <w:rPr>
                <w:sz w:val="17"/>
                <w:szCs w:val="17"/>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shares of Class A Common Stock</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as being beneficially owned by the</w:t>
            </w:r>
          </w:p>
        </w:tc>
        <w:tc>
          <w:tcPr>
            <w:tcW w:w="420" w:type="dxa"/>
            <w:vAlign w:val="bottom"/>
          </w:tcPr>
          <w:p>
            <w:pPr>
              <w:spacing w:after="0"/>
              <w:rPr>
                <w:sz w:val="17"/>
                <w:szCs w:val="17"/>
                <w:color w:val="auto"/>
              </w:rPr>
            </w:pPr>
          </w:p>
        </w:tc>
      </w:tr>
      <w:tr>
        <w:trPr>
          <w:trHeight w:val="203"/>
        </w:trPr>
        <w:tc>
          <w:tcPr>
            <w:tcW w:w="8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reporting persons in this Schedule 13G would represent 2.56% of the</w:t>
            </w:r>
          </w:p>
        </w:tc>
        <w:tc>
          <w:tcPr>
            <w:tcW w:w="420" w:type="dxa"/>
            <w:vAlign w:val="bottom"/>
          </w:tcPr>
          <w:p>
            <w:pPr>
              <w:spacing w:after="0"/>
              <w:rPr>
                <w:sz w:val="17"/>
                <w:szCs w:val="17"/>
                <w:color w:val="auto"/>
              </w:rPr>
            </w:pPr>
          </w:p>
        </w:tc>
      </w:tr>
      <w:tr>
        <w:trPr>
          <w:trHeight w:val="203"/>
        </w:trPr>
        <w:tc>
          <w:tcPr>
            <w:tcW w:w="4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outstanding Class A Common Stock.</w:t>
            </w:r>
          </w:p>
        </w:tc>
        <w:tc>
          <w:tcPr>
            <w:tcW w:w="4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90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Ownership of Five Percent or Less of a 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4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90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Ownership of More than Five Percent on 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sale of, the CLASS A COMMON STOCK of DROPBOX INC. No one other person's interest in the CLASS A COMMON STOCK of DROPBOX INC is more than five percent of the total outstanding CLASS A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339" w:right="1440" w:bottom="111"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111"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111"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111"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111"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339" w:right="1440" w:bottom="111"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39" w:right="1440" w:bottom="111"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September 7,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420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80" w:type="dxa"/>
            <w:vAlign w:val="bottom"/>
          </w:tcPr>
          <w:p>
            <w:pPr>
              <w:spacing w:after="0"/>
              <w:rPr>
                <w:sz w:val="17"/>
                <w:szCs w:val="17"/>
                <w:color w:val="auto"/>
              </w:rPr>
            </w:pPr>
          </w:p>
        </w:tc>
        <w:tc>
          <w:tcPr>
            <w:tcW w:w="4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MANAGEMENT &amp; RESEARCH COMPANY  IA</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4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19" w:firstLine="1685"/>
        <w:spacing w:after="0" w:line="279"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w:t>
      </w:r>
    </w:p>
    <w:p>
      <w:pPr>
        <w:sectPr>
          <w:pgSz w:w="11900" w:h="16838" w:orient="portrait"/>
          <w:cols w:equalWidth="0" w:num="1">
            <w:col w:w="10219"/>
          </w:cols>
          <w:pgMar w:left="240" w:top="136" w:right="1440" w:bottom="0" w:gutter="0" w:footer="0" w:header="0"/>
        </w:sectPr>
      </w:pPr>
    </w:p>
    <w:bookmarkStart w:id="3" w:name="page4"/>
    <w:bookmarkEnd w:id="3"/>
    <w:p>
      <w:pPr>
        <w:ind w:right="2319"/>
        <w:spacing w:after="0" w:line="275" w:lineRule="auto"/>
        <w:rPr>
          <w:sz w:val="20"/>
          <w:szCs w:val="20"/>
          <w:color w:val="auto"/>
        </w:rPr>
      </w:pPr>
      <w:r>
        <w:rPr>
          <w:rFonts w:ascii="Courier New" w:cs="Courier New" w:eastAsia="Courier New" w:hAnsi="Courier New"/>
          <w:sz w:val="16"/>
          <w:szCs w:val="16"/>
          <w:color w:val="auto"/>
        </w:rPr>
        <w:t>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519" w:firstLine="1685"/>
        <w:spacing w:after="0" w:line="237" w:lineRule="auto"/>
        <w:rPr>
          <w:sz w:val="20"/>
          <w:szCs w:val="20"/>
          <w:color w:val="auto"/>
        </w:rPr>
      </w:pPr>
      <w:r>
        <w:rPr>
          <w:rFonts w:ascii="Courier New" w:cs="Courier New" w:eastAsia="Courier New" w:hAnsi="Courier New"/>
          <w:sz w:val="18"/>
          <w:szCs w:val="18"/>
          <w:color w:val="auto"/>
        </w:rPr>
        <w:t>The undersigned persons, on September 7, 2018, agree and consent to the joint filing on their behalf of this Schedule 13G in connection with their beneficial ownership of the CLASS A COMMON STOCK of DROPBOX INC at August 31, 2018.</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2019-12-07T16:33:51Z</dcterms:created>
  <dcterms:modified xsi:type="dcterms:W3CDTF">2019-12-07T16:33:51Z</dcterms:modified>
</cp:coreProperties>
</file>